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237490</wp:posOffset>
            </wp:positionV>
            <wp:extent cx="347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53975</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640" w:hanging="560"/>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36"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640" w:hanging="560"/>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418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102870</wp:posOffset>
            </wp:positionV>
            <wp:extent cx="3471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180340</wp:posOffset>
            </wp:positionV>
            <wp:extent cx="214312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AMC Networks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86360</wp:posOffset>
            </wp:positionV>
            <wp:extent cx="3471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440" w:type="dxa"/>
            <w:vAlign w:val="bottom"/>
          </w:tcPr>
          <w:p>
            <w:pPr>
              <w:spacing w:after="0"/>
              <w:rPr>
                <w:sz w:val="19"/>
                <w:szCs w:val="19"/>
                <w:color w:val="auto"/>
              </w:rPr>
            </w:pPr>
          </w:p>
        </w:tc>
        <w:tc>
          <w:tcPr>
            <w:tcW w:w="2500" w:type="dxa"/>
            <w:vAlign w:val="bottom"/>
            <w:gridSpan w:val="2"/>
          </w:tcPr>
          <w:p>
            <w:pPr>
              <w:jc w:val="center"/>
              <w:ind w:left="1"/>
              <w:spacing w:after="0"/>
              <w:rPr>
                <w:sz w:val="20"/>
                <w:szCs w:val="20"/>
                <w:color w:val="auto"/>
              </w:rPr>
            </w:pPr>
            <w:r>
              <w:rPr>
                <w:rFonts w:ascii="Arial" w:cs="Arial" w:eastAsia="Arial" w:hAnsi="Arial"/>
                <w:sz w:val="18"/>
                <w:szCs w:val="18"/>
                <w:b w:val="1"/>
                <w:bCs w:val="1"/>
                <w:color w:val="auto"/>
                <w:w w:val="93"/>
              </w:rPr>
              <w:t>Delaware</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60" w:type="dxa"/>
            <w:vAlign w:val="bottom"/>
            <w:gridSpan w:val="2"/>
          </w:tcPr>
          <w:p>
            <w:pPr>
              <w:jc w:val="right"/>
              <w:ind w:right="1026"/>
              <w:spacing w:after="0"/>
              <w:rPr>
                <w:sz w:val="20"/>
                <w:szCs w:val="20"/>
                <w:color w:val="auto"/>
              </w:rPr>
            </w:pPr>
            <w:r>
              <w:rPr>
                <w:rFonts w:ascii="Arial" w:cs="Arial" w:eastAsia="Arial" w:hAnsi="Arial"/>
                <w:sz w:val="18"/>
                <w:szCs w:val="18"/>
                <w:b w:val="1"/>
                <w:bCs w:val="1"/>
                <w:color w:val="auto"/>
              </w:rPr>
              <w:t>27-5403694</w:t>
            </w:r>
          </w:p>
        </w:tc>
      </w:tr>
      <w:tr>
        <w:trPr>
          <w:trHeight w:val="144"/>
        </w:trPr>
        <w:tc>
          <w:tcPr>
            <w:tcW w:w="1440" w:type="dxa"/>
            <w:vAlign w:val="bottom"/>
          </w:tcPr>
          <w:p>
            <w:pPr>
              <w:spacing w:after="0"/>
              <w:rPr>
                <w:sz w:val="12"/>
                <w:szCs w:val="12"/>
                <w:color w:val="auto"/>
              </w:rPr>
            </w:pPr>
          </w:p>
        </w:tc>
        <w:tc>
          <w:tcPr>
            <w:tcW w:w="25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440" w:type="dxa"/>
            <w:vAlign w:val="bottom"/>
          </w:tcPr>
          <w:p>
            <w:pPr>
              <w:spacing w:after="0"/>
              <w:rPr>
                <w:sz w:val="16"/>
                <w:szCs w:val="16"/>
                <w:color w:val="auto"/>
              </w:rPr>
            </w:pP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493"/>
        </w:trPr>
        <w:tc>
          <w:tcPr>
            <w:tcW w:w="1440" w:type="dxa"/>
            <w:vAlign w:val="bottom"/>
          </w:tcPr>
          <w:p>
            <w:pPr>
              <w:spacing w:after="0"/>
              <w:rPr>
                <w:sz w:val="24"/>
                <w:szCs w:val="24"/>
                <w:color w:val="auto"/>
              </w:rPr>
            </w:pPr>
          </w:p>
        </w:tc>
        <w:tc>
          <w:tcPr>
            <w:tcW w:w="2500" w:type="dxa"/>
            <w:vAlign w:val="bottom"/>
            <w:gridSpan w:val="2"/>
          </w:tcPr>
          <w:p>
            <w:pPr>
              <w:jc w:val="center"/>
              <w:ind w:left="1"/>
              <w:spacing w:after="0"/>
              <w:rPr>
                <w:sz w:val="20"/>
                <w:szCs w:val="20"/>
                <w:color w:val="auto"/>
              </w:rPr>
            </w:pPr>
            <w:r>
              <w:rPr>
                <w:rFonts w:ascii="Arial" w:cs="Arial" w:eastAsia="Arial" w:hAnsi="Arial"/>
                <w:sz w:val="18"/>
                <w:szCs w:val="18"/>
                <w:b w:val="1"/>
                <w:bCs w:val="1"/>
                <w:color w:val="auto"/>
                <w:w w:val="91"/>
              </w:rPr>
              <w:t>11 Penn Plaza, New York, NY</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60" w:type="dxa"/>
            <w:vAlign w:val="bottom"/>
            <w:gridSpan w:val="2"/>
          </w:tcPr>
          <w:p>
            <w:pPr>
              <w:jc w:val="right"/>
              <w:ind w:right="1246"/>
              <w:spacing w:after="0"/>
              <w:rPr>
                <w:sz w:val="20"/>
                <w:szCs w:val="20"/>
                <w:color w:val="auto"/>
              </w:rPr>
            </w:pPr>
            <w:r>
              <w:rPr>
                <w:rFonts w:ascii="Arial" w:cs="Arial" w:eastAsia="Arial" w:hAnsi="Arial"/>
                <w:sz w:val="18"/>
                <w:szCs w:val="18"/>
                <w:b w:val="1"/>
                <w:bCs w:val="1"/>
                <w:color w:val="auto"/>
              </w:rPr>
              <w:t>10001</w:t>
            </w:r>
          </w:p>
        </w:tc>
      </w:tr>
      <w:tr>
        <w:trPr>
          <w:trHeight w:val="186"/>
        </w:trPr>
        <w:tc>
          <w:tcPr>
            <w:tcW w:w="1440" w:type="dxa"/>
            <w:vAlign w:val="bottom"/>
          </w:tcPr>
          <w:p>
            <w:pPr>
              <w:spacing w:after="0"/>
              <w:rPr>
                <w:sz w:val="16"/>
                <w:szCs w:val="16"/>
                <w:color w:val="auto"/>
              </w:rPr>
            </w:pPr>
          </w:p>
        </w:tc>
        <w:tc>
          <w:tcPr>
            <w:tcW w:w="250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r>
        <w:trPr>
          <w:trHeight w:val="597"/>
        </w:trPr>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80" w:type="dxa"/>
            <w:vAlign w:val="bottom"/>
            <w:gridSpan w:val="3"/>
          </w:tcPr>
          <w:p>
            <w:pPr>
              <w:jc w:val="center"/>
              <w:ind w:left="559"/>
              <w:spacing w:after="0"/>
              <w:rPr>
                <w:sz w:val="20"/>
                <w:szCs w:val="20"/>
                <w:color w:val="auto"/>
              </w:rPr>
            </w:pPr>
            <w:r>
              <w:rPr>
                <w:rFonts w:ascii="Arial" w:cs="Arial" w:eastAsia="Arial" w:hAnsi="Arial"/>
                <w:sz w:val="18"/>
                <w:szCs w:val="18"/>
                <w:b w:val="1"/>
                <w:bCs w:val="1"/>
                <w:color w:val="auto"/>
                <w:w w:val="90"/>
              </w:rPr>
              <w:t>(212) 324-8500</w:t>
            </w:r>
          </w:p>
        </w:tc>
        <w:tc>
          <w:tcPr>
            <w:tcW w:w="4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86"/>
        </w:trPr>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140" w:type="dxa"/>
            <w:vAlign w:val="bottom"/>
            <w:gridSpan w:val="5"/>
          </w:tcPr>
          <w:p>
            <w:pPr>
              <w:jc w:val="center"/>
              <w:ind w:right="274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473"/>
        </w:trPr>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20" w:type="dxa"/>
            <w:vAlign w:val="bottom"/>
            <w:gridSpan w:val="6"/>
          </w:tcPr>
          <w:p>
            <w:pPr>
              <w:jc w:val="center"/>
              <w:ind w:right="146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484"/>
        </w:trPr>
        <w:tc>
          <w:tcPr>
            <w:tcW w:w="14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w:t>
            </w:r>
          </w:p>
        </w:tc>
        <w:tc>
          <w:tcPr>
            <w:tcW w:w="440" w:type="dxa"/>
            <w:vAlign w:val="bottom"/>
          </w:tcPr>
          <w:p>
            <w:pPr>
              <w:spacing w:after="0"/>
              <w:rPr>
                <w:sz w:val="24"/>
                <w:szCs w:val="24"/>
                <w:color w:val="auto"/>
              </w:rPr>
            </w:pPr>
          </w:p>
        </w:tc>
        <w:tc>
          <w:tcPr>
            <w:tcW w:w="2240" w:type="dxa"/>
            <w:vAlign w:val="bottom"/>
            <w:gridSpan w:val="2"/>
          </w:tcPr>
          <w:p>
            <w:pPr>
              <w:jc w:val="center"/>
              <w:ind w:right="960"/>
              <w:spacing w:after="0"/>
              <w:rPr>
                <w:sz w:val="20"/>
                <w:szCs w:val="20"/>
                <w:color w:val="auto"/>
              </w:rPr>
            </w:pPr>
            <w:r>
              <w:rPr>
                <w:rFonts w:ascii="Arial" w:cs="Arial" w:eastAsia="Arial" w:hAnsi="Arial"/>
                <w:sz w:val="16"/>
                <w:szCs w:val="16"/>
                <w:b w:val="1"/>
                <w:bCs w:val="1"/>
                <w:color w:val="auto"/>
                <w:w w:val="91"/>
              </w:rPr>
              <w:t>Trading Symbol(s)</w:t>
            </w:r>
          </w:p>
        </w:tc>
        <w:tc>
          <w:tcPr>
            <w:tcW w:w="3460" w:type="dxa"/>
            <w:vAlign w:val="bottom"/>
            <w:gridSpan w:val="2"/>
          </w:tcPr>
          <w:p>
            <w:pPr>
              <w:jc w:val="center"/>
              <w:ind w:left="353"/>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3940" w:type="dxa"/>
            <w:vAlign w:val="bottom"/>
            <w:gridSpan w:val="3"/>
          </w:tcPr>
          <w:p>
            <w:pPr>
              <w:spacing w:after="0"/>
              <w:rPr>
                <w:sz w:val="20"/>
                <w:szCs w:val="20"/>
                <w:color w:val="auto"/>
              </w:rPr>
            </w:pPr>
            <w:r>
              <w:rPr>
                <w:rFonts w:ascii="Arial" w:cs="Arial" w:eastAsia="Arial" w:hAnsi="Arial"/>
                <w:sz w:val="16"/>
                <w:szCs w:val="16"/>
                <w:color w:val="auto"/>
              </w:rPr>
              <w:t>Class A Common Stock, par value $0.01 per share</w:t>
            </w:r>
          </w:p>
        </w:tc>
        <w:tc>
          <w:tcPr>
            <w:tcW w:w="440" w:type="dxa"/>
            <w:vAlign w:val="bottom"/>
          </w:tcPr>
          <w:p>
            <w:pPr>
              <w:spacing w:after="0"/>
              <w:rPr>
                <w:sz w:val="20"/>
                <w:szCs w:val="20"/>
                <w:color w:val="auto"/>
              </w:rPr>
            </w:pPr>
          </w:p>
        </w:tc>
        <w:tc>
          <w:tcPr>
            <w:tcW w:w="2240" w:type="dxa"/>
            <w:vAlign w:val="bottom"/>
            <w:gridSpan w:val="2"/>
          </w:tcPr>
          <w:p>
            <w:pPr>
              <w:jc w:val="center"/>
              <w:ind w:right="960"/>
              <w:spacing w:after="0"/>
              <w:rPr>
                <w:sz w:val="20"/>
                <w:szCs w:val="20"/>
                <w:color w:val="auto"/>
              </w:rPr>
            </w:pPr>
            <w:r>
              <w:rPr>
                <w:rFonts w:ascii="Arial" w:cs="Arial" w:eastAsia="Arial" w:hAnsi="Arial"/>
                <w:sz w:val="16"/>
                <w:szCs w:val="16"/>
                <w:color w:val="auto"/>
              </w:rPr>
              <w:t>AMCX</w:t>
            </w:r>
          </w:p>
        </w:tc>
        <w:tc>
          <w:tcPr>
            <w:tcW w:w="4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116205</wp:posOffset>
            </wp:positionV>
            <wp:extent cx="3471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7360" w:val="left"/>
          <w:tab w:leader="none" w:pos="800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747395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both"/>
        <w:ind w:right="2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5" w:lineRule="exact"/>
        <w:rPr>
          <w:sz w:val="20"/>
          <w:szCs w:val="20"/>
          <w:color w:val="auto"/>
        </w:rPr>
      </w:pPr>
    </w:p>
    <w:p>
      <w:pPr>
        <w:ind w:right="220"/>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computed by reference to the closing price of a share of common stock on June 30, 2020 (the last business day of the registrant's most recently completed second fiscal quarter) was approximately $902 million.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February 19, 2021:</w:t>
            </w:r>
          </w:p>
        </w:tc>
        <w:tc>
          <w:tcPr>
            <w:tcW w:w="3420" w:type="dxa"/>
            <w:vAlign w:val="bottom"/>
          </w:tcPr>
          <w:p>
            <w:pPr>
              <w:spacing w:after="0"/>
              <w:rPr>
                <w:sz w:val="17"/>
                <w:szCs w:val="17"/>
                <w:color w:val="auto"/>
              </w:rPr>
            </w:pPr>
          </w:p>
        </w:tc>
      </w:tr>
      <w:tr>
        <w:trPr>
          <w:trHeight w:val="338"/>
        </w:trPr>
        <w:tc>
          <w:tcPr>
            <w:tcW w:w="7720" w:type="dxa"/>
            <w:vAlign w:val="bottom"/>
          </w:tcPr>
          <w:p>
            <w:pPr>
              <w:ind w:left="20"/>
              <w:spacing w:after="0"/>
              <w:rPr>
                <w:sz w:val="20"/>
                <w:szCs w:val="20"/>
                <w:color w:val="auto"/>
              </w:rPr>
            </w:pPr>
            <w:r>
              <w:rPr>
                <w:rFonts w:ascii="Arial" w:cs="Arial" w:eastAsia="Arial" w:hAnsi="Arial"/>
                <w:sz w:val="16"/>
                <w:szCs w:val="16"/>
                <w:color w:val="auto"/>
              </w:rPr>
              <w:t>Class A Common Stock par value $0.01 per share</w:t>
            </w:r>
          </w:p>
        </w:tc>
        <w:tc>
          <w:tcPr>
            <w:tcW w:w="3420" w:type="dxa"/>
            <w:vAlign w:val="bottom"/>
          </w:tcPr>
          <w:p>
            <w:pPr>
              <w:jc w:val="right"/>
              <w:spacing w:after="0"/>
              <w:rPr>
                <w:sz w:val="20"/>
                <w:szCs w:val="20"/>
                <w:color w:val="auto"/>
              </w:rPr>
            </w:pPr>
            <w:r>
              <w:rPr>
                <w:rFonts w:ascii="Arial" w:cs="Arial" w:eastAsia="Arial" w:hAnsi="Arial"/>
                <w:sz w:val="16"/>
                <w:szCs w:val="16"/>
                <w:color w:val="auto"/>
              </w:rPr>
              <w:t>29,975,350</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Class B Common Stock par value $0.01 per share</w:t>
            </w:r>
          </w:p>
        </w:tc>
        <w:tc>
          <w:tcPr>
            <w:tcW w:w="3420" w:type="dxa"/>
            <w:vAlign w:val="bottom"/>
          </w:tcPr>
          <w:p>
            <w:pPr>
              <w:jc w:val="right"/>
              <w:spacing w:after="0"/>
              <w:rPr>
                <w:sz w:val="20"/>
                <w:szCs w:val="20"/>
                <w:color w:val="auto"/>
              </w:rPr>
            </w:pPr>
            <w:r>
              <w:rPr>
                <w:rFonts w:ascii="Arial" w:cs="Arial" w:eastAsia="Arial" w:hAnsi="Arial"/>
                <w:sz w:val="16"/>
                <w:szCs w:val="16"/>
                <w:color w:val="auto"/>
              </w:rPr>
              <w:t>11,484,408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260985</wp:posOffset>
            </wp:positionV>
            <wp:extent cx="347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Certain information required in Item 10 through Item 14 of Part III of this Annual Report on Form 10-K is incorporated herein by reference to the Registrant's definitive Proxy Statement for its 2021 Annual Meeting of Stockholders, which shall be filed with the Securities and Exchange Commission pursuant to Regulation 14A of the Securities Exchange Act of 1934, as amended, within 120 days of the Registrant's fiscal year end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9140" w:type="dxa"/>
            <w:vAlign w:val="bottom"/>
          </w:tcPr>
          <w:p>
            <w:pPr>
              <w:ind w:left="320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4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8"/>
        </w:trPr>
        <w:tc>
          <w:tcPr>
            <w:tcW w:w="10580" w:type="dxa"/>
            <w:vAlign w:val="bottom"/>
            <w:gridSpan w:val="2"/>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FORWARD-LOOKING STATEMENTS</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4</w:t>
              </w:r>
            </w:hyperlink>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140" w:type="dxa"/>
            <w:vAlign w:val="bottom"/>
          </w:tcPr>
          <w:p>
            <w:pPr>
              <w:spacing w:after="0"/>
              <w:rPr>
                <w:sz w:val="20"/>
                <w:szCs w:val="20"/>
                <w:color w:val="auto"/>
              </w:rPr>
            </w:pPr>
          </w:p>
        </w:tc>
        <w:tc>
          <w:tcPr>
            <w:tcW w:w="600" w:type="dxa"/>
            <w:vAlign w:val="bottom"/>
            <w:vMerge w:val="restart"/>
          </w:tcPr>
          <w:p>
            <w:pPr>
              <w:jc w:val="right"/>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5</w:t>
              </w:r>
            </w:hyperlink>
          </w:p>
        </w:tc>
        <w:tc>
          <w:tcPr>
            <w:tcW w:w="0" w:type="dxa"/>
            <w:vAlign w:val="bottom"/>
          </w:tcPr>
          <w:p>
            <w:pPr>
              <w:spacing w:after="0"/>
              <w:rPr>
                <w:sz w:val="1"/>
                <w:szCs w:val="1"/>
                <w:color w:val="auto"/>
              </w:rPr>
            </w:pPr>
          </w:p>
        </w:tc>
      </w:tr>
      <w:tr>
        <w:trPr>
          <w:trHeight w:val="225"/>
        </w:trPr>
        <w:tc>
          <w:tcPr>
            <w:tcW w:w="1440" w:type="dxa"/>
            <w:vAlign w:val="bottom"/>
          </w:tcPr>
          <w:p>
            <w:pPr>
              <w:ind w:left="200"/>
              <w:spacing w:after="0"/>
              <w:rPr>
                <w:sz w:val="20"/>
                <w:szCs w:val="20"/>
                <w:color w:val="auto"/>
              </w:rPr>
            </w:pPr>
            <w:r>
              <w:rPr>
                <w:rFonts w:ascii="Arial" w:cs="Arial" w:eastAsia="Arial" w:hAnsi="Arial"/>
                <w:sz w:val="18"/>
                <w:szCs w:val="18"/>
                <w:color w:val="auto"/>
              </w:rPr>
              <w:t>Item 1.</w:t>
            </w:r>
          </w:p>
        </w:tc>
        <w:tc>
          <w:tcPr>
            <w:tcW w:w="9140" w:type="dxa"/>
            <w:vAlign w:val="bottom"/>
          </w:tcPr>
          <w:p>
            <w:pPr>
              <w:ind w:left="2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ind w:left="200"/>
              <w:spacing w:after="0"/>
              <w:rPr>
                <w:sz w:val="20"/>
                <w:szCs w:val="20"/>
                <w:color w:val="auto"/>
              </w:rPr>
            </w:pPr>
            <w:r>
              <w:rPr>
                <w:rFonts w:ascii="Arial" w:cs="Arial" w:eastAsia="Arial" w:hAnsi="Arial"/>
                <w:sz w:val="18"/>
                <w:szCs w:val="18"/>
                <w:color w:val="auto"/>
              </w:rPr>
              <w:t>Item 1A.</w:t>
            </w:r>
          </w:p>
        </w:tc>
        <w:tc>
          <w:tcPr>
            <w:tcW w:w="9140" w:type="dxa"/>
            <w:vAlign w:val="bottom"/>
          </w:tcPr>
          <w:p>
            <w:pPr>
              <w:ind w:left="26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Risk Factors</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17">
              <w:r>
                <w:rPr>
                  <w:rFonts w:ascii="Arial" w:cs="Arial" w:eastAsia="Arial" w:hAnsi="Arial"/>
                  <w:sz w:val="18"/>
                  <w:szCs w:val="18"/>
                  <w:b w:val="1"/>
                  <w:bCs w:val="1"/>
                  <w:u w:val="single" w:color="auto"/>
                  <w:color w:val="0000FF"/>
                </w:rPr>
                <w:t>17</w:t>
              </w:r>
            </w:hyperlink>
          </w:p>
        </w:tc>
        <w:tc>
          <w:tcPr>
            <w:tcW w:w="0" w:type="dxa"/>
            <w:vAlign w:val="bottom"/>
          </w:tcPr>
          <w:p>
            <w:pPr>
              <w:spacing w:after="0"/>
              <w:rPr>
                <w:sz w:val="1"/>
                <w:szCs w:val="1"/>
                <w:color w:val="auto"/>
              </w:rPr>
            </w:pPr>
          </w:p>
        </w:tc>
      </w:tr>
      <w:tr>
        <w:trPr>
          <w:trHeight w:val="230"/>
        </w:trPr>
        <w:tc>
          <w:tcPr>
            <w:tcW w:w="1440" w:type="dxa"/>
            <w:vAlign w:val="bottom"/>
          </w:tcPr>
          <w:p>
            <w:pPr>
              <w:ind w:left="200"/>
              <w:spacing w:after="0"/>
              <w:rPr>
                <w:sz w:val="20"/>
                <w:szCs w:val="20"/>
                <w:color w:val="auto"/>
              </w:rPr>
            </w:pPr>
            <w:r>
              <w:rPr>
                <w:rFonts w:ascii="Arial" w:cs="Arial" w:eastAsia="Arial" w:hAnsi="Arial"/>
                <w:sz w:val="18"/>
                <w:szCs w:val="18"/>
                <w:color w:val="auto"/>
              </w:rPr>
              <w:t>Item 1B.</w:t>
            </w:r>
          </w:p>
        </w:tc>
        <w:tc>
          <w:tcPr>
            <w:tcW w:w="9140" w:type="dxa"/>
            <w:vAlign w:val="bottom"/>
          </w:tcPr>
          <w:p>
            <w:pPr>
              <w:ind w:left="26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Unresolved Staff Comments</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31</w:t>
              </w:r>
            </w:hyperlink>
          </w:p>
        </w:tc>
        <w:tc>
          <w:tcPr>
            <w:tcW w:w="0" w:type="dxa"/>
            <w:vAlign w:val="bottom"/>
          </w:tcPr>
          <w:p>
            <w:pPr>
              <w:spacing w:after="0"/>
              <w:rPr>
                <w:sz w:val="1"/>
                <w:szCs w:val="1"/>
                <w:color w:val="auto"/>
              </w:rPr>
            </w:pPr>
          </w:p>
        </w:tc>
      </w:tr>
      <w:tr>
        <w:trPr>
          <w:trHeight w:val="229"/>
        </w:trPr>
        <w:tc>
          <w:tcPr>
            <w:tcW w:w="1440" w:type="dxa"/>
            <w:vAlign w:val="bottom"/>
          </w:tcPr>
          <w:p>
            <w:pPr>
              <w:ind w:left="200"/>
              <w:spacing w:after="0"/>
              <w:rPr>
                <w:sz w:val="20"/>
                <w:szCs w:val="20"/>
                <w:color w:val="auto"/>
              </w:rPr>
            </w:pPr>
            <w:r>
              <w:rPr>
                <w:rFonts w:ascii="Arial" w:cs="Arial" w:eastAsia="Arial" w:hAnsi="Arial"/>
                <w:sz w:val="18"/>
                <w:szCs w:val="18"/>
                <w:color w:val="auto"/>
              </w:rPr>
              <w:t>Item 2.</w:t>
            </w:r>
          </w:p>
        </w:tc>
        <w:tc>
          <w:tcPr>
            <w:tcW w:w="9140" w:type="dxa"/>
            <w:vAlign w:val="bottom"/>
          </w:tcPr>
          <w:p>
            <w:pPr>
              <w:ind w:left="26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Properties</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31</w:t>
              </w:r>
            </w:hyperlink>
          </w:p>
        </w:tc>
        <w:tc>
          <w:tcPr>
            <w:tcW w:w="0" w:type="dxa"/>
            <w:vAlign w:val="bottom"/>
          </w:tcPr>
          <w:p>
            <w:pPr>
              <w:spacing w:after="0"/>
              <w:rPr>
                <w:sz w:val="1"/>
                <w:szCs w:val="1"/>
                <w:color w:val="auto"/>
              </w:rPr>
            </w:pPr>
          </w:p>
        </w:tc>
      </w:tr>
      <w:tr>
        <w:trPr>
          <w:trHeight w:val="229"/>
        </w:trPr>
        <w:tc>
          <w:tcPr>
            <w:tcW w:w="1440" w:type="dxa"/>
            <w:vAlign w:val="bottom"/>
          </w:tcPr>
          <w:p>
            <w:pPr>
              <w:ind w:left="200"/>
              <w:spacing w:after="0"/>
              <w:rPr>
                <w:sz w:val="20"/>
                <w:szCs w:val="20"/>
                <w:color w:val="auto"/>
              </w:rPr>
            </w:pPr>
            <w:r>
              <w:rPr>
                <w:rFonts w:ascii="Arial" w:cs="Arial" w:eastAsia="Arial" w:hAnsi="Arial"/>
                <w:sz w:val="18"/>
                <w:szCs w:val="18"/>
                <w:color w:val="auto"/>
              </w:rPr>
              <w:t>Item 3.</w:t>
            </w:r>
          </w:p>
        </w:tc>
        <w:tc>
          <w:tcPr>
            <w:tcW w:w="9140" w:type="dxa"/>
            <w:vAlign w:val="bottom"/>
          </w:tcPr>
          <w:p>
            <w:pPr>
              <w:ind w:left="26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Legal Proceedings</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31</w:t>
              </w:r>
            </w:hyperlink>
          </w:p>
        </w:tc>
        <w:tc>
          <w:tcPr>
            <w:tcW w:w="0" w:type="dxa"/>
            <w:vAlign w:val="bottom"/>
          </w:tcPr>
          <w:p>
            <w:pPr>
              <w:spacing w:after="0"/>
              <w:rPr>
                <w:sz w:val="1"/>
                <w:szCs w:val="1"/>
                <w:color w:val="auto"/>
              </w:rPr>
            </w:pPr>
          </w:p>
        </w:tc>
      </w:tr>
      <w:tr>
        <w:trPr>
          <w:trHeight w:val="230"/>
        </w:trPr>
        <w:tc>
          <w:tcPr>
            <w:tcW w:w="1440" w:type="dxa"/>
            <w:vAlign w:val="bottom"/>
          </w:tcPr>
          <w:p>
            <w:pPr>
              <w:ind w:left="200"/>
              <w:spacing w:after="0"/>
              <w:rPr>
                <w:sz w:val="20"/>
                <w:szCs w:val="20"/>
                <w:color w:val="auto"/>
              </w:rPr>
            </w:pPr>
            <w:r>
              <w:rPr>
                <w:rFonts w:ascii="Arial" w:cs="Arial" w:eastAsia="Arial" w:hAnsi="Arial"/>
                <w:sz w:val="18"/>
                <w:szCs w:val="18"/>
                <w:color w:val="auto"/>
              </w:rPr>
              <w:t>Item 4.</w:t>
            </w:r>
          </w:p>
        </w:tc>
        <w:tc>
          <w:tcPr>
            <w:tcW w:w="9140" w:type="dxa"/>
            <w:vAlign w:val="bottom"/>
          </w:tcPr>
          <w:p>
            <w:pPr>
              <w:ind w:left="2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Mine Safety Disclosures</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32</w:t>
              </w:r>
            </w:hyperlink>
          </w:p>
        </w:tc>
        <w:tc>
          <w:tcPr>
            <w:tcW w:w="0" w:type="dxa"/>
            <w:vAlign w:val="bottom"/>
          </w:tcPr>
          <w:p>
            <w:pPr>
              <w:spacing w:after="0"/>
              <w:rPr>
                <w:sz w:val="1"/>
                <w:szCs w:val="1"/>
                <w:color w:val="auto"/>
              </w:rPr>
            </w:pPr>
          </w:p>
        </w:tc>
      </w:tr>
      <w:tr>
        <w:trPr>
          <w:trHeight w:val="233"/>
        </w:trPr>
        <w:tc>
          <w:tcPr>
            <w:tcW w:w="14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40" w:type="dxa"/>
            <w:vAlign w:val="bottom"/>
          </w:tcPr>
          <w:p>
            <w:pPr>
              <w:spacing w:after="0"/>
              <w:rPr>
                <w:sz w:val="20"/>
                <w:szCs w:val="20"/>
                <w:color w:val="auto"/>
              </w:rPr>
            </w:pPr>
          </w:p>
        </w:tc>
        <w:tc>
          <w:tcPr>
            <w:tcW w:w="600" w:type="dxa"/>
            <w:vAlign w:val="bottom"/>
            <w:vMerge w:val="restart"/>
          </w:tcPr>
          <w:p>
            <w:pPr>
              <w:jc w:val="right"/>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33</w:t>
              </w:r>
            </w:hyperlink>
          </w:p>
        </w:tc>
        <w:tc>
          <w:tcPr>
            <w:tcW w:w="0" w:type="dxa"/>
            <w:vAlign w:val="bottom"/>
          </w:tcPr>
          <w:p>
            <w:pPr>
              <w:spacing w:after="0"/>
              <w:rPr>
                <w:sz w:val="1"/>
                <w:szCs w:val="1"/>
                <w:color w:val="auto"/>
              </w:rPr>
            </w:pPr>
          </w:p>
        </w:tc>
      </w:tr>
      <w:tr>
        <w:trPr>
          <w:trHeight w:val="226"/>
        </w:trPr>
        <w:tc>
          <w:tcPr>
            <w:tcW w:w="1440" w:type="dxa"/>
            <w:vAlign w:val="bottom"/>
          </w:tcPr>
          <w:p>
            <w:pPr>
              <w:ind w:left="200"/>
              <w:spacing w:after="0"/>
              <w:rPr>
                <w:sz w:val="20"/>
                <w:szCs w:val="20"/>
                <w:color w:val="auto"/>
              </w:rPr>
            </w:pPr>
            <w:r>
              <w:rPr>
                <w:rFonts w:ascii="Arial" w:cs="Arial" w:eastAsia="Arial" w:hAnsi="Arial"/>
                <w:sz w:val="18"/>
                <w:szCs w:val="18"/>
                <w:color w:val="auto"/>
              </w:rPr>
              <w:t>Item 5.</w:t>
            </w:r>
          </w:p>
        </w:tc>
        <w:tc>
          <w:tcPr>
            <w:tcW w:w="9140" w:type="dxa"/>
            <w:vAlign w:val="bottom"/>
          </w:tcPr>
          <w:p>
            <w:pPr>
              <w:ind w:left="260"/>
              <w:spacing w:after="0"/>
              <w:rPr>
                <w:rFonts w:ascii="Arial" w:cs="Arial" w:eastAsia="Arial" w:hAnsi="Arial"/>
                <w:sz w:val="18"/>
                <w:szCs w:val="18"/>
                <w:u w:val="single" w:color="auto"/>
                <w:color w:val="0000FF"/>
                <w:w w:val="99"/>
              </w:rPr>
            </w:pPr>
            <w:hyperlink w:anchor="page33">
              <w:r>
                <w:rPr>
                  <w:rFonts w:ascii="Arial" w:cs="Arial" w:eastAsia="Arial" w:hAnsi="Arial"/>
                  <w:sz w:val="18"/>
                  <w:szCs w:val="18"/>
                  <w:u w:val="single" w:color="auto"/>
                  <w:color w:val="0000FF"/>
                  <w:w w:val="99"/>
                </w:rPr>
                <w:t>Market for Registrant’s Common Equity, Related Stockholder Matters and Issuer Purchases of Equity Securities</w:t>
              </w:r>
            </w:hyperlink>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ind w:left="200"/>
              <w:spacing w:after="0"/>
              <w:rPr>
                <w:sz w:val="20"/>
                <w:szCs w:val="20"/>
                <w:color w:val="auto"/>
              </w:rPr>
            </w:pPr>
            <w:r>
              <w:rPr>
                <w:rFonts w:ascii="Arial" w:cs="Arial" w:eastAsia="Arial" w:hAnsi="Arial"/>
                <w:sz w:val="18"/>
                <w:szCs w:val="18"/>
                <w:color w:val="auto"/>
              </w:rPr>
              <w:t>Item 6.</w:t>
            </w:r>
          </w:p>
        </w:tc>
        <w:tc>
          <w:tcPr>
            <w:tcW w:w="9140" w:type="dxa"/>
            <w:vAlign w:val="bottom"/>
          </w:tcPr>
          <w:p>
            <w:pPr>
              <w:ind w:left="2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Selected Financial Data</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35</w:t>
              </w:r>
            </w:hyperlink>
          </w:p>
        </w:tc>
        <w:tc>
          <w:tcPr>
            <w:tcW w:w="0" w:type="dxa"/>
            <w:vAlign w:val="bottom"/>
          </w:tcPr>
          <w:p>
            <w:pPr>
              <w:spacing w:after="0"/>
              <w:rPr>
                <w:sz w:val="1"/>
                <w:szCs w:val="1"/>
                <w:color w:val="auto"/>
              </w:rPr>
            </w:pPr>
          </w:p>
        </w:tc>
      </w:tr>
      <w:tr>
        <w:trPr>
          <w:trHeight w:val="229"/>
        </w:trPr>
        <w:tc>
          <w:tcPr>
            <w:tcW w:w="1440" w:type="dxa"/>
            <w:vAlign w:val="bottom"/>
          </w:tcPr>
          <w:p>
            <w:pPr>
              <w:ind w:left="200"/>
              <w:spacing w:after="0"/>
              <w:rPr>
                <w:sz w:val="20"/>
                <w:szCs w:val="20"/>
                <w:color w:val="auto"/>
              </w:rPr>
            </w:pPr>
            <w:r>
              <w:rPr>
                <w:rFonts w:ascii="Arial" w:cs="Arial" w:eastAsia="Arial" w:hAnsi="Arial"/>
                <w:sz w:val="18"/>
                <w:szCs w:val="18"/>
                <w:color w:val="auto"/>
              </w:rPr>
              <w:t>Item 7.</w:t>
            </w:r>
          </w:p>
        </w:tc>
        <w:tc>
          <w:tcPr>
            <w:tcW w:w="9140" w:type="dxa"/>
            <w:vAlign w:val="bottom"/>
          </w:tcPr>
          <w:p>
            <w:pPr>
              <w:ind w:left="2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Management’s Discussion and Analysis of Financial Condition and Results of Operations</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36</w:t>
              </w:r>
            </w:hyperlink>
          </w:p>
        </w:tc>
        <w:tc>
          <w:tcPr>
            <w:tcW w:w="0" w:type="dxa"/>
            <w:vAlign w:val="bottom"/>
          </w:tcPr>
          <w:p>
            <w:pPr>
              <w:spacing w:after="0"/>
              <w:rPr>
                <w:sz w:val="1"/>
                <w:szCs w:val="1"/>
                <w:color w:val="auto"/>
              </w:rPr>
            </w:pPr>
          </w:p>
        </w:tc>
      </w:tr>
      <w:tr>
        <w:trPr>
          <w:trHeight w:val="230"/>
        </w:trPr>
        <w:tc>
          <w:tcPr>
            <w:tcW w:w="1440" w:type="dxa"/>
            <w:vAlign w:val="bottom"/>
          </w:tcPr>
          <w:p>
            <w:pPr>
              <w:ind w:left="200"/>
              <w:spacing w:after="0"/>
              <w:rPr>
                <w:sz w:val="20"/>
                <w:szCs w:val="20"/>
                <w:color w:val="auto"/>
              </w:rPr>
            </w:pPr>
            <w:r>
              <w:rPr>
                <w:rFonts w:ascii="Arial" w:cs="Arial" w:eastAsia="Arial" w:hAnsi="Arial"/>
                <w:sz w:val="18"/>
                <w:szCs w:val="18"/>
                <w:color w:val="auto"/>
              </w:rPr>
              <w:t>Item 7A.</w:t>
            </w:r>
          </w:p>
        </w:tc>
        <w:tc>
          <w:tcPr>
            <w:tcW w:w="9140" w:type="dxa"/>
            <w:vAlign w:val="bottom"/>
          </w:tcPr>
          <w:p>
            <w:pPr>
              <w:ind w:left="26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Quantitative and Qualitative Disclosure About Market Risk</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60">
              <w:r>
                <w:rPr>
                  <w:rFonts w:ascii="Arial" w:cs="Arial" w:eastAsia="Arial" w:hAnsi="Arial"/>
                  <w:sz w:val="18"/>
                  <w:szCs w:val="18"/>
                  <w:b w:val="1"/>
                  <w:bCs w:val="1"/>
                  <w:u w:val="single" w:color="auto"/>
                  <w:color w:val="0000FF"/>
                </w:rPr>
                <w:t>60</w:t>
              </w:r>
            </w:hyperlink>
          </w:p>
        </w:tc>
        <w:tc>
          <w:tcPr>
            <w:tcW w:w="0" w:type="dxa"/>
            <w:vAlign w:val="bottom"/>
          </w:tcPr>
          <w:p>
            <w:pPr>
              <w:spacing w:after="0"/>
              <w:rPr>
                <w:sz w:val="1"/>
                <w:szCs w:val="1"/>
                <w:color w:val="auto"/>
              </w:rPr>
            </w:pPr>
          </w:p>
        </w:tc>
      </w:tr>
      <w:tr>
        <w:trPr>
          <w:trHeight w:val="229"/>
        </w:trPr>
        <w:tc>
          <w:tcPr>
            <w:tcW w:w="1440" w:type="dxa"/>
            <w:vAlign w:val="bottom"/>
          </w:tcPr>
          <w:p>
            <w:pPr>
              <w:ind w:left="200"/>
              <w:spacing w:after="0"/>
              <w:rPr>
                <w:sz w:val="20"/>
                <w:szCs w:val="20"/>
                <w:color w:val="auto"/>
              </w:rPr>
            </w:pPr>
            <w:r>
              <w:rPr>
                <w:rFonts w:ascii="Arial" w:cs="Arial" w:eastAsia="Arial" w:hAnsi="Arial"/>
                <w:sz w:val="18"/>
                <w:szCs w:val="18"/>
                <w:color w:val="auto"/>
              </w:rPr>
              <w:t>Item 8.</w:t>
            </w:r>
          </w:p>
        </w:tc>
        <w:tc>
          <w:tcPr>
            <w:tcW w:w="9140" w:type="dxa"/>
            <w:vAlign w:val="bottom"/>
          </w:tcPr>
          <w:p>
            <w:pPr>
              <w:ind w:left="26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Financial Statements and Supplementary Data</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61</w:t>
              </w:r>
            </w:hyperlink>
          </w:p>
        </w:tc>
        <w:tc>
          <w:tcPr>
            <w:tcW w:w="0" w:type="dxa"/>
            <w:vAlign w:val="bottom"/>
          </w:tcPr>
          <w:p>
            <w:pPr>
              <w:spacing w:after="0"/>
              <w:rPr>
                <w:sz w:val="1"/>
                <w:szCs w:val="1"/>
                <w:color w:val="auto"/>
              </w:rPr>
            </w:pPr>
          </w:p>
        </w:tc>
      </w:tr>
      <w:tr>
        <w:trPr>
          <w:trHeight w:val="230"/>
        </w:trPr>
        <w:tc>
          <w:tcPr>
            <w:tcW w:w="1440" w:type="dxa"/>
            <w:vAlign w:val="bottom"/>
          </w:tcPr>
          <w:p>
            <w:pPr>
              <w:ind w:left="200"/>
              <w:spacing w:after="0"/>
              <w:rPr>
                <w:sz w:val="20"/>
                <w:szCs w:val="20"/>
                <w:color w:val="auto"/>
              </w:rPr>
            </w:pPr>
            <w:r>
              <w:rPr>
                <w:rFonts w:ascii="Arial" w:cs="Arial" w:eastAsia="Arial" w:hAnsi="Arial"/>
                <w:sz w:val="18"/>
                <w:szCs w:val="18"/>
                <w:color w:val="auto"/>
              </w:rPr>
              <w:t>Item 9.</w:t>
            </w:r>
          </w:p>
        </w:tc>
        <w:tc>
          <w:tcPr>
            <w:tcW w:w="9140" w:type="dxa"/>
            <w:vAlign w:val="bottom"/>
          </w:tcPr>
          <w:p>
            <w:pPr>
              <w:ind w:left="26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Changes in and Disagreements with Accountants on Accounting and Financial Disclosure</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61</w:t>
              </w:r>
            </w:hyperlink>
          </w:p>
        </w:tc>
        <w:tc>
          <w:tcPr>
            <w:tcW w:w="0" w:type="dxa"/>
            <w:vAlign w:val="bottom"/>
          </w:tcPr>
          <w:p>
            <w:pPr>
              <w:spacing w:after="0"/>
              <w:rPr>
                <w:sz w:val="1"/>
                <w:szCs w:val="1"/>
                <w:color w:val="auto"/>
              </w:rPr>
            </w:pPr>
          </w:p>
        </w:tc>
      </w:tr>
      <w:tr>
        <w:trPr>
          <w:trHeight w:val="229"/>
        </w:trPr>
        <w:tc>
          <w:tcPr>
            <w:tcW w:w="1440" w:type="dxa"/>
            <w:vAlign w:val="bottom"/>
          </w:tcPr>
          <w:p>
            <w:pPr>
              <w:ind w:left="200"/>
              <w:spacing w:after="0"/>
              <w:rPr>
                <w:sz w:val="20"/>
                <w:szCs w:val="20"/>
                <w:color w:val="auto"/>
              </w:rPr>
            </w:pPr>
            <w:r>
              <w:rPr>
                <w:rFonts w:ascii="Arial" w:cs="Arial" w:eastAsia="Arial" w:hAnsi="Arial"/>
                <w:sz w:val="18"/>
                <w:szCs w:val="18"/>
                <w:color w:val="auto"/>
              </w:rPr>
              <w:t>Item 9A.</w:t>
            </w:r>
          </w:p>
        </w:tc>
        <w:tc>
          <w:tcPr>
            <w:tcW w:w="9140" w:type="dxa"/>
            <w:vAlign w:val="bottom"/>
          </w:tcPr>
          <w:p>
            <w:pPr>
              <w:ind w:left="26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Controls and Procedures</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61</w:t>
              </w:r>
            </w:hyperlink>
          </w:p>
        </w:tc>
        <w:tc>
          <w:tcPr>
            <w:tcW w:w="0" w:type="dxa"/>
            <w:vAlign w:val="bottom"/>
          </w:tcPr>
          <w:p>
            <w:pPr>
              <w:spacing w:after="0"/>
              <w:rPr>
                <w:sz w:val="1"/>
                <w:szCs w:val="1"/>
                <w:color w:val="auto"/>
              </w:rPr>
            </w:pPr>
          </w:p>
        </w:tc>
      </w:tr>
      <w:tr>
        <w:trPr>
          <w:trHeight w:val="229"/>
        </w:trPr>
        <w:tc>
          <w:tcPr>
            <w:tcW w:w="1440" w:type="dxa"/>
            <w:vAlign w:val="bottom"/>
          </w:tcPr>
          <w:p>
            <w:pPr>
              <w:ind w:left="200"/>
              <w:spacing w:after="0"/>
              <w:rPr>
                <w:sz w:val="20"/>
                <w:szCs w:val="20"/>
                <w:color w:val="auto"/>
              </w:rPr>
            </w:pPr>
            <w:r>
              <w:rPr>
                <w:rFonts w:ascii="Arial" w:cs="Arial" w:eastAsia="Arial" w:hAnsi="Arial"/>
                <w:sz w:val="18"/>
                <w:szCs w:val="18"/>
                <w:color w:val="auto"/>
              </w:rPr>
              <w:t>Item 9B.</w:t>
            </w:r>
          </w:p>
        </w:tc>
        <w:tc>
          <w:tcPr>
            <w:tcW w:w="9140" w:type="dxa"/>
            <w:vAlign w:val="bottom"/>
          </w:tcPr>
          <w:p>
            <w:pPr>
              <w:ind w:left="26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Other Information</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62</w:t>
              </w:r>
            </w:hyperlink>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140" w:type="dxa"/>
            <w:vAlign w:val="bottom"/>
          </w:tcPr>
          <w:p>
            <w:pPr>
              <w:spacing w:after="0"/>
              <w:rPr>
                <w:sz w:val="20"/>
                <w:szCs w:val="20"/>
                <w:color w:val="auto"/>
              </w:rPr>
            </w:pPr>
          </w:p>
        </w:tc>
        <w:tc>
          <w:tcPr>
            <w:tcW w:w="600" w:type="dxa"/>
            <w:vAlign w:val="bottom"/>
            <w:vMerge w:val="restart"/>
          </w:tcPr>
          <w:p>
            <w:pPr>
              <w:jc w:val="right"/>
              <w:spacing w:after="0"/>
              <w:rPr>
                <w:rFonts w:ascii="Arial" w:cs="Arial" w:eastAsia="Arial" w:hAnsi="Arial"/>
                <w:sz w:val="18"/>
                <w:szCs w:val="18"/>
                <w:b w:val="1"/>
                <w:bCs w:val="1"/>
                <w:u w:val="single" w:color="auto"/>
                <w:color w:val="0000FF"/>
              </w:rPr>
            </w:pPr>
            <w:hyperlink w:anchor="page63">
              <w:r>
                <w:rPr>
                  <w:rFonts w:ascii="Arial" w:cs="Arial" w:eastAsia="Arial" w:hAnsi="Arial"/>
                  <w:sz w:val="18"/>
                  <w:szCs w:val="18"/>
                  <w:b w:val="1"/>
                  <w:bCs w:val="1"/>
                  <w:u w:val="single" w:color="auto"/>
                  <w:color w:val="0000FF"/>
                </w:rPr>
                <w:t>63</w:t>
              </w:r>
            </w:hyperlink>
          </w:p>
        </w:tc>
        <w:tc>
          <w:tcPr>
            <w:tcW w:w="0" w:type="dxa"/>
            <w:vAlign w:val="bottom"/>
          </w:tcPr>
          <w:p>
            <w:pPr>
              <w:spacing w:after="0"/>
              <w:rPr>
                <w:sz w:val="1"/>
                <w:szCs w:val="1"/>
                <w:color w:val="auto"/>
              </w:rPr>
            </w:pPr>
          </w:p>
        </w:tc>
      </w:tr>
      <w:tr>
        <w:trPr>
          <w:trHeight w:val="225"/>
        </w:trPr>
        <w:tc>
          <w:tcPr>
            <w:tcW w:w="1440" w:type="dxa"/>
            <w:vAlign w:val="bottom"/>
          </w:tcPr>
          <w:p>
            <w:pPr>
              <w:ind w:left="200"/>
              <w:spacing w:after="0"/>
              <w:rPr>
                <w:sz w:val="20"/>
                <w:szCs w:val="20"/>
                <w:color w:val="auto"/>
              </w:rPr>
            </w:pPr>
            <w:r>
              <w:rPr>
                <w:rFonts w:ascii="Arial" w:cs="Arial" w:eastAsia="Arial" w:hAnsi="Arial"/>
                <w:sz w:val="18"/>
                <w:szCs w:val="18"/>
                <w:color w:val="auto"/>
              </w:rPr>
              <w:t>Item 10.</w:t>
            </w:r>
          </w:p>
        </w:tc>
        <w:tc>
          <w:tcPr>
            <w:tcW w:w="9140" w:type="dxa"/>
            <w:vAlign w:val="bottom"/>
          </w:tcPr>
          <w:p>
            <w:pPr>
              <w:ind w:left="26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Directors, Executive Officers and Corporate Governance</w:t>
              </w:r>
            </w:hyperlink>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ind w:left="200"/>
              <w:spacing w:after="0"/>
              <w:rPr>
                <w:sz w:val="20"/>
                <w:szCs w:val="20"/>
                <w:color w:val="auto"/>
              </w:rPr>
            </w:pPr>
            <w:r>
              <w:rPr>
                <w:rFonts w:ascii="Arial" w:cs="Arial" w:eastAsia="Arial" w:hAnsi="Arial"/>
                <w:sz w:val="18"/>
                <w:szCs w:val="18"/>
                <w:color w:val="auto"/>
              </w:rPr>
              <w:t>Item 11.</w:t>
            </w:r>
          </w:p>
        </w:tc>
        <w:tc>
          <w:tcPr>
            <w:tcW w:w="9140" w:type="dxa"/>
            <w:vAlign w:val="bottom"/>
          </w:tcPr>
          <w:p>
            <w:pPr>
              <w:ind w:left="26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Executive Compensation</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63">
              <w:r>
                <w:rPr>
                  <w:rFonts w:ascii="Arial" w:cs="Arial" w:eastAsia="Arial" w:hAnsi="Arial"/>
                  <w:sz w:val="18"/>
                  <w:szCs w:val="18"/>
                  <w:b w:val="1"/>
                  <w:bCs w:val="1"/>
                  <w:u w:val="single" w:color="auto"/>
                  <w:color w:val="0000FF"/>
                </w:rPr>
                <w:t>63</w:t>
              </w:r>
            </w:hyperlink>
          </w:p>
        </w:tc>
        <w:tc>
          <w:tcPr>
            <w:tcW w:w="0" w:type="dxa"/>
            <w:vAlign w:val="bottom"/>
          </w:tcPr>
          <w:p>
            <w:pPr>
              <w:spacing w:after="0"/>
              <w:rPr>
                <w:sz w:val="1"/>
                <w:szCs w:val="1"/>
                <w:color w:val="auto"/>
              </w:rPr>
            </w:pPr>
          </w:p>
        </w:tc>
      </w:tr>
      <w:tr>
        <w:trPr>
          <w:trHeight w:val="230"/>
        </w:trPr>
        <w:tc>
          <w:tcPr>
            <w:tcW w:w="1440" w:type="dxa"/>
            <w:vAlign w:val="bottom"/>
          </w:tcPr>
          <w:p>
            <w:pPr>
              <w:ind w:left="200"/>
              <w:spacing w:after="0"/>
              <w:rPr>
                <w:sz w:val="20"/>
                <w:szCs w:val="20"/>
                <w:color w:val="auto"/>
              </w:rPr>
            </w:pPr>
            <w:r>
              <w:rPr>
                <w:rFonts w:ascii="Arial" w:cs="Arial" w:eastAsia="Arial" w:hAnsi="Arial"/>
                <w:sz w:val="18"/>
                <w:szCs w:val="18"/>
                <w:color w:val="auto"/>
              </w:rPr>
              <w:t>Item 12.</w:t>
            </w:r>
          </w:p>
        </w:tc>
        <w:tc>
          <w:tcPr>
            <w:tcW w:w="9140" w:type="dxa"/>
            <w:vAlign w:val="bottom"/>
          </w:tcPr>
          <w:p>
            <w:pPr>
              <w:ind w:left="26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Security Ownership of Certain Beneficial Owners and Management and Related Stockholder Matters</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63">
              <w:r>
                <w:rPr>
                  <w:rFonts w:ascii="Arial" w:cs="Arial" w:eastAsia="Arial" w:hAnsi="Arial"/>
                  <w:sz w:val="18"/>
                  <w:szCs w:val="18"/>
                  <w:b w:val="1"/>
                  <w:bCs w:val="1"/>
                  <w:u w:val="single" w:color="auto"/>
                  <w:color w:val="0000FF"/>
                </w:rPr>
                <w:t>63</w:t>
              </w:r>
            </w:hyperlink>
          </w:p>
        </w:tc>
        <w:tc>
          <w:tcPr>
            <w:tcW w:w="0" w:type="dxa"/>
            <w:vAlign w:val="bottom"/>
          </w:tcPr>
          <w:p>
            <w:pPr>
              <w:spacing w:after="0"/>
              <w:rPr>
                <w:sz w:val="1"/>
                <w:szCs w:val="1"/>
                <w:color w:val="auto"/>
              </w:rPr>
            </w:pPr>
          </w:p>
        </w:tc>
      </w:tr>
      <w:tr>
        <w:trPr>
          <w:trHeight w:val="229"/>
        </w:trPr>
        <w:tc>
          <w:tcPr>
            <w:tcW w:w="1440" w:type="dxa"/>
            <w:vAlign w:val="bottom"/>
          </w:tcPr>
          <w:p>
            <w:pPr>
              <w:ind w:left="200"/>
              <w:spacing w:after="0"/>
              <w:rPr>
                <w:sz w:val="20"/>
                <w:szCs w:val="20"/>
                <w:color w:val="auto"/>
              </w:rPr>
            </w:pPr>
            <w:r>
              <w:rPr>
                <w:rFonts w:ascii="Arial" w:cs="Arial" w:eastAsia="Arial" w:hAnsi="Arial"/>
                <w:sz w:val="18"/>
                <w:szCs w:val="18"/>
                <w:color w:val="auto"/>
              </w:rPr>
              <w:t>Item 13.</w:t>
            </w:r>
          </w:p>
        </w:tc>
        <w:tc>
          <w:tcPr>
            <w:tcW w:w="9140" w:type="dxa"/>
            <w:vAlign w:val="bottom"/>
          </w:tcPr>
          <w:p>
            <w:pPr>
              <w:ind w:left="26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Certain Relationships and Related Transactions, and Director Independence</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63">
              <w:r>
                <w:rPr>
                  <w:rFonts w:ascii="Arial" w:cs="Arial" w:eastAsia="Arial" w:hAnsi="Arial"/>
                  <w:sz w:val="18"/>
                  <w:szCs w:val="18"/>
                  <w:b w:val="1"/>
                  <w:bCs w:val="1"/>
                  <w:u w:val="single" w:color="auto"/>
                  <w:color w:val="0000FF"/>
                </w:rPr>
                <w:t>63</w:t>
              </w:r>
            </w:hyperlink>
          </w:p>
        </w:tc>
        <w:tc>
          <w:tcPr>
            <w:tcW w:w="0" w:type="dxa"/>
            <w:vAlign w:val="bottom"/>
          </w:tcPr>
          <w:p>
            <w:pPr>
              <w:spacing w:after="0"/>
              <w:rPr>
                <w:sz w:val="1"/>
                <w:szCs w:val="1"/>
                <w:color w:val="auto"/>
              </w:rPr>
            </w:pPr>
          </w:p>
        </w:tc>
      </w:tr>
      <w:tr>
        <w:trPr>
          <w:trHeight w:val="230"/>
        </w:trPr>
        <w:tc>
          <w:tcPr>
            <w:tcW w:w="1440" w:type="dxa"/>
            <w:vAlign w:val="bottom"/>
          </w:tcPr>
          <w:p>
            <w:pPr>
              <w:ind w:left="200"/>
              <w:spacing w:after="0"/>
              <w:rPr>
                <w:sz w:val="20"/>
                <w:szCs w:val="20"/>
                <w:color w:val="auto"/>
              </w:rPr>
            </w:pPr>
            <w:r>
              <w:rPr>
                <w:rFonts w:ascii="Arial" w:cs="Arial" w:eastAsia="Arial" w:hAnsi="Arial"/>
                <w:sz w:val="18"/>
                <w:szCs w:val="18"/>
                <w:color w:val="auto"/>
              </w:rPr>
              <w:t>Item 14.</w:t>
            </w:r>
          </w:p>
        </w:tc>
        <w:tc>
          <w:tcPr>
            <w:tcW w:w="9140" w:type="dxa"/>
            <w:vAlign w:val="bottom"/>
          </w:tcPr>
          <w:p>
            <w:pPr>
              <w:ind w:left="26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Principal Accountant Fees and Services</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63">
              <w:r>
                <w:rPr>
                  <w:rFonts w:ascii="Arial" w:cs="Arial" w:eastAsia="Arial" w:hAnsi="Arial"/>
                  <w:sz w:val="18"/>
                  <w:szCs w:val="18"/>
                  <w:b w:val="1"/>
                  <w:bCs w:val="1"/>
                  <w:u w:val="single" w:color="auto"/>
                  <w:color w:val="0000FF"/>
                </w:rPr>
                <w:t>63</w:t>
              </w:r>
            </w:hyperlink>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140" w:type="dxa"/>
            <w:vAlign w:val="bottom"/>
          </w:tcPr>
          <w:p>
            <w:pPr>
              <w:spacing w:after="0"/>
              <w:rPr>
                <w:sz w:val="20"/>
                <w:szCs w:val="20"/>
                <w:color w:val="auto"/>
              </w:rPr>
            </w:pPr>
          </w:p>
        </w:tc>
        <w:tc>
          <w:tcPr>
            <w:tcW w:w="600" w:type="dxa"/>
            <w:vAlign w:val="bottom"/>
            <w:vMerge w:val="restart"/>
          </w:tcPr>
          <w:p>
            <w:pPr>
              <w:jc w:val="right"/>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64</w:t>
              </w:r>
            </w:hyperlink>
          </w:p>
        </w:tc>
        <w:tc>
          <w:tcPr>
            <w:tcW w:w="0" w:type="dxa"/>
            <w:vAlign w:val="bottom"/>
          </w:tcPr>
          <w:p>
            <w:pPr>
              <w:spacing w:after="0"/>
              <w:rPr>
                <w:sz w:val="1"/>
                <w:szCs w:val="1"/>
                <w:color w:val="auto"/>
              </w:rPr>
            </w:pPr>
          </w:p>
        </w:tc>
      </w:tr>
      <w:tr>
        <w:trPr>
          <w:trHeight w:val="225"/>
        </w:trPr>
        <w:tc>
          <w:tcPr>
            <w:tcW w:w="1440" w:type="dxa"/>
            <w:vAlign w:val="bottom"/>
          </w:tcPr>
          <w:p>
            <w:pPr>
              <w:ind w:left="200"/>
              <w:spacing w:after="0"/>
              <w:rPr>
                <w:sz w:val="20"/>
                <w:szCs w:val="20"/>
                <w:color w:val="auto"/>
              </w:rPr>
            </w:pPr>
            <w:r>
              <w:rPr>
                <w:rFonts w:ascii="Arial" w:cs="Arial" w:eastAsia="Arial" w:hAnsi="Arial"/>
                <w:sz w:val="18"/>
                <w:szCs w:val="18"/>
                <w:color w:val="auto"/>
              </w:rPr>
              <w:t>Item 15.</w:t>
            </w:r>
          </w:p>
        </w:tc>
        <w:tc>
          <w:tcPr>
            <w:tcW w:w="9140" w:type="dxa"/>
            <w:vAlign w:val="bottom"/>
          </w:tcPr>
          <w:p>
            <w:pPr>
              <w:ind w:left="26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Exhibits and Financial Statement Schedules</w:t>
              </w:r>
            </w:hyperlink>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ind w:left="200"/>
              <w:spacing w:after="0"/>
              <w:rPr>
                <w:sz w:val="20"/>
                <w:szCs w:val="20"/>
                <w:color w:val="auto"/>
              </w:rPr>
            </w:pPr>
            <w:r>
              <w:rPr>
                <w:rFonts w:ascii="Arial" w:cs="Arial" w:eastAsia="Arial" w:hAnsi="Arial"/>
                <w:sz w:val="18"/>
                <w:szCs w:val="18"/>
                <w:color w:val="auto"/>
              </w:rPr>
              <w:t>Item 16.</w:t>
            </w:r>
          </w:p>
        </w:tc>
        <w:tc>
          <w:tcPr>
            <w:tcW w:w="9140" w:type="dxa"/>
            <w:vAlign w:val="bottom"/>
          </w:tcPr>
          <w:p>
            <w:pPr>
              <w:ind w:left="26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Form 10-K Summary</w:t>
              </w:r>
            </w:hyperlink>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64</w:t>
              </w:r>
            </w:hyperlink>
          </w:p>
        </w:tc>
        <w:tc>
          <w:tcPr>
            <w:tcW w:w="0" w:type="dxa"/>
            <w:vAlign w:val="bottom"/>
          </w:tcPr>
          <w:p>
            <w:pPr>
              <w:spacing w:after="0"/>
              <w:rPr>
                <w:sz w:val="1"/>
                <w:szCs w:val="1"/>
                <w:color w:val="auto"/>
              </w:rPr>
            </w:pPr>
          </w:p>
        </w:tc>
      </w:tr>
      <w:tr>
        <w:trPr>
          <w:trHeight w:val="234"/>
        </w:trPr>
        <w:tc>
          <w:tcPr>
            <w:tcW w:w="1440" w:type="dxa"/>
            <w:vAlign w:val="bottom"/>
          </w:tcPr>
          <w:p>
            <w:pPr>
              <w:spacing w:after="0"/>
              <w:rPr>
                <w:rFonts w:ascii="Arial" w:cs="Arial" w:eastAsia="Arial" w:hAnsi="Arial"/>
                <w:sz w:val="18"/>
                <w:szCs w:val="18"/>
                <w:b w:val="1"/>
                <w:bCs w:val="1"/>
                <w:u w:val="single" w:color="auto"/>
                <w:color w:val="0000FF"/>
              </w:rPr>
            </w:pPr>
            <w:hyperlink w:anchor="page67">
              <w:r>
                <w:rPr>
                  <w:rFonts w:ascii="Arial" w:cs="Arial" w:eastAsia="Arial" w:hAnsi="Arial"/>
                  <w:sz w:val="18"/>
                  <w:szCs w:val="18"/>
                  <w:b w:val="1"/>
                  <w:bCs w:val="1"/>
                  <w:u w:val="single" w:color="auto"/>
                  <w:color w:val="0000FF"/>
                </w:rPr>
                <w:t>SIGNATURES</w:t>
              </w:r>
            </w:hyperlink>
          </w:p>
        </w:tc>
        <w:tc>
          <w:tcPr>
            <w:tcW w:w="9140" w:type="dxa"/>
            <w:vAlign w:val="bottom"/>
          </w:tcPr>
          <w:p>
            <w:pPr>
              <w:spacing w:after="0"/>
              <w:rPr>
                <w:sz w:val="20"/>
                <w:szCs w:val="20"/>
                <w:color w:val="auto"/>
              </w:rPr>
            </w:pPr>
          </w:p>
        </w:tc>
        <w:tc>
          <w:tcPr>
            <w:tcW w:w="600" w:type="dxa"/>
            <w:vAlign w:val="bottom"/>
          </w:tcPr>
          <w:p>
            <w:pPr>
              <w:jc w:val="right"/>
              <w:spacing w:after="0"/>
              <w:rPr>
                <w:rFonts w:ascii="Arial" w:cs="Arial" w:eastAsia="Arial" w:hAnsi="Arial"/>
                <w:sz w:val="18"/>
                <w:szCs w:val="18"/>
                <w:b w:val="1"/>
                <w:bCs w:val="1"/>
                <w:u w:val="single" w:color="auto"/>
                <w:color w:val="0000FF"/>
              </w:rPr>
            </w:pPr>
            <w:hyperlink w:anchor="page67">
              <w:r>
                <w:rPr>
                  <w:rFonts w:ascii="Arial" w:cs="Arial" w:eastAsia="Arial" w:hAnsi="Arial"/>
                  <w:sz w:val="18"/>
                  <w:szCs w:val="18"/>
                  <w:b w:val="1"/>
                  <w:bCs w:val="1"/>
                  <w:u w:val="single" w:color="auto"/>
                  <w:color w:val="0000FF"/>
                </w:rPr>
                <w:t>67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This Annual Report on Form 10-K contains statements that constitute forward-looking information within the meaning of the Private Securities Litigation Reform Act of 1995. In this Annual Report on Form 10-K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streaming and programming industries;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film distribution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film content;</w:t>
      </w:r>
    </w:p>
    <w:p>
      <w:pPr>
        <w:spacing w:after="0" w:line="6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the economy and our business, including the measures taken by governmental authorities to address the pandemic, which may precipitate or exacerbate other risks and/or uncertainties;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demand for our comedy venues;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existing and proposed federal, state and international laws and regulations relating to data protection, privacy and security, including the European Union's General Data Protection Regulation ("GDPR");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Brexit;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660" w:right="62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and streaming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this Annual Report.</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AMC Networks Inc. is a Delaware corporation with its principal executive offices located at 11 Penn Plaza, New York, NY 10001. AMC Networks Inc. is a holding company and conducts substantially all of its operations through its majority owned or controlled subsidiaries. Unless the context otherwise requires, all references to "we," "our," "us," "AMC Networks" or the "Company" refer to AMC Networks Inc., together with its subsidiaries. "AMC Networks Inc." refers to AMC Networks Inc. individually as a separate entity. Our telephone number is (212) 324-8500.</w:t>
      </w:r>
    </w:p>
    <w:p>
      <w:pPr>
        <w:spacing w:after="0" w:line="6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AMC Networks Inc. was incorporated on March 9, 2011 as an indirect, wholly-owned subsidiary of Cablevision Systems Corporation (Cablevision Systems Corporation and its subsidiaries are referred to as "Cablevision"). On June 30, 2011, Cablevision spun off the Company (the "Distribution"), and AMC Networks Inc. became an independent public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AMC Networks is a global entertainment company known for its ground-breaking and award-winning original content. We own and operate a suite of focused and targeted video entertainment products that are delivered to viewers on an ever-expanding array of platforms. These include: our linear TV channels carried by traditional and virtual multi-channel video programming distributors (MVPD); our streaming services, consisting of AMC+ as well as our targeted streaming services; and various social media platforms.</w:t>
      </w:r>
    </w:p>
    <w:p>
      <w:pPr>
        <w:spacing w:after="0" w:line="7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operate several of the most recognized brands in entertainment, creating and presenting high quality content and compelling stories to audiences, and a valuable platform for distributors and advertisers. We have operated in the entertainment industry for more than 40 years, and, over this time, we have continually enhanced the value of our portfolio. Our content spans multiple genres, including drama, comedy, documentary, reality, anthology, feature film and short form and is well known and well regarded by our key constituents — our viewers, distributors and advertisers — and have developed strong, dedicated followings within their respective targeted demographics, increasing their value to distributors and advertisers.</w:t>
      </w:r>
    </w:p>
    <w:p>
      <w:pPr>
        <w:spacing w:after="0" w:line="6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United States ("U.S."), our programming networks are AMC, WE tv, BBC AMERICA (operated through a joint venture with BBC Studios), IFC and SundanceTV. Our deep and established presence in the industry and the recognition we have received for our brands through industry awards, critical acclaim and other honors lend us a high degree of credibility with content creators and producers, providing us with strong relationships with top creators and demand for our owned programming for distribution on third-party platforms. Our networks are distributed primarily through MVPDs and are available on every major U.S. distribution platform. Through our AMC Studios operation, we are increasingly owning our original programming. Today, through AMC Studios, we own and control a significant portion of the original scripted series that we deliver to viewers on our linear and streaming platforms.</w:t>
      </w:r>
    </w:p>
    <w:p>
      <w:pPr>
        <w:spacing w:after="0" w:line="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ability to produce and own high quality content has provided us with the opportunity to distribute our owned content on platforms other than our domestic networks. Our owned content as well as the content that we license is distributed domestically and internationally and on multiple platforms, including linear television, company-owned and third-party streaming services, digital services, home video and syndication.</w:t>
      </w:r>
    </w:p>
    <w:p>
      <w:pPr>
        <w:spacing w:after="0" w:line="5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We launched a premium subscription streaming bundle called AMC+ that includes commercial-free access to original programming from across our entertainment networks, library content including </w:t>
      </w:r>
      <w:r>
        <w:rPr>
          <w:rFonts w:ascii="Arial" w:cs="Arial" w:eastAsia="Arial" w:hAnsi="Arial"/>
          <w:sz w:val="16"/>
          <w:szCs w:val="16"/>
          <w:i w:val="1"/>
          <w:iCs w:val="1"/>
          <w:color w:val="auto"/>
        </w:rPr>
        <w:t>The Walking Dead, Fear the Walking Dead</w:t>
      </w:r>
      <w:r>
        <w:rPr>
          <w:rFonts w:ascii="Arial" w:cs="Arial" w:eastAsia="Arial" w:hAnsi="Arial"/>
          <w:sz w:val="16"/>
          <w:szCs w:val="16"/>
          <w:color w:val="auto"/>
        </w:rPr>
        <w:t xml:space="preserve">, </w:t>
      </w:r>
      <w:r>
        <w:rPr>
          <w:rFonts w:ascii="Arial" w:cs="Arial" w:eastAsia="Arial" w:hAnsi="Arial"/>
          <w:sz w:val="16"/>
          <w:szCs w:val="16"/>
          <w:i w:val="1"/>
          <w:iCs w:val="1"/>
          <w:color w:val="auto"/>
        </w:rPr>
        <w:t>The Walking Dead: World Beyond</w:t>
      </w:r>
      <w:r>
        <w:rPr>
          <w:rFonts w:ascii="Arial" w:cs="Arial" w:eastAsia="Arial" w:hAnsi="Arial"/>
          <w:sz w:val="16"/>
          <w:szCs w:val="16"/>
          <w:color w:val="auto"/>
        </w:rPr>
        <w:t xml:space="preserve"> and </w:t>
      </w:r>
      <w:r>
        <w:rPr>
          <w:rFonts w:ascii="Arial" w:cs="Arial" w:eastAsia="Arial" w:hAnsi="Arial"/>
          <w:sz w:val="16"/>
          <w:szCs w:val="16"/>
          <w:i w:val="1"/>
          <w:iCs w:val="1"/>
          <w:color w:val="auto"/>
        </w:rPr>
        <w:t>Mad Men</w:t>
      </w:r>
      <w:r>
        <w:rPr>
          <w:rFonts w:ascii="Arial" w:cs="Arial" w:eastAsia="Arial" w:hAnsi="Arial"/>
          <w:sz w:val="16"/>
          <w:szCs w:val="16"/>
          <w:color w:val="auto"/>
        </w:rPr>
        <w:t xml:space="preserve"> and access to a number of our targeted streaming services. AMC+ is currently available to customers through MVPDs and virtual MVPDs as well as Amazon, Apple and Roku. We also own and operate four targeted streaming services that offer curated content destinations that provide unique viewership experiences for distinct audiences. The four services are: Acorn TV, our largest streaming service, specializing in world-class mysteries and drama from Britain and beyond; Shudder, serving fans of horror and suspense; Sundance Now, featuring mysteries, prestige drama and true crime; and ALLBLK (previously known as Urban Movie Channel), the first streaming destination dedicated to Black audiences, featuring the best in Black TV and film.</w:t>
      </w:r>
    </w:p>
    <w:p>
      <w:pPr>
        <w:spacing w:after="0" w:line="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While we primarily license content for these services, we continue to increasingly invest in producing original programming, which is contributing to strong growth and a stable user base.</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Internationally, we deliver programming that reaches subscribers in more than 125 countries and territories around the world. The international division of the Company, AMC Networks International ("AMCNI"), consists of global brands, including AMC and SundanceTV, in the movie and entertainment programming genres, as well as popular, locally recognized channels in several other programming genres.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 w:name="page6"/>
    <w:bookmarkEnd w:id="5"/>
    <w:p>
      <w:pPr>
        <w:jc w:val="both"/>
        <w:ind w:firstLine="405"/>
        <w:spacing w:after="0"/>
        <w:rPr>
          <w:sz w:val="20"/>
          <w:szCs w:val="20"/>
          <w:color w:val="auto"/>
        </w:rPr>
      </w:pPr>
      <w:r>
        <w:rPr>
          <w:rFonts w:ascii="Arial" w:cs="Arial" w:eastAsia="Arial" w:hAnsi="Arial"/>
          <w:sz w:val="18"/>
          <w:szCs w:val="18"/>
          <w:color w:val="auto"/>
        </w:rPr>
        <w:t>AMC Networks also operates IFC Films, a film distribution business that distributes independent narrative and documentary films under the IFC Films label as well as the IFC Midnight distribution label. IFC Films is known for attracting high-profile talent and distributing films that regularly garner critical acclaim and industry honors, including numerous Oscar, Golden Globe, and Cannes Film Festival-award winning titles. IFC Films also operates IFC Films Unlimited, a subscription video on demand streaming channel comprised of theatrically-released and award-winning titles from its distribution labels. IFC Films has been behind some of the most culturally impactful and successful independent film and documentary releases of all time, and IFC Films Unlimited includes a broad range of titles.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strategy is to maintain and improve our position as a leading entertainment company by creating and presenting content that is high-quality, brand defining and compelling to watch, and by owning and operating some of the most popular and award-winning brands in television that create engagement with audiences globally across multiple distribution platforms. The key focuses of our strategy are:</w:t>
      </w:r>
    </w:p>
    <w:p>
      <w:pPr>
        <w:spacing w:after="0" w:line="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Continued Development of High-Quality Original Programming</w:t>
      </w:r>
      <w:r>
        <w:rPr>
          <w:rFonts w:ascii="Arial" w:cs="Arial" w:eastAsia="Arial" w:hAnsi="Arial"/>
          <w:sz w:val="18"/>
          <w:szCs w:val="18"/>
          <w:color w:val="auto"/>
        </w:rPr>
        <w:t>. We intend to continue developing strong original programming across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networks to further enhance our brands, strengthen our relationships with our viewers, distributors and advertisers, and increase distribution and audience ratings. We intend to seek increased distribution of our national networks to grow distribution and advertising revenues. We believe that our continued investment in original programming will support future growth in distribution and advertising revenue. We also intend to continue to expand the exploitation of our original programming across multiple distribution platforms.</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Increased Ownership and Control of Content and Valuable IP</w:t>
      </w:r>
      <w:r>
        <w:rPr>
          <w:rFonts w:ascii="Arial" w:cs="Arial" w:eastAsia="Arial" w:hAnsi="Arial"/>
          <w:sz w:val="18"/>
          <w:szCs w:val="18"/>
          <w:color w:val="auto"/>
        </w:rPr>
        <w:t>. We believe that control (including long-term contractual arrangements) and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content is important. Through our AMC Studios operation, we intend to increase our control over more of our programming content. We currently control, own or have long-term license agreements covering significant portions of our content across our programming networks, our streaming services, and our independent film distribution business operated by IFC Films. We intend to continue to focus on obtaining the broadest possible control rights (both as to territory and platforms) for our content.</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Develop and Grow Targeted Streaming Offerings and Brands</w:t>
      </w:r>
      <w:r>
        <w:rPr>
          <w:rFonts w:ascii="Arial" w:cs="Arial" w:eastAsia="Arial" w:hAnsi="Arial"/>
          <w:sz w:val="18"/>
          <w:szCs w:val="18"/>
          <w:color w:val="auto"/>
        </w:rPr>
        <w:t>. We have been focused on creating and growing targeted streaming services for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As the market for this category evolves, consumers are increasingly complementing their general entertainment subscriptions with our targeted streaming services. Our targeted streaming strategy is to serve distinct premium audiences and build loyal and engaged fan communities around each service.</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Innovation in Content, Format, Distribution, and New Products</w:t>
      </w:r>
      <w:r>
        <w:rPr>
          <w:rFonts w:ascii="Arial" w:cs="Arial" w:eastAsia="Arial" w:hAnsi="Arial"/>
          <w:sz w:val="18"/>
          <w:szCs w:val="18"/>
          <w:color w:val="auto"/>
        </w:rPr>
        <w:t>. The technological landscape of the distribution of entertainment content has</w:t>
      </w:r>
      <w:r>
        <w:rPr>
          <w:rFonts w:ascii="Arial" w:cs="Arial" w:eastAsia="Arial" w:hAnsi="Arial"/>
          <w:sz w:val="18"/>
          <w:szCs w:val="18"/>
          <w:i w:val="1"/>
          <w:iCs w:val="1"/>
          <w:color w:val="auto"/>
        </w:rPr>
        <w:t xml:space="preserve"> </w:t>
      </w:r>
      <w:r>
        <w:rPr>
          <w:rFonts w:ascii="Arial" w:cs="Arial" w:eastAsia="Arial" w:hAnsi="Arial"/>
          <w:sz w:val="18"/>
          <w:szCs w:val="18"/>
          <w:color w:val="auto"/>
        </w:rPr>
        <w:t>expanded to include other media platforms. We distribute our content across many of these platforms, when it makes business sense to do so, so that our viewers can access our content where, when and how they want it. To that end, our programming networks are allowing many of our distributors to offer our content to subscribers on various platforms permitting subscribers to access programs at their convenience. We also make select content available on streaming services or digital platform providers, such as Netflix, Hulu, and Amazon Prime, electronic-sell-through (EST) and physical (DVD and Blu-ray) formats.</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Growth and Innovation in Advertising</w:t>
      </w:r>
      <w:r>
        <w:rPr>
          <w:rFonts w:ascii="Arial" w:cs="Arial" w:eastAsia="Arial" w:hAnsi="Arial"/>
          <w:sz w:val="18"/>
          <w:szCs w:val="18"/>
          <w:color w:val="auto"/>
        </w:rPr>
        <w:t>. We continue to evolve the programming on each of our networks to achieve even stronger viewer engagement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their respective core targeted demographics, thereby increasing the value of our programming to advertisers and allowing us to obtain higher advertising rates.</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also creating new opportunities for brands to leverage the strength of our content and our large and passionate fan communities on social platforms as well as through on-the-ground live events. These opportunities are rooted in our strong content and proven ability to build vibrant, large and engaged fan communities around our shows and franchises.</w:t>
      </w:r>
    </w:p>
    <w:p>
      <w:pPr>
        <w:spacing w:after="0" w:line="76" w:lineRule="exact"/>
        <w:rPr>
          <w:sz w:val="20"/>
          <w:szCs w:val="20"/>
          <w:color w:val="auto"/>
        </w:rPr>
      </w:pPr>
    </w:p>
    <w:p>
      <w:pPr>
        <w:ind w:firstLine="405"/>
        <w:spacing w:after="0" w:line="238" w:lineRule="auto"/>
        <w:rPr>
          <w:sz w:val="20"/>
          <w:szCs w:val="20"/>
          <w:color w:val="auto"/>
        </w:rPr>
      </w:pPr>
      <w:r>
        <w:rPr>
          <w:rFonts w:ascii="Arial" w:cs="Arial" w:eastAsia="Arial" w:hAnsi="Arial"/>
          <w:sz w:val="18"/>
          <w:szCs w:val="18"/>
          <w:color w:val="auto"/>
        </w:rPr>
        <w:t>In addition, we are embracing many new opportunities the evolving advertising space presents, including the potential of advertising video on demand (AVOD). To date, we have launched a total of seven distinct channels featuring our content, in different configurations, across major AVOD platforms, such as Pluto TV and Sling TV. We have made significant investments in advanced advertising technologies such as our proprietary targeting tool called Aurora. In what has been a multi-year effort for us, we have been building tools and staffing up as we develop data and analytics for our proprietary tools. We have seen the number of advertisers utilizing these tools increase and our targeted audience ad sales have grown as a result. In addition to our own initiatives, we are also participating in broader industry efforts, such as Project OAR, a consortium focused on bringing addressable advertising to smart TVs. We believe our products enhance our value to advertisers through better targeting, data and measurement and we believe they will improve our overall business in the mid and long term.</w:t>
      </w:r>
    </w:p>
    <w:p>
      <w:pPr>
        <w:spacing w:after="0" w:line="8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i w:val="1"/>
          <w:iCs w:val="1"/>
          <w:color w:val="auto"/>
        </w:rPr>
        <w:t>Increased Global Distribution</w:t>
      </w:r>
      <w:r>
        <w:rPr>
          <w:rFonts w:ascii="Arial" w:cs="Arial" w:eastAsia="Arial" w:hAnsi="Arial"/>
          <w:sz w:val="18"/>
          <w:szCs w:val="18"/>
          <w:color w:val="auto"/>
        </w:rPr>
        <w:t>. We distribute our programming networks around the globe. We first expanded beyond the U.S. market with the launch</w:t>
      </w:r>
      <w:r>
        <w:rPr>
          <w:rFonts w:ascii="Arial" w:cs="Arial" w:eastAsia="Arial" w:hAnsi="Arial"/>
          <w:sz w:val="18"/>
          <w:szCs w:val="18"/>
          <w:i w:val="1"/>
          <w:iCs w:val="1"/>
          <w:color w:val="auto"/>
        </w:rPr>
        <w:t xml:space="preserve"> </w:t>
      </w:r>
      <w:r>
        <w:rPr>
          <w:rFonts w:ascii="Arial" w:cs="Arial" w:eastAsia="Arial" w:hAnsi="Arial"/>
          <w:sz w:val="18"/>
          <w:szCs w:val="18"/>
          <w:color w:val="auto"/>
        </w:rPr>
        <w:t>in Canada of IFC (in 2001) and AMC (in 2006), and in Europe of SundanceTV (in 2010) and AMC (in 2014). One or more of AMC Networks International's channels are available in more than 125 countries and territories worldwide.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earn revenue principally from the distribution of our programming and the sale of advertising. Distribution revenues primarily include fees paid by distributors to carry our programming networks, revenue earned from the licensing of original programming and subscription fees paid for our streaming services. In 2020, distribution revenues and advertising sales accounted for 69% and 31% of our consolidated revenues, net, respectively. For the year ended December 31, 2020, no customer accounted for greater than 10% of our consolidated revenues,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 Revenue</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Subscription revenue: </w:t>
      </w:r>
      <w:r>
        <w:rPr>
          <w:rFonts w:ascii="Arial" w:cs="Arial" w:eastAsia="Arial" w:hAnsi="Arial"/>
          <w:sz w:val="17"/>
          <w:szCs w:val="17"/>
          <w:color w:val="auto"/>
        </w:rPr>
        <w:t>Our programming networks are distributed to our viewing audience throughout the U.S. and around the world via cable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multichannel video programming distribution platforms, including direct broadcast satellite ("DBS"), platforms operated by telecommunications providers and virtual MVPDs (collectively "distributors") pursuant to agreements with the distributors. Our subscription fee revenues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networks, but are generally based upon the number of each distributor's subscribers who receive our programming, referred to as viewing subscribers. These agreements also give us the right to sell a specific amount of advertising time on our programming networks. Our programming networks' existing distribution agreements expire at various dates through 2028. For our AMC Networks Streaming Services, we earn monthly fees as the streaming service is provided to our customers.</w:t>
      </w:r>
    </w:p>
    <w:p>
      <w:pPr>
        <w:spacing w:after="0" w:line="7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frequently negotiate with distributors in an effort to increase the subscriber base for our networks. We have in some instances made upfront payments to distributors in exchange for these additional subscribers. We also may help fund the distributors' efforts to market our programming networks or we may permit distributors to offer limited promotional periods without payment of subscriber fees. As we continue our efforts to add subscribers, our subscriber revenue may be negatively affected by such deferred carriage fee arrangements, discounted subscriber fees and other payments, however, we believe that these transactions generate a positive return on investment over the contract period.</w:t>
      </w:r>
    </w:p>
    <w:p>
      <w:pPr>
        <w:spacing w:after="0" w:line="6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Content licensing revenue: </w:t>
      </w:r>
      <w:r>
        <w:rPr>
          <w:rFonts w:ascii="Arial" w:cs="Arial" w:eastAsia="Arial" w:hAnsi="Arial"/>
          <w:sz w:val="18"/>
          <w:szCs w:val="18"/>
          <w:color w:val="auto"/>
        </w:rPr>
        <w:t>We sell rights to our owned original programming and content acquired under long-term distribution arrangements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in a variety of forms including television markets worldwide, streaming services or digital platform providers, such as Netflix, Hulu, and Amazon Prime, electronic-sell-through (EST) and physical (DVD and Blu-ray) formats.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Revenue</w:t>
      </w:r>
    </w:p>
    <w:p>
      <w:pPr>
        <w:spacing w:after="0" w:line="117"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We earn advertising revenue by selling advertising time on our programming networks, on digital platforms we own and also on an increasing number of AVOD platforms. In the U.S., we sell advertising time in both the upfront and scatter markets. In the upfront market, advertisers buy advertising time for the upcoming season, and by purchasing in advance, often receive discounted rates. In the scatter market, advertisers buy advertising time close to the time when the commercials will be run, and often pay a premium. The mix between the upfront and scatter markets is based upon a number of factors, such as pricing, demand for advertising time and economic conditions. Internationally, advertising markets vary by jurisdiction. The majority of international advertising is sold close to the time when the commercials will be run (similar to the U.S. scatter market) and we are generally represented by third-party sales agents.</w:t>
      </w:r>
    </w:p>
    <w:p>
      <w:pPr>
        <w:spacing w:after="0" w:line="8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arrangements with advertisers provide for a set number of advertising units to air over a specific period of time at a negotiated price per unit. In most domestic advertising sales arrangements, our programming networks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viewer ratings are not met and is subsequently recognized either when we provide the required additional advertising unit or the guarantee obligation contractually expires. In the U.S., most of our advertising revenues vary based upon the popularity of our programming as measured by Nielsen. In addition to the Nielsen rating, our advertising rates are also influenced by the demographic mix of our viewing audiences, since advertisers tend to pay premium rates for more desirable demographic groups of viewers.</w:t>
      </w:r>
    </w:p>
    <w:p>
      <w:pPr>
        <w:spacing w:after="0" w:line="5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programming networks have advertisers representing companies in a broad range of sectors, including automotive, restaurants/food, health, and telecommunications industries.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w:t>
      </w:r>
    </w:p>
    <w:p>
      <w:pPr>
        <w:spacing w:after="0" w:line="12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obtain programming through a combination of development, production and licensing; and we distribute programming directly to consumers in the U.S. and throughout the world through our programming networks, streaming services, and other forms of distribution and theatrical release of our IFC Films acquired content. Our programming includes original programming that we control, either through outright ownership or through long-term licensing arrangements, as well as acquired programming that we license from studios and other rights holders. Since the founding of our first channel in 1980,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we have been a pioneer in the cable television programming industry, having created or developed some of the industry's leading programming networks, with a focus on programming of film and original productions. Certain of our programming networks feature original programming that includes critically-acclaimed original scripted dramatic series.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Original Programming</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Through our AMC Studios operation, we increasingly produce and own more of our original programming, primarily for our programming networks and streaming services, and also for license to third parties worldwide. Decisions as to how to distribute programming are made on the basis of a variety of factors including the relative value of any particular alternative.</w:t>
      </w:r>
    </w:p>
    <w:p>
      <w:pPr>
        <w:spacing w:after="0" w:line="7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contract with some of the industry's leading production companies to produce original programming that appears on our programming networks and streaming services. These contractual arrangements either provide us with outright ownership of the programming, in which case we hold all programming and other rights to the content, or they consist of long-term licensing arrangements, which provide us with exclusive rights to exhibit the content on our programming networks, but may be limited in terms of specific geographic markets or distribution platforms. The license agreements are typically of multi-season duration and provide us with a right of first negotiation or a right of first refusal on the renewal of the license for additional programming seasons.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Acquired Programming</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majority of the content on our programming networks and streaming services consists of films, episodic series and specials that we acquire pursuant to rights agreements with film studios, production companies or other rights holders. This acquired programming includes episodic series such as </w:t>
      </w:r>
      <w:r>
        <w:rPr>
          <w:rFonts w:ascii="Arial" w:cs="Arial" w:eastAsia="Arial" w:hAnsi="Arial"/>
          <w:sz w:val="18"/>
          <w:szCs w:val="18"/>
          <w:i w:val="1"/>
          <w:iCs w:val="1"/>
          <w:color w:val="auto"/>
        </w:rPr>
        <w:t xml:space="preserve">Law and Order, The X-Files, Criminal Minds, CSI: Miami, Two and a Half Men </w:t>
      </w:r>
      <w:r>
        <w:rPr>
          <w:rFonts w:ascii="Arial" w:cs="Arial" w:eastAsia="Arial" w:hAnsi="Arial"/>
          <w:sz w:val="18"/>
          <w:szCs w:val="18"/>
          <w:color w:val="auto"/>
        </w:rPr>
        <w:t>and</w:t>
      </w:r>
      <w:r>
        <w:rPr>
          <w:rFonts w:ascii="Arial" w:cs="Arial" w:eastAsia="Arial" w:hAnsi="Arial"/>
          <w:sz w:val="18"/>
          <w:szCs w:val="18"/>
          <w:i w:val="1"/>
          <w:iCs w:val="1"/>
          <w:color w:val="auto"/>
        </w:rPr>
        <w:t xml:space="preserve"> Batman</w:t>
      </w:r>
      <w:r>
        <w:rPr>
          <w:rFonts w:ascii="Arial" w:cs="Arial" w:eastAsia="Arial" w:hAnsi="Arial"/>
          <w:sz w:val="18"/>
          <w:szCs w:val="18"/>
          <w:color w:val="auto"/>
        </w:rPr>
        <w:t>, as well as an extensive film library. The rights agreements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this content are of varying duration and generally permit our programming networks and streaming services to carry these series, films and other programming during certain window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980" w:hanging="486"/>
        <w:spacing w:after="0" w:line="279" w:lineRule="auto"/>
        <w:tabs>
          <w:tab w:leader="none" w:pos="97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National Networks: </w:t>
      </w:r>
      <w:r>
        <w:rPr>
          <w:rFonts w:ascii="Arial" w:cs="Arial" w:eastAsia="Arial" w:hAnsi="Arial"/>
          <w:sz w:val="17"/>
          <w:szCs w:val="17"/>
          <w:color w:val="auto"/>
        </w:rPr>
        <w:t>Includes activities of our five national programming networks, AMC Studios operations and AMC Broadcasting &amp;</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Our national programming networks are AMC, WE tv, BBC AMERICA, IFC, and SundanceTV. Our AMC Studios operation produces original programming for our programming networks and also licenses such programming worldwide. AMC Networks Broadcasting &amp; Technology is our technical services business, which primarily services most of the national programming networks.</w:t>
      </w:r>
    </w:p>
    <w:p>
      <w:pPr>
        <w:spacing w:after="0" w:line="63" w:lineRule="exact"/>
        <w:rPr>
          <w:rFonts w:ascii="Arial" w:cs="Arial" w:eastAsia="Arial" w:hAnsi="Arial"/>
          <w:sz w:val="17"/>
          <w:szCs w:val="17"/>
          <w:i w:val="1"/>
          <w:iCs w:val="1"/>
          <w:color w:val="auto"/>
        </w:rPr>
      </w:pPr>
    </w:p>
    <w:p>
      <w:pPr>
        <w:jc w:val="both"/>
        <w:ind w:left="980" w:hanging="486"/>
        <w:spacing w:after="0" w:line="259" w:lineRule="auto"/>
        <w:tabs>
          <w:tab w:leader="none" w:pos="97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AMCNI, our international programming businesses consisting of a portfolio of channels around the world;</w:t>
      </w:r>
      <w:r>
        <w:rPr>
          <w:rFonts w:ascii="Arial" w:cs="Arial" w:eastAsia="Arial" w:hAnsi="Arial"/>
          <w:sz w:val="18"/>
          <w:szCs w:val="18"/>
          <w:i w:val="1"/>
          <w:iCs w:val="1"/>
          <w:color w:val="auto"/>
        </w:rPr>
        <w:t xml:space="preserve"> </w:t>
      </w:r>
      <w:r>
        <w:rPr>
          <w:rFonts w:ascii="Arial" w:cs="Arial" w:eastAsia="Arial" w:hAnsi="Arial"/>
          <w:sz w:val="18"/>
          <w:szCs w:val="18"/>
          <w:color w:val="auto"/>
        </w:rPr>
        <w:t>AMC Networks Streaming Services consisting of our targeted subscription streaming services (Acorn TV, Shudder, Sundance Now, ALLBLK), AMC+ and other streaming initiatives; Levity, our production services and comedy venues business; and IFC Films, our film distribution business.</w:t>
      </w:r>
    </w:p>
    <w:p>
      <w:pPr>
        <w:spacing w:after="0" w:line="79"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For financial information of the Company by operating segment, see Item 7, "Management's Discussion and Analysis of Financial Condition and Results of Operations — Consolidated Results of Operations" and Note 23 to the accompanying consolidated financial statements.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6550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55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486"/>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AMC reached approximately 84 million Nielsen subscribers and had distribution agreements with all major U.S. and Canada distributors as of December 31, 2020.</w:t>
      </w:r>
    </w:p>
    <w:p>
      <w:pPr>
        <w:spacing w:after="0" w:line="62" w:lineRule="exact"/>
        <w:rPr>
          <w:rFonts w:ascii="Arial" w:cs="Arial" w:eastAsia="Arial" w:hAnsi="Arial"/>
          <w:sz w:val="18"/>
          <w:szCs w:val="18"/>
          <w:color w:val="auto"/>
        </w:rPr>
      </w:pPr>
    </w:p>
    <w:p>
      <w:pPr>
        <w:jc w:val="both"/>
        <w:ind w:left="980" w:hanging="486"/>
        <w:spacing w:after="0" w:line="25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AMC is home to some of the most popular and acclaimed programs on television. The network helped usher in what is commonly referred to as a “New Golden Age of Television,” with its debut of Mad Men in 2007 and Breaking Bad in 2008. With Mad Men, AMC became the first basic cable network to ever win the Emmy® Award for Outstanding Drama Series in 2008 after which it won the coveted award another four years in a row. Subsequently, AMC’s Breaking Bad won this Emmy® Award in 2013 and 2014. Both series are among the most critically acclaimed and awarded series in the history of television.</w:t>
      </w:r>
    </w:p>
    <w:p>
      <w:pPr>
        <w:spacing w:after="0" w:line="106" w:lineRule="exact"/>
        <w:rPr>
          <w:rFonts w:ascii="Arial" w:cs="Arial" w:eastAsia="Arial" w:hAnsi="Arial"/>
          <w:sz w:val="18"/>
          <w:szCs w:val="18"/>
          <w:color w:val="auto"/>
        </w:rPr>
      </w:pPr>
    </w:p>
    <w:p>
      <w:pPr>
        <w:ind w:left="980" w:hanging="486"/>
        <w:spacing w:after="0" w:line="232"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 xml:space="preserve">AMC's current slate of programming has a range of popular and critically-acclaimed series including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the highest-rated series in cable history, </w:t>
      </w:r>
      <w:r>
        <w:rPr>
          <w:rFonts w:ascii="Arial" w:cs="Arial" w:eastAsia="Arial" w:hAnsi="Arial"/>
          <w:sz w:val="18"/>
          <w:szCs w:val="18"/>
          <w:i w:val="1"/>
          <w:iCs w:val="1"/>
          <w:color w:val="auto"/>
        </w:rPr>
        <w:t>Better Call Saul, Fear the Walking Dead</w:t>
      </w:r>
      <w:r>
        <w:rPr>
          <w:rFonts w:ascii="Arial" w:cs="Arial" w:eastAsia="Arial" w:hAnsi="Arial"/>
          <w:sz w:val="18"/>
          <w:szCs w:val="18"/>
          <w:color w:val="auto"/>
        </w:rPr>
        <w:t xml:space="preserve">, </w:t>
      </w:r>
      <w:r>
        <w:rPr>
          <w:rFonts w:ascii="Arial" w:cs="Arial" w:eastAsia="Arial" w:hAnsi="Arial"/>
          <w:sz w:val="18"/>
          <w:szCs w:val="18"/>
          <w:i w:val="1"/>
          <w:iCs w:val="1"/>
          <w:color w:val="auto"/>
        </w:rPr>
        <w:t>The Walking Dead: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ind w:left="486"/>
        <w:spacing w:after="0" w:line="261" w:lineRule="auto"/>
        <w:rPr>
          <w:sz w:val="20"/>
          <w:szCs w:val="20"/>
          <w:color w:val="auto"/>
        </w:rPr>
      </w:pPr>
      <w:r>
        <w:rPr>
          <w:rFonts w:ascii="Arial" w:cs="Arial" w:eastAsia="Arial" w:hAnsi="Arial"/>
          <w:sz w:val="18"/>
          <w:szCs w:val="18"/>
          <w:i w:val="1"/>
          <w:iCs w:val="1"/>
          <w:color w:val="auto"/>
        </w:rPr>
        <w:t xml:space="preserve">World Beyond </w:t>
      </w:r>
      <w:r>
        <w:rPr>
          <w:rFonts w:ascii="Arial" w:cs="Arial" w:eastAsia="Arial" w:hAnsi="Arial"/>
          <w:sz w:val="18"/>
          <w:szCs w:val="18"/>
          <w:color w:val="auto"/>
        </w:rPr>
        <w:t>and</w:t>
      </w:r>
      <w:r>
        <w:rPr>
          <w:rFonts w:ascii="Arial" w:cs="Arial" w:eastAsia="Arial" w:hAnsi="Arial"/>
          <w:sz w:val="18"/>
          <w:szCs w:val="18"/>
          <w:i w:val="1"/>
          <w:iCs w:val="1"/>
          <w:color w:val="auto"/>
        </w:rPr>
        <w:t xml:space="preserve"> Gangs of London</w:t>
      </w:r>
      <w:r>
        <w:rPr>
          <w:rFonts w:ascii="Arial" w:cs="Arial" w:eastAsia="Arial" w:hAnsi="Arial"/>
          <w:sz w:val="18"/>
          <w:szCs w:val="18"/>
          <w:color w:val="auto"/>
        </w:rPr>
        <w:t>. AMC is also home to original unscripted shows including</w:t>
      </w:r>
      <w:r>
        <w:rPr>
          <w:rFonts w:ascii="Arial" w:cs="Arial" w:eastAsia="Arial" w:hAnsi="Arial"/>
          <w:sz w:val="18"/>
          <w:szCs w:val="18"/>
          <w:i w:val="1"/>
          <w:iCs w:val="1"/>
          <w:color w:val="auto"/>
        </w:rPr>
        <w:t xml:space="preserve"> Talking Dead, Ride with Norman Reedus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Eli Roth’s </w:t>
      </w:r>
      <w:r>
        <w:rPr>
          <w:rFonts w:ascii="Arial" w:cs="Arial" w:eastAsia="Arial" w:hAnsi="Arial"/>
          <w:sz w:val="18"/>
          <w:szCs w:val="18"/>
          <w:i w:val="1"/>
          <w:iCs w:val="1"/>
          <w:color w:val="auto"/>
        </w:rPr>
        <w:t>History of Horror</w:t>
      </w:r>
      <w:r>
        <w:rPr>
          <w:rFonts w:ascii="Arial" w:cs="Arial" w:eastAsia="Arial" w:hAnsi="Arial"/>
          <w:sz w:val="18"/>
          <w:szCs w:val="18"/>
          <w:color w:val="auto"/>
        </w:rPr>
        <w:t>.</w:t>
      </w:r>
    </w:p>
    <w:p>
      <w:pPr>
        <w:spacing w:after="0" w:line="198" w:lineRule="exact"/>
        <w:rPr>
          <w:sz w:val="20"/>
          <w:szCs w:val="20"/>
          <w:color w:val="auto"/>
        </w:rPr>
      </w:pPr>
    </w:p>
    <w:p>
      <w:pPr>
        <w:jc w:val="both"/>
        <w:ind w:left="486" w:hanging="486"/>
        <w:spacing w:after="0"/>
        <w:tabs>
          <w:tab w:leader="none" w:pos="48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Upcoming series for AMC include </w:t>
      </w:r>
      <w:r>
        <w:rPr>
          <w:rFonts w:ascii="Arial" w:cs="Arial" w:eastAsia="Arial" w:hAnsi="Arial"/>
          <w:sz w:val="18"/>
          <w:szCs w:val="18"/>
          <w:i w:val="1"/>
          <w:iCs w:val="1"/>
          <w:color w:val="auto"/>
        </w:rPr>
        <w:t>61st Street</w:t>
      </w:r>
      <w:r>
        <w:rPr>
          <w:rFonts w:ascii="Arial" w:cs="Arial" w:eastAsia="Arial" w:hAnsi="Arial"/>
          <w:sz w:val="18"/>
          <w:szCs w:val="18"/>
          <w:color w:val="auto"/>
        </w:rPr>
        <w:t xml:space="preserve">, from BAFTA-winner Peter Moffat and executive produced by Michael B. Jordan, and </w:t>
      </w:r>
      <w:r>
        <w:rPr>
          <w:rFonts w:ascii="Arial" w:cs="Arial" w:eastAsia="Arial" w:hAnsi="Arial"/>
          <w:sz w:val="18"/>
          <w:szCs w:val="18"/>
          <w:i w:val="1"/>
          <w:iCs w:val="1"/>
          <w:color w:val="auto"/>
        </w:rPr>
        <w:t>Kevin</w:t>
      </w:r>
      <w:r>
        <w:rPr>
          <w:rFonts w:ascii="Arial" w:cs="Arial" w:eastAsia="Arial" w:hAnsi="Arial"/>
          <w:sz w:val="18"/>
          <w:szCs w:val="18"/>
          <w:color w:val="auto"/>
        </w:rPr>
        <w:t xml:space="preserve"> </w:t>
      </w:r>
      <w:r>
        <w:rPr>
          <w:rFonts w:ascii="Arial" w:cs="Arial" w:eastAsia="Arial" w:hAnsi="Arial"/>
          <w:sz w:val="18"/>
          <w:szCs w:val="18"/>
          <w:i w:val="1"/>
          <w:iCs w:val="1"/>
          <w:color w:val="auto"/>
        </w:rPr>
        <w:t>Can F**k Himself</w:t>
      </w:r>
      <w:r>
        <w:rPr>
          <w:rFonts w:ascii="Arial" w:cs="Arial" w:eastAsia="Arial" w:hAnsi="Arial"/>
          <w:sz w:val="18"/>
          <w:szCs w:val="18"/>
          <w:color w:val="auto"/>
        </w:rPr>
        <w:t>, from creator Valerie Armstrong and executive producers, Rashida Jones and Will McCormack, as well as Craig</w:t>
      </w:r>
      <w:r>
        <w:rPr>
          <w:rFonts w:ascii="Arial" w:cs="Arial" w:eastAsia="Arial" w:hAnsi="Arial"/>
          <w:sz w:val="18"/>
          <w:szCs w:val="18"/>
          <w:i w:val="1"/>
          <w:iCs w:val="1"/>
          <w:color w:val="auto"/>
        </w:rPr>
        <w:t xml:space="preserve"> </w:t>
      </w:r>
      <w:r>
        <w:rPr>
          <w:rFonts w:ascii="Arial" w:cs="Arial" w:eastAsia="Arial" w:hAnsi="Arial"/>
          <w:sz w:val="18"/>
          <w:szCs w:val="18"/>
          <w:color w:val="auto"/>
        </w:rPr>
        <w:t>DiGregorio. AMC and The Walking Dead Chief Content Officer Scott Gimple have continued developing projects for The Walking Dead Universe, including the first in a series of theatrical films, in partnership with Universal Pictures and starring Andrew Lincoln, which continue the story of Rick Grimes. As part of Gimple’s multi-year plan for The Walking Dead Universe, there are other projects currently in development, including additional films, specials, series, digital content and more.</w:t>
      </w:r>
    </w:p>
    <w:p>
      <w:pPr>
        <w:spacing w:after="0" w:line="81" w:lineRule="exact"/>
        <w:rPr>
          <w:rFonts w:ascii="Arial" w:cs="Arial" w:eastAsia="Arial" w:hAnsi="Arial"/>
          <w:sz w:val="18"/>
          <w:szCs w:val="18"/>
          <w:color w:val="auto"/>
        </w:rPr>
      </w:pPr>
    </w:p>
    <w:p>
      <w:pPr>
        <w:jc w:val="both"/>
        <w:ind w:left="486" w:hanging="486"/>
        <w:spacing w:after="0" w:line="263" w:lineRule="auto"/>
        <w:tabs>
          <w:tab w:leader="none" w:pos="481" w:val="left"/>
        </w:tabs>
        <w:numPr>
          <w:ilvl w:val="0"/>
          <w:numId w:val="7"/>
        </w:numPr>
        <w:rPr>
          <w:rFonts w:ascii="Arial" w:cs="Arial" w:eastAsia="Arial" w:hAnsi="Arial"/>
          <w:sz w:val="18"/>
          <w:szCs w:val="18"/>
          <w:color w:val="auto"/>
        </w:rPr>
      </w:pPr>
      <w:r>
        <w:rPr>
          <w:rFonts w:ascii="Arial" w:cs="Arial" w:eastAsia="Arial" w:hAnsi="Arial"/>
          <w:sz w:val="18"/>
          <w:szCs w:val="18"/>
          <w:color w:val="auto"/>
        </w:rPr>
        <w:t>AMC's film library consists of films that are licensed under long-term contracts with major studios such as Twentieth Century Fox, Warner Bros., Sony, MGM, NBC Universal, Paramount and Buena Vista. AMC generally structures its contracts for the exclusive cable television rights to air the films during identified window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502920</wp:posOffset>
            </wp:positionV>
            <wp:extent cx="64262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26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86" w:hanging="486"/>
        <w:spacing w:after="0" w:line="277" w:lineRule="auto"/>
        <w:tabs>
          <w:tab w:leader="none" w:pos="481"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WE tv reached approximately 78 million Nielsen subscribers and had distribution agreements with all major U.S. distributors as of December 31, 2020.</w:t>
      </w:r>
    </w:p>
    <w:p>
      <w:pPr>
        <w:spacing w:after="0" w:line="62" w:lineRule="exact"/>
        <w:rPr>
          <w:rFonts w:ascii="Arial" w:cs="Arial" w:eastAsia="Arial" w:hAnsi="Arial"/>
          <w:sz w:val="18"/>
          <w:szCs w:val="18"/>
          <w:i w:val="1"/>
          <w:iCs w:val="1"/>
          <w:color w:val="auto"/>
        </w:rPr>
      </w:pPr>
    </w:p>
    <w:p>
      <w:pPr>
        <w:ind w:left="486" w:hanging="486"/>
        <w:spacing w:after="0"/>
        <w:tabs>
          <w:tab w:leader="none" w:pos="486"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tv connects audiences with reality content that is authentic and relatable with compelling unscripted shows.</w:t>
      </w:r>
    </w:p>
    <w:p>
      <w:pPr>
        <w:spacing w:after="0" w:line="117" w:lineRule="exact"/>
        <w:rPr>
          <w:rFonts w:ascii="Arial" w:cs="Arial" w:eastAsia="Arial" w:hAnsi="Arial"/>
          <w:sz w:val="18"/>
          <w:szCs w:val="18"/>
          <w:color w:val="auto"/>
        </w:rPr>
      </w:pPr>
    </w:p>
    <w:p>
      <w:pPr>
        <w:ind w:left="486" w:hanging="486"/>
        <w:spacing w:after="0" w:line="277" w:lineRule="auto"/>
        <w:tabs>
          <w:tab w:leader="none" w:pos="481"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tv is available across all platforms: on TV, online, on demand, and social media, embracing how today's digitally-savvy, socially-engaged audiences connect through content, using it as a catalyst to drive conversation and build community.</w:t>
      </w:r>
    </w:p>
    <w:p>
      <w:pPr>
        <w:spacing w:after="0" w:line="62" w:lineRule="exact"/>
        <w:rPr>
          <w:rFonts w:ascii="Arial" w:cs="Arial" w:eastAsia="Arial" w:hAnsi="Arial"/>
          <w:sz w:val="18"/>
          <w:szCs w:val="18"/>
          <w:color w:val="auto"/>
        </w:rPr>
      </w:pPr>
    </w:p>
    <w:p>
      <w:pPr>
        <w:jc w:val="both"/>
        <w:ind w:left="486" w:hanging="486"/>
        <w:spacing w:after="0" w:line="275" w:lineRule="auto"/>
        <w:tabs>
          <w:tab w:leader="none" w:pos="481"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Driven by unscripted originals, WE tv continues to grow its target audience, fueled by its popular slate of fresh and modern original series including its popular franchises </w:t>
      </w:r>
      <w:r>
        <w:rPr>
          <w:rFonts w:ascii="Arial" w:cs="Arial" w:eastAsia="Arial" w:hAnsi="Arial"/>
          <w:sz w:val="17"/>
          <w:szCs w:val="17"/>
          <w:i w:val="1"/>
          <w:iCs w:val="1"/>
          <w:color w:val="auto"/>
        </w:rPr>
        <w:t>Love After Lockup, and Growing Up Hip Hop</w:t>
      </w:r>
      <w:r>
        <w:rPr>
          <w:rFonts w:ascii="Arial" w:cs="Arial" w:eastAsia="Arial" w:hAnsi="Arial"/>
          <w:sz w:val="17"/>
          <w:szCs w:val="17"/>
          <w:color w:val="auto"/>
        </w:rPr>
        <w:t xml:space="preserve">, as well as Thursday night phenomenon </w:t>
      </w:r>
      <w:r>
        <w:rPr>
          <w:rFonts w:ascii="Arial" w:cs="Arial" w:eastAsia="Arial" w:hAnsi="Arial"/>
          <w:sz w:val="17"/>
          <w:szCs w:val="17"/>
          <w:i w:val="1"/>
          <w:iCs w:val="1"/>
          <w:color w:val="auto"/>
        </w:rPr>
        <w:t>Braxton Family Values</w:t>
      </w:r>
      <w:r>
        <w:rPr>
          <w:rFonts w:ascii="Arial" w:cs="Arial" w:eastAsia="Arial" w:hAnsi="Arial"/>
          <w:sz w:val="17"/>
          <w:szCs w:val="17"/>
          <w:color w:val="auto"/>
        </w:rPr>
        <w:t xml:space="preserve">, and cult favorite </w:t>
      </w:r>
      <w:r>
        <w:rPr>
          <w:rFonts w:ascii="Arial" w:cs="Arial" w:eastAsia="Arial" w:hAnsi="Arial"/>
          <w:sz w:val="17"/>
          <w:szCs w:val="17"/>
          <w:i w:val="1"/>
          <w:iCs w:val="1"/>
          <w:color w:val="auto"/>
        </w:rPr>
        <w:t>Bridezillas</w:t>
      </w:r>
      <w:r>
        <w:rPr>
          <w:rFonts w:ascii="Arial" w:cs="Arial" w:eastAsia="Arial" w:hAnsi="Arial"/>
          <w:sz w:val="17"/>
          <w:szCs w:val="17"/>
          <w:color w:val="auto"/>
        </w:rPr>
        <w:t xml:space="preserve">, which has helped to cement the network's position as the #1 U.S. cable network for African-American women on Thursday and Friday nights. WE tv’s reality series include </w:t>
      </w:r>
      <w:r>
        <w:rPr>
          <w:rFonts w:ascii="Arial" w:cs="Arial" w:eastAsia="Arial" w:hAnsi="Arial"/>
          <w:sz w:val="17"/>
          <w:szCs w:val="17"/>
          <w:i w:val="1"/>
          <w:iCs w:val="1"/>
          <w:color w:val="auto"/>
        </w:rPr>
        <w:t>Love After Lockup</w:t>
      </w:r>
      <w:r>
        <w:rPr>
          <w:rFonts w:ascii="Arial" w:cs="Arial" w:eastAsia="Arial" w:hAnsi="Arial"/>
          <w:sz w:val="17"/>
          <w:szCs w:val="17"/>
          <w:color w:val="auto"/>
        </w:rPr>
        <w:t xml:space="preserve"> as well as the spinoff </w:t>
      </w:r>
      <w:r>
        <w:rPr>
          <w:rFonts w:ascii="Arial" w:cs="Arial" w:eastAsia="Arial" w:hAnsi="Arial"/>
          <w:sz w:val="17"/>
          <w:szCs w:val="17"/>
          <w:i w:val="1"/>
          <w:iCs w:val="1"/>
          <w:color w:val="auto"/>
        </w:rPr>
        <w:t>Love After Lockup: Life After Lockup</w:t>
      </w:r>
      <w:r>
        <w:rPr>
          <w:rFonts w:ascii="Arial" w:cs="Arial" w:eastAsia="Arial" w:hAnsi="Arial"/>
          <w:sz w:val="17"/>
          <w:szCs w:val="17"/>
          <w:color w:val="auto"/>
        </w:rPr>
        <w:t>, with both shows averaging more than a million viewers in Nielsen Live + 3 ratings.</w:t>
      </w:r>
    </w:p>
    <w:p>
      <w:pPr>
        <w:spacing w:after="0" w:line="68" w:lineRule="exact"/>
        <w:rPr>
          <w:rFonts w:ascii="Arial" w:cs="Arial" w:eastAsia="Arial" w:hAnsi="Arial"/>
          <w:sz w:val="17"/>
          <w:szCs w:val="17"/>
          <w:color w:val="auto"/>
        </w:rPr>
      </w:pPr>
    </w:p>
    <w:p>
      <w:pPr>
        <w:ind w:left="486" w:hanging="486"/>
        <w:spacing w:after="0" w:line="277" w:lineRule="auto"/>
        <w:tabs>
          <w:tab w:leader="none" w:pos="48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Additionally, WE tv's programming includes series such as </w:t>
      </w:r>
      <w:r>
        <w:rPr>
          <w:rFonts w:ascii="Arial" w:cs="Arial" w:eastAsia="Arial" w:hAnsi="Arial"/>
          <w:sz w:val="18"/>
          <w:szCs w:val="18"/>
          <w:i w:val="1"/>
          <w:iCs w:val="1"/>
          <w:color w:val="auto"/>
        </w:rPr>
        <w:t>CSI: Miami</w:t>
      </w:r>
      <w:r>
        <w:rPr>
          <w:rFonts w:ascii="Arial" w:cs="Arial" w:eastAsia="Arial" w:hAnsi="Arial"/>
          <w:sz w:val="18"/>
          <w:szCs w:val="18"/>
          <w:color w:val="auto"/>
        </w:rPr>
        <w:t xml:space="preserve"> and </w:t>
      </w:r>
      <w:r>
        <w:rPr>
          <w:rFonts w:ascii="Arial" w:cs="Arial" w:eastAsia="Arial" w:hAnsi="Arial"/>
          <w:sz w:val="18"/>
          <w:szCs w:val="18"/>
          <w:i w:val="1"/>
          <w:iCs w:val="1"/>
          <w:color w:val="auto"/>
        </w:rPr>
        <w:t>Law &amp; Order</w:t>
      </w:r>
      <w:r>
        <w:rPr>
          <w:rFonts w:ascii="Arial" w:cs="Arial" w:eastAsia="Arial" w:hAnsi="Arial"/>
          <w:sz w:val="18"/>
          <w:szCs w:val="18"/>
          <w:color w:val="auto"/>
        </w:rPr>
        <w:t xml:space="preserve"> as well as feature films, with certain exclusive license rights from studios such as Paramount, MGM, Disney and Warner Bros.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2" w:lineRule="exact"/>
        <w:rPr>
          <w:rFonts w:ascii="Arial" w:cs="Arial" w:eastAsia="Arial" w:hAnsi="Arial"/>
          <w:sz w:val="18"/>
          <w:szCs w:val="18"/>
          <w:color w:val="auto"/>
        </w:rPr>
      </w:pPr>
    </w:p>
    <w:p>
      <w:pPr>
        <w:ind w:left="486" w:hanging="486"/>
        <w:spacing w:after="0" w:line="308" w:lineRule="auto"/>
        <w:tabs>
          <w:tab w:leader="none" w:pos="481" w:val="left"/>
        </w:tabs>
        <w:numPr>
          <w:ilvl w:val="0"/>
          <w:numId w:val="8"/>
        </w:numPr>
        <w:rPr>
          <w:rFonts w:ascii="Arial" w:cs="Arial" w:eastAsia="Arial" w:hAnsi="Arial"/>
          <w:sz w:val="17"/>
          <w:szCs w:val="17"/>
          <w:i w:val="1"/>
          <w:iCs w:val="1"/>
          <w:color w:val="auto"/>
        </w:rPr>
      </w:pPr>
      <w:r>
        <w:rPr>
          <w:rFonts w:ascii="Arial" w:cs="Arial" w:eastAsia="Arial" w:hAnsi="Arial"/>
          <w:sz w:val="17"/>
          <w:szCs w:val="17"/>
          <w:color w:val="auto"/>
        </w:rPr>
        <w:t>A joint venture between AMC Networks and BBC Studios (the commercial arm of the BBC), BBC AMERICA reached approximately 76 million Nielsen subscribers and had distribution agreements with all major U.S. distributors as of December 31, 2020.</w:t>
      </w:r>
    </w:p>
    <w:p>
      <w:pPr>
        <w:spacing w:after="0" w:line="38" w:lineRule="exact"/>
        <w:rPr>
          <w:rFonts w:ascii="Arial" w:cs="Arial" w:eastAsia="Arial" w:hAnsi="Arial"/>
          <w:sz w:val="17"/>
          <w:szCs w:val="17"/>
          <w:i w:val="1"/>
          <w:iCs w:val="1"/>
          <w:color w:val="auto"/>
        </w:rPr>
      </w:pPr>
    </w:p>
    <w:p>
      <w:pPr>
        <w:jc w:val="both"/>
        <w:ind w:left="486" w:hanging="486"/>
        <w:spacing w:after="0" w:line="279" w:lineRule="auto"/>
        <w:tabs>
          <w:tab w:leader="none" w:pos="481"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network has attracted wide critical acclaim for its influential series, including its Peabody Award-winning original series </w:t>
      </w:r>
      <w:r>
        <w:rPr>
          <w:rFonts w:ascii="Arial" w:cs="Arial" w:eastAsia="Arial" w:hAnsi="Arial"/>
          <w:sz w:val="17"/>
          <w:szCs w:val="17"/>
          <w:i w:val="1"/>
          <w:iCs w:val="1"/>
          <w:color w:val="auto"/>
        </w:rPr>
        <w:t>Killing Eve</w:t>
      </w:r>
      <w:r>
        <w:rPr>
          <w:rFonts w:ascii="Arial" w:cs="Arial" w:eastAsia="Arial" w:hAnsi="Arial"/>
          <w:sz w:val="17"/>
          <w:szCs w:val="17"/>
          <w:color w:val="auto"/>
        </w:rPr>
        <w:t>. Created by multi-award winner Phoebe Waller-Bridge (Fleabag), the series stars Sandra Oh, who won the Golden Globe and Critics' Choice Award for Best Actress in a Drama Series for her role as Eve, and co-star, Jodie Comer, who won a BAFTA Award and Emmy Award for her iconic portrayal of assassin Villanelle. Season four is slated to go into production later this year.</w:t>
      </w:r>
    </w:p>
    <w:p>
      <w:pPr>
        <w:spacing w:after="0" w:line="63" w:lineRule="exact"/>
        <w:rPr>
          <w:rFonts w:ascii="Arial" w:cs="Arial" w:eastAsia="Arial" w:hAnsi="Arial"/>
          <w:sz w:val="17"/>
          <w:szCs w:val="17"/>
          <w:color w:val="auto"/>
        </w:rPr>
      </w:pPr>
    </w:p>
    <w:p>
      <w:pPr>
        <w:jc w:val="both"/>
        <w:ind w:left="486" w:hanging="486"/>
        <w:spacing w:after="0" w:line="257" w:lineRule="auto"/>
        <w:tabs>
          <w:tab w:leader="none" w:pos="48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BBC AMERICA is the definitive home and co-producer of the most iconic natural history programming from the BBC, including </w:t>
      </w:r>
      <w:r>
        <w:rPr>
          <w:rFonts w:ascii="Arial" w:cs="Arial" w:eastAsia="Arial" w:hAnsi="Arial"/>
          <w:sz w:val="18"/>
          <w:szCs w:val="18"/>
          <w:i w:val="1"/>
          <w:iCs w:val="1"/>
          <w:color w:val="auto"/>
        </w:rPr>
        <w:t>Planet</w:t>
      </w:r>
      <w:r>
        <w:rPr>
          <w:rFonts w:ascii="Arial" w:cs="Arial" w:eastAsia="Arial" w:hAnsi="Arial"/>
          <w:sz w:val="18"/>
          <w:szCs w:val="18"/>
          <w:color w:val="auto"/>
        </w:rPr>
        <w:t xml:space="preserve"> </w:t>
      </w:r>
      <w:r>
        <w:rPr>
          <w:rFonts w:ascii="Arial" w:cs="Arial" w:eastAsia="Arial" w:hAnsi="Arial"/>
          <w:sz w:val="18"/>
          <w:szCs w:val="18"/>
          <w:i w:val="1"/>
          <w:iCs w:val="1"/>
          <w:color w:val="auto"/>
        </w:rPr>
        <w:t>Earth II</w:t>
      </w:r>
      <w:r>
        <w:rPr>
          <w:rFonts w:ascii="Arial" w:cs="Arial" w:eastAsia="Arial" w:hAnsi="Arial"/>
          <w:sz w:val="18"/>
          <w:szCs w:val="18"/>
          <w:color w:val="auto"/>
        </w:rPr>
        <w:t>,</w:t>
      </w:r>
      <w:r>
        <w:rPr>
          <w:rFonts w:ascii="Arial" w:cs="Arial" w:eastAsia="Arial" w:hAnsi="Arial"/>
          <w:sz w:val="18"/>
          <w:szCs w:val="18"/>
          <w:i w:val="1"/>
          <w:iCs w:val="1"/>
          <w:color w:val="auto"/>
        </w:rPr>
        <w:t xml:space="preserve"> Blue Planet II</w:t>
      </w:r>
      <w:r>
        <w:rPr>
          <w:rFonts w:ascii="Arial" w:cs="Arial" w:eastAsia="Arial" w:hAnsi="Arial"/>
          <w:sz w:val="18"/>
          <w:szCs w:val="18"/>
          <w:color w:val="auto"/>
        </w:rPr>
        <w:t>,</w:t>
      </w:r>
      <w:r>
        <w:rPr>
          <w:rFonts w:ascii="Arial" w:cs="Arial" w:eastAsia="Arial" w:hAnsi="Arial"/>
          <w:sz w:val="18"/>
          <w:szCs w:val="18"/>
          <w:i w:val="1"/>
          <w:iCs w:val="1"/>
          <w:color w:val="auto"/>
        </w:rPr>
        <w:t xml:space="preserve"> Dynasties</w:t>
      </w:r>
      <w:r>
        <w:rPr>
          <w:rFonts w:ascii="Arial" w:cs="Arial" w:eastAsia="Arial" w:hAnsi="Arial"/>
          <w:sz w:val="18"/>
          <w:szCs w:val="18"/>
          <w:color w:val="auto"/>
        </w:rPr>
        <w:t>, the Sir David Attenborough-narrated series</w:t>
      </w:r>
      <w:r>
        <w:rPr>
          <w:rFonts w:ascii="Arial" w:cs="Arial" w:eastAsia="Arial" w:hAnsi="Arial"/>
          <w:sz w:val="18"/>
          <w:szCs w:val="18"/>
          <w:i w:val="1"/>
          <w:iCs w:val="1"/>
          <w:color w:val="auto"/>
        </w:rPr>
        <w:t xml:space="preserve"> Seven Worlds, One Planet</w:t>
      </w:r>
      <w:r>
        <w:rPr>
          <w:rFonts w:ascii="Arial" w:cs="Arial" w:eastAsia="Arial" w:hAnsi="Arial"/>
          <w:sz w:val="18"/>
          <w:szCs w:val="18"/>
          <w:color w:val="auto"/>
        </w:rPr>
        <w:t>, which marks the first time the story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earth’s seven continents has been told in a single series, as well as the return of the Emmy® winning series </w:t>
      </w:r>
      <w:r>
        <w:rPr>
          <w:rFonts w:ascii="Arial" w:cs="Arial" w:eastAsia="Arial" w:hAnsi="Arial"/>
          <w:sz w:val="18"/>
          <w:szCs w:val="18"/>
          <w:i w:val="1"/>
          <w:iCs w:val="1"/>
          <w:color w:val="auto"/>
        </w:rPr>
        <w:t>Frozen Planet II</w:t>
      </w:r>
      <w:r>
        <w:rPr>
          <w:rFonts w:ascii="Arial" w:cs="Arial" w:eastAsia="Arial" w:hAnsi="Arial"/>
          <w:sz w:val="18"/>
          <w:szCs w:val="18"/>
          <w:color w:val="auto"/>
        </w:rPr>
        <w:t xml:space="preserve"> and </w:t>
      </w:r>
      <w:r>
        <w:rPr>
          <w:rFonts w:ascii="Arial" w:cs="Arial" w:eastAsia="Arial" w:hAnsi="Arial"/>
          <w:sz w:val="18"/>
          <w:szCs w:val="18"/>
          <w:i w:val="1"/>
          <w:iCs w:val="1"/>
          <w:color w:val="auto"/>
        </w:rPr>
        <w:t>Planet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Earth III – </w:t>
      </w:r>
      <w:r>
        <w:rPr>
          <w:rFonts w:ascii="Arial" w:cs="Arial" w:eastAsia="Arial" w:hAnsi="Arial"/>
          <w:sz w:val="18"/>
          <w:szCs w:val="18"/>
          <w:color w:val="auto"/>
        </w:rPr>
        <w:t>all a part of the network’s new Saturday nature television destination, Wonderstruck, which transforms the network every Saturday</w:t>
      </w:r>
      <w:r>
        <w:rPr>
          <w:rFonts w:ascii="Arial" w:cs="Arial" w:eastAsia="Arial" w:hAnsi="Arial"/>
          <w:sz w:val="18"/>
          <w:szCs w:val="18"/>
          <w:i w:val="1"/>
          <w:iCs w:val="1"/>
          <w:color w:val="auto"/>
        </w:rPr>
        <w:t xml:space="preserve"> </w:t>
      </w:r>
      <w:r>
        <w:rPr>
          <w:rFonts w:ascii="Arial" w:cs="Arial" w:eastAsia="Arial" w:hAnsi="Arial"/>
          <w:sz w:val="18"/>
          <w:szCs w:val="18"/>
          <w:color w:val="auto"/>
        </w:rPr>
        <w:t>into a 24-hour destination for wildlife 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-2211070</wp:posOffset>
            </wp:positionV>
            <wp:extent cx="831215"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3121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895" w:right="339" w:bottom="1440" w:gutter="0" w:footer="0" w:header="0"/>
        </w:sectPr>
      </w:pPr>
    </w:p>
    <w:bookmarkStart w:id="9" w:name="page10"/>
    <w:bookmarkEnd w:id="9"/>
    <w:p>
      <w:pPr>
        <w:jc w:val="both"/>
        <w:ind w:left="486" w:hanging="486"/>
        <w:spacing w:after="0" w:line="259" w:lineRule="auto"/>
        <w:tabs>
          <w:tab w:leader="none" w:pos="481"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BBCA’s shows such as </w:t>
      </w:r>
      <w:r>
        <w:rPr>
          <w:rFonts w:ascii="Arial" w:cs="Arial" w:eastAsia="Arial" w:hAnsi="Arial"/>
          <w:sz w:val="18"/>
          <w:szCs w:val="18"/>
          <w:i w:val="1"/>
          <w:iCs w:val="1"/>
          <w:color w:val="auto"/>
        </w:rPr>
        <w:t>Doctor Who</w:t>
      </w:r>
      <w:r>
        <w:rPr>
          <w:rFonts w:ascii="Arial" w:cs="Arial" w:eastAsia="Arial" w:hAnsi="Arial"/>
          <w:sz w:val="18"/>
          <w:szCs w:val="18"/>
          <w:color w:val="auto"/>
        </w:rPr>
        <w:t xml:space="preserve">, </w:t>
      </w:r>
      <w:r>
        <w:rPr>
          <w:rFonts w:ascii="Arial" w:cs="Arial" w:eastAsia="Arial" w:hAnsi="Arial"/>
          <w:sz w:val="18"/>
          <w:szCs w:val="18"/>
          <w:i w:val="1"/>
          <w:iCs w:val="1"/>
          <w:color w:val="auto"/>
        </w:rPr>
        <w:t>Orphan Black</w:t>
      </w:r>
      <w:r>
        <w:rPr>
          <w:rFonts w:ascii="Arial" w:cs="Arial" w:eastAsia="Arial" w:hAnsi="Arial"/>
          <w:sz w:val="18"/>
          <w:szCs w:val="18"/>
          <w:color w:val="auto"/>
        </w:rPr>
        <w:t xml:space="preserve">, </w:t>
      </w:r>
      <w:r>
        <w:rPr>
          <w:rFonts w:ascii="Arial" w:cs="Arial" w:eastAsia="Arial" w:hAnsi="Arial"/>
          <w:sz w:val="18"/>
          <w:szCs w:val="18"/>
          <w:i w:val="1"/>
          <w:iCs w:val="1"/>
          <w:color w:val="auto"/>
        </w:rPr>
        <w:t>Luther</w:t>
      </w:r>
      <w:r>
        <w:rPr>
          <w:rFonts w:ascii="Arial" w:cs="Arial" w:eastAsia="Arial" w:hAnsi="Arial"/>
          <w:sz w:val="18"/>
          <w:szCs w:val="18"/>
          <w:color w:val="auto"/>
        </w:rPr>
        <w:t xml:space="preserve"> and </w:t>
      </w:r>
      <w:r>
        <w:rPr>
          <w:rFonts w:ascii="Arial" w:cs="Arial" w:eastAsia="Arial" w:hAnsi="Arial"/>
          <w:sz w:val="18"/>
          <w:szCs w:val="18"/>
          <w:i w:val="1"/>
          <w:iCs w:val="1"/>
          <w:color w:val="auto"/>
        </w:rPr>
        <w:t>Broadchurch</w:t>
      </w:r>
      <w:r>
        <w:rPr>
          <w:rFonts w:ascii="Arial" w:cs="Arial" w:eastAsia="Arial" w:hAnsi="Arial"/>
          <w:sz w:val="18"/>
          <w:szCs w:val="18"/>
          <w:color w:val="auto"/>
        </w:rPr>
        <w:t xml:space="preserve"> have attracted broad critical acclaim. Its unscripted slate includes the iconic car show </w:t>
      </w:r>
      <w:r>
        <w:rPr>
          <w:rFonts w:ascii="Arial" w:cs="Arial" w:eastAsia="Arial" w:hAnsi="Arial"/>
          <w:sz w:val="18"/>
          <w:szCs w:val="18"/>
          <w:i w:val="1"/>
          <w:iCs w:val="1"/>
          <w:color w:val="auto"/>
        </w:rPr>
        <w:t>Top Gear</w:t>
      </w:r>
      <w:r>
        <w:rPr>
          <w:rFonts w:ascii="Arial" w:cs="Arial" w:eastAsia="Arial" w:hAnsi="Arial"/>
          <w:sz w:val="18"/>
          <w:szCs w:val="18"/>
          <w:color w:val="auto"/>
        </w:rPr>
        <w:t xml:space="preserve">, </w:t>
      </w:r>
      <w:r>
        <w:rPr>
          <w:rFonts w:ascii="Arial" w:cs="Arial" w:eastAsia="Arial" w:hAnsi="Arial"/>
          <w:sz w:val="18"/>
          <w:szCs w:val="18"/>
          <w:i w:val="1"/>
          <w:iCs w:val="1"/>
          <w:color w:val="auto"/>
        </w:rPr>
        <w:t>The Graham Norton Show</w:t>
      </w:r>
      <w:r>
        <w:rPr>
          <w:rFonts w:ascii="Arial" w:cs="Arial" w:eastAsia="Arial" w:hAnsi="Arial"/>
          <w:sz w:val="18"/>
          <w:szCs w:val="18"/>
          <w:color w:val="auto"/>
        </w:rPr>
        <w:t xml:space="preserve"> and the world’s biggest darts championships. The network recently premiered a new series, </w:t>
      </w:r>
      <w:r>
        <w:rPr>
          <w:rFonts w:ascii="Arial" w:cs="Arial" w:eastAsia="Arial" w:hAnsi="Arial"/>
          <w:sz w:val="18"/>
          <w:szCs w:val="18"/>
          <w:i w:val="1"/>
          <w:iCs w:val="1"/>
          <w:color w:val="auto"/>
        </w:rPr>
        <w:t>The Watch</w:t>
      </w:r>
      <w:r>
        <w:rPr>
          <w:rFonts w:ascii="Arial" w:cs="Arial" w:eastAsia="Arial" w:hAnsi="Arial"/>
          <w:sz w:val="18"/>
          <w:szCs w:val="18"/>
          <w:color w:val="auto"/>
        </w:rPr>
        <w:t>, based on Sir Terry Pratchett’s “Discworld” novels, which have sold more than 90 million books worldwide.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486" w:hanging="486"/>
        <w:spacing w:after="0" w:line="277" w:lineRule="auto"/>
        <w:tabs>
          <w:tab w:leader="none" w:pos="481"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IFC reached approximately 71 million Nielsen subscribers and had distribution agreements with all major U.S. distributors as of December 31, 2020.</w:t>
      </w:r>
    </w:p>
    <w:p>
      <w:pPr>
        <w:spacing w:after="0" w:line="62" w:lineRule="exact"/>
        <w:rPr>
          <w:rFonts w:ascii="Arial" w:cs="Arial" w:eastAsia="Arial" w:hAnsi="Arial"/>
          <w:sz w:val="18"/>
          <w:szCs w:val="18"/>
          <w:i w:val="1"/>
          <w:iCs w:val="1"/>
          <w:color w:val="auto"/>
        </w:rPr>
      </w:pPr>
    </w:p>
    <w:p>
      <w:pPr>
        <w:ind w:left="486" w:right="20" w:hanging="486"/>
        <w:spacing w:after="0" w:line="277" w:lineRule="auto"/>
        <w:tabs>
          <w:tab w:leader="none" w:pos="481" w:val="left"/>
        </w:tabs>
        <w:numPr>
          <w:ilvl w:val="0"/>
          <w:numId w:val="9"/>
        </w:numPr>
        <w:rPr>
          <w:rFonts w:ascii="Arial" w:cs="Arial" w:eastAsia="Arial" w:hAnsi="Arial"/>
          <w:sz w:val="18"/>
          <w:szCs w:val="18"/>
          <w:color w:val="auto"/>
        </w:rPr>
      </w:pPr>
      <w:r>
        <w:rPr>
          <w:rFonts w:ascii="Arial" w:cs="Arial" w:eastAsia="Arial" w:hAnsi="Arial"/>
          <w:sz w:val="18"/>
          <w:szCs w:val="18"/>
          <w:color w:val="auto"/>
        </w:rPr>
        <w:t>IFC is the home of offbeat, unexpected comedies that are in keeping with the network's "Always On Slightly Off" brand, which air alongside fan-favorite movies and comedic cult TV shows.</w:t>
      </w:r>
    </w:p>
    <w:p>
      <w:pPr>
        <w:spacing w:after="0" w:line="62" w:lineRule="exact"/>
        <w:rPr>
          <w:rFonts w:ascii="Arial" w:cs="Arial" w:eastAsia="Arial" w:hAnsi="Arial"/>
          <w:sz w:val="18"/>
          <w:szCs w:val="18"/>
          <w:color w:val="auto"/>
        </w:rPr>
      </w:pPr>
    </w:p>
    <w:p>
      <w:pPr>
        <w:jc w:val="both"/>
        <w:ind w:left="486" w:hanging="486"/>
        <w:spacing w:after="0" w:line="273" w:lineRule="auto"/>
        <w:tabs>
          <w:tab w:leader="none" w:pos="481"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Acclaimed series include the Emmy-nominated </w:t>
      </w:r>
      <w:r>
        <w:rPr>
          <w:rFonts w:ascii="Arial" w:cs="Arial" w:eastAsia="Arial" w:hAnsi="Arial"/>
          <w:sz w:val="17"/>
          <w:szCs w:val="17"/>
          <w:i w:val="1"/>
          <w:iCs w:val="1"/>
          <w:color w:val="auto"/>
        </w:rPr>
        <w:t>Documentary Now!</w:t>
      </w:r>
      <w:r>
        <w:rPr>
          <w:rFonts w:ascii="Arial" w:cs="Arial" w:eastAsia="Arial" w:hAnsi="Arial"/>
          <w:sz w:val="17"/>
          <w:szCs w:val="17"/>
          <w:color w:val="auto"/>
        </w:rPr>
        <w:t xml:space="preserve">, created by Seth Meyers, Bill Hader and Fred Armisen and executive produced by Lorne Michaels; </w:t>
      </w:r>
      <w:r>
        <w:rPr>
          <w:rFonts w:ascii="Arial" w:cs="Arial" w:eastAsia="Arial" w:hAnsi="Arial"/>
          <w:sz w:val="17"/>
          <w:szCs w:val="17"/>
          <w:i w:val="1"/>
          <w:iCs w:val="1"/>
          <w:color w:val="auto"/>
        </w:rPr>
        <w:t>Brockmire</w:t>
      </w:r>
      <w:r>
        <w:rPr>
          <w:rFonts w:ascii="Arial" w:cs="Arial" w:eastAsia="Arial" w:hAnsi="Arial"/>
          <w:sz w:val="17"/>
          <w:szCs w:val="17"/>
          <w:color w:val="auto"/>
        </w:rPr>
        <w:t xml:space="preserve">, starring Hank Azaria and Amanda Peet; all-female sketch comedy series </w:t>
      </w:r>
      <w:r>
        <w:rPr>
          <w:rFonts w:ascii="Arial" w:cs="Arial" w:eastAsia="Arial" w:hAnsi="Arial"/>
          <w:sz w:val="17"/>
          <w:szCs w:val="17"/>
          <w:i w:val="1"/>
          <w:iCs w:val="1"/>
          <w:color w:val="auto"/>
        </w:rPr>
        <w:t>Baroness von Sketch Show</w:t>
      </w:r>
      <w:r>
        <w:rPr>
          <w:rFonts w:ascii="Arial" w:cs="Arial" w:eastAsia="Arial" w:hAnsi="Arial"/>
          <w:sz w:val="17"/>
          <w:szCs w:val="17"/>
          <w:color w:val="auto"/>
        </w:rPr>
        <w:t xml:space="preserve">; the Critics' Choice Award-nominated </w:t>
      </w:r>
      <w:r>
        <w:rPr>
          <w:rFonts w:ascii="Arial" w:cs="Arial" w:eastAsia="Arial" w:hAnsi="Arial"/>
          <w:sz w:val="17"/>
          <w:szCs w:val="17"/>
          <w:i w:val="1"/>
          <w:iCs w:val="1"/>
          <w:color w:val="auto"/>
        </w:rPr>
        <w:t>Sherman’s Showcase</w:t>
      </w:r>
      <w:r>
        <w:rPr>
          <w:rFonts w:ascii="Arial" w:cs="Arial" w:eastAsia="Arial" w:hAnsi="Arial"/>
          <w:sz w:val="17"/>
          <w:szCs w:val="17"/>
          <w:color w:val="auto"/>
        </w:rPr>
        <w:t>, created by and starring Bashir Salahuddin and executive produced by John Legend’s Get Lifted Film Co. and RadicalMedia, and which earned a 100% Certified Fresh rating on Rotten Tomatoes and inclusion on numerous ‘Best of 2019’ lists. IFC is also the broadcast home of the Independent Spirit Awards, the first event to honor independent film exclusively and an annual celebration of the spirited pioneers who bring a unique vision to filmmaking.</w:t>
      </w:r>
    </w:p>
    <w:p>
      <w:pPr>
        <w:spacing w:after="0" w:line="69" w:lineRule="exact"/>
        <w:rPr>
          <w:rFonts w:ascii="Arial" w:cs="Arial" w:eastAsia="Arial" w:hAnsi="Arial"/>
          <w:sz w:val="17"/>
          <w:szCs w:val="17"/>
          <w:color w:val="auto"/>
        </w:rPr>
      </w:pPr>
    </w:p>
    <w:p>
      <w:pPr>
        <w:ind w:left="486" w:right="20" w:hanging="486"/>
        <w:spacing w:after="0" w:line="277" w:lineRule="auto"/>
        <w:tabs>
          <w:tab w:leader="none" w:pos="481" w:val="left"/>
        </w:tabs>
        <w:numPr>
          <w:ilvl w:val="0"/>
          <w:numId w:val="9"/>
        </w:numPr>
        <w:rPr>
          <w:rFonts w:ascii="Arial" w:cs="Arial" w:eastAsia="Arial" w:hAnsi="Arial"/>
          <w:sz w:val="18"/>
          <w:szCs w:val="18"/>
          <w:color w:val="auto"/>
        </w:rPr>
      </w:pPr>
      <w:r>
        <w:rPr>
          <w:rFonts w:ascii="Arial" w:cs="Arial" w:eastAsia="Arial" w:hAnsi="Arial"/>
          <w:sz w:val="18"/>
          <w:szCs w:val="18"/>
          <w:color w:val="auto"/>
        </w:rPr>
        <w:t>IFC's programming also includes films from various film distributors, including Fox, Miramax, Sony, Lionsgate, Universal, Paramount and Warner Bros.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3" w:lineRule="exact"/>
        <w:rPr>
          <w:rFonts w:ascii="Arial" w:cs="Arial" w:eastAsia="Arial" w:hAnsi="Arial"/>
          <w:sz w:val="18"/>
          <w:szCs w:val="18"/>
          <w:color w:val="auto"/>
        </w:rPr>
      </w:pPr>
    </w:p>
    <w:p>
      <w:pPr>
        <w:ind w:left="486" w:right="20" w:hanging="486"/>
        <w:spacing w:after="0" w:line="277" w:lineRule="auto"/>
        <w:tabs>
          <w:tab w:leader="none" w:pos="481"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SundanceTV reached approximately 66 million Nielsen subscribers and had distribution agreements with all major U.S. distributors as of December 31, 2020.</w:t>
      </w:r>
    </w:p>
    <w:p>
      <w:pPr>
        <w:spacing w:after="0" w:line="62" w:lineRule="exact"/>
        <w:rPr>
          <w:rFonts w:ascii="Arial" w:cs="Arial" w:eastAsia="Arial" w:hAnsi="Arial"/>
          <w:sz w:val="18"/>
          <w:szCs w:val="18"/>
          <w:i w:val="1"/>
          <w:iCs w:val="1"/>
          <w:color w:val="auto"/>
        </w:rPr>
      </w:pPr>
    </w:p>
    <w:p>
      <w:pPr>
        <w:jc w:val="both"/>
        <w:ind w:left="486" w:hanging="486"/>
        <w:spacing w:after="0" w:line="301" w:lineRule="auto"/>
        <w:tabs>
          <w:tab w:leader="none" w:pos="481" w:val="left"/>
        </w:tabs>
        <w:numPr>
          <w:ilvl w:val="0"/>
          <w:numId w:val="9"/>
        </w:numPr>
        <w:rPr>
          <w:rFonts w:ascii="Arial" w:cs="Arial" w:eastAsia="Arial" w:hAnsi="Arial"/>
          <w:sz w:val="16"/>
          <w:szCs w:val="16"/>
          <w:color w:val="auto"/>
        </w:rPr>
      </w:pPr>
      <w:r>
        <w:rPr>
          <w:rFonts w:ascii="Arial" w:cs="Arial" w:eastAsia="Arial" w:hAnsi="Arial"/>
          <w:sz w:val="16"/>
          <w:szCs w:val="16"/>
          <w:color w:val="auto"/>
        </w:rPr>
        <w:t>SundanceTV has remained true to founder Robert Redford’s mission to celebrate creativity and distinctive storytelling through unique voices and narratives found in the best independent films since its launch in 1996. From delivering critically acclaimed Emmy®, Golden Globe® and Peabody Award-winning television featuring some of the world’s most talented creators and performers, to showcasing some of the most compelling and iconic films across genres and generations, SundanceTV is a smart and thought-provoking entertainment destination.</w:t>
      </w:r>
    </w:p>
    <w:p>
      <w:pPr>
        <w:spacing w:after="0" w:line="49" w:lineRule="exact"/>
        <w:rPr>
          <w:rFonts w:ascii="Arial" w:cs="Arial" w:eastAsia="Arial" w:hAnsi="Arial"/>
          <w:sz w:val="16"/>
          <w:szCs w:val="16"/>
          <w:color w:val="auto"/>
        </w:rPr>
      </w:pPr>
    </w:p>
    <w:p>
      <w:pPr>
        <w:jc w:val="both"/>
        <w:ind w:left="486" w:hanging="486"/>
        <w:spacing w:after="0" w:line="288" w:lineRule="auto"/>
        <w:tabs>
          <w:tab w:leader="none" w:pos="481"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Working with today's most innovative talent, SundanceTV attracts viewer and critical acclaim for its original scripted programming and true-crime documentaries, including the Peabody-award winning </w:t>
      </w:r>
      <w:r>
        <w:rPr>
          <w:rFonts w:ascii="Arial" w:cs="Arial" w:eastAsia="Arial" w:hAnsi="Arial"/>
          <w:sz w:val="16"/>
          <w:szCs w:val="16"/>
          <w:i w:val="1"/>
          <w:iCs w:val="1"/>
          <w:color w:val="auto"/>
        </w:rPr>
        <w:t>Rectify, Top of the Lake</w:t>
      </w:r>
      <w:r>
        <w:rPr>
          <w:rFonts w:ascii="Arial" w:cs="Arial" w:eastAsia="Arial" w:hAnsi="Arial"/>
          <w:sz w:val="16"/>
          <w:szCs w:val="16"/>
          <w:color w:val="auto"/>
        </w:rPr>
        <w:t xml:space="preserve"> and second installment, </w:t>
      </w:r>
      <w:r>
        <w:rPr>
          <w:rFonts w:ascii="Arial" w:cs="Arial" w:eastAsia="Arial" w:hAnsi="Arial"/>
          <w:sz w:val="16"/>
          <w:szCs w:val="16"/>
          <w:i w:val="1"/>
          <w:iCs w:val="1"/>
          <w:color w:val="auto"/>
        </w:rPr>
        <w:t>Top of the Lake: China Girl</w:t>
      </w:r>
      <w:r>
        <w:rPr>
          <w:rFonts w:ascii="Arial" w:cs="Arial" w:eastAsia="Arial" w:hAnsi="Arial"/>
          <w:sz w:val="16"/>
          <w:szCs w:val="16"/>
          <w:color w:val="auto"/>
        </w:rPr>
        <w:t xml:space="preserve">, directed by Oscar-winning Jane Campion and starring Elisabeth Moss and Nicole Kidman; fan favorite </w:t>
      </w:r>
      <w:r>
        <w:rPr>
          <w:rFonts w:ascii="Arial" w:cs="Arial" w:eastAsia="Arial" w:hAnsi="Arial"/>
          <w:sz w:val="16"/>
          <w:szCs w:val="16"/>
          <w:i w:val="1"/>
          <w:iCs w:val="1"/>
          <w:color w:val="auto"/>
        </w:rPr>
        <w:t>Hap and Leonard</w:t>
      </w:r>
      <w:r>
        <w:rPr>
          <w:rFonts w:ascii="Arial" w:cs="Arial" w:eastAsia="Arial" w:hAnsi="Arial"/>
          <w:sz w:val="16"/>
          <w:szCs w:val="16"/>
          <w:color w:val="auto"/>
        </w:rPr>
        <w:t xml:space="preserve">; </w:t>
      </w:r>
      <w:r>
        <w:rPr>
          <w:rFonts w:ascii="Arial" w:cs="Arial" w:eastAsia="Arial" w:hAnsi="Arial"/>
          <w:sz w:val="16"/>
          <w:szCs w:val="16"/>
          <w:i w:val="1"/>
          <w:iCs w:val="1"/>
          <w:color w:val="auto"/>
        </w:rPr>
        <w:t>Liar</w:t>
      </w:r>
      <w:r>
        <w:rPr>
          <w:rFonts w:ascii="Arial" w:cs="Arial" w:eastAsia="Arial" w:hAnsi="Arial"/>
          <w:sz w:val="16"/>
          <w:szCs w:val="16"/>
          <w:color w:val="auto"/>
        </w:rPr>
        <w:t xml:space="preserve">, starring Golden Globe-winner and Emmy-nominated actress Joanne Froggatt (Downton Abbey); the Peabody and International Emmy-Award winning series </w:t>
      </w:r>
      <w:r>
        <w:rPr>
          <w:rFonts w:ascii="Arial" w:cs="Arial" w:eastAsia="Arial" w:hAnsi="Arial"/>
          <w:sz w:val="16"/>
          <w:szCs w:val="16"/>
          <w:i w:val="1"/>
          <w:iCs w:val="1"/>
          <w:color w:val="auto"/>
        </w:rPr>
        <w:t>Deutschland 83</w:t>
      </w:r>
      <w:r>
        <w:rPr>
          <w:rFonts w:ascii="Arial" w:cs="Arial" w:eastAsia="Arial" w:hAnsi="Arial"/>
          <w:sz w:val="16"/>
          <w:szCs w:val="16"/>
          <w:color w:val="auto"/>
        </w:rPr>
        <w:t xml:space="preserve">; original drama </w:t>
      </w:r>
      <w:r>
        <w:rPr>
          <w:rFonts w:ascii="Arial" w:cs="Arial" w:eastAsia="Arial" w:hAnsi="Arial"/>
          <w:sz w:val="16"/>
          <w:szCs w:val="16"/>
          <w:i w:val="1"/>
          <w:iCs w:val="1"/>
          <w:color w:val="auto"/>
        </w:rPr>
        <w:t>The Split</w:t>
      </w:r>
      <w:r>
        <w:rPr>
          <w:rFonts w:ascii="Arial" w:cs="Arial" w:eastAsia="Arial" w:hAnsi="Arial"/>
          <w:sz w:val="16"/>
          <w:szCs w:val="16"/>
          <w:color w:val="auto"/>
        </w:rPr>
        <w:t xml:space="preserve"> with a female-led cast and crew from BAFTA and Primetime Emmy Award®-winning writer Abi Morgan and BAFTA-winning Executive Producer Jane Featherstone; and true-crime series, including </w:t>
      </w:r>
      <w:r>
        <w:rPr>
          <w:rFonts w:ascii="Arial" w:cs="Arial" w:eastAsia="Arial" w:hAnsi="Arial"/>
          <w:sz w:val="16"/>
          <w:szCs w:val="16"/>
          <w:i w:val="1"/>
          <w:iCs w:val="1"/>
          <w:color w:val="auto"/>
        </w:rPr>
        <w:t>Cold Blooded: The Clutter Family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Murders </w:t>
      </w:r>
      <w:r>
        <w:rPr>
          <w:rFonts w:ascii="Arial" w:cs="Arial" w:eastAsia="Arial" w:hAnsi="Arial"/>
          <w:sz w:val="16"/>
          <w:szCs w:val="16"/>
          <w:color w:val="auto"/>
        </w:rPr>
        <w:t>from Academy Award® winning documentarian Joe Berlinger;</w:t>
      </w:r>
      <w:r>
        <w:rPr>
          <w:rFonts w:ascii="Arial" w:cs="Arial" w:eastAsia="Arial" w:hAnsi="Arial"/>
          <w:sz w:val="16"/>
          <w:szCs w:val="16"/>
          <w:i w:val="1"/>
          <w:iCs w:val="1"/>
          <w:color w:val="auto"/>
        </w:rPr>
        <w:t xml:space="preserve"> Jonestown: Terror in the Jungle </w:t>
      </w:r>
      <w:r>
        <w:rPr>
          <w:rFonts w:ascii="Arial" w:cs="Arial" w:eastAsia="Arial" w:hAnsi="Arial"/>
          <w:sz w:val="16"/>
          <w:szCs w:val="16"/>
          <w:color w:val="auto"/>
        </w:rPr>
        <w:t>from Executive Producers Leonardo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DiCaprio and Jennifer Davisson and Stephen David; as well as </w:t>
      </w:r>
      <w:r>
        <w:rPr>
          <w:rFonts w:ascii="Arial" w:cs="Arial" w:eastAsia="Arial" w:hAnsi="Arial"/>
          <w:sz w:val="16"/>
          <w:szCs w:val="16"/>
          <w:i w:val="1"/>
          <w:iCs w:val="1"/>
          <w:color w:val="auto"/>
        </w:rPr>
        <w:t>Ministry of Evil: The Twisted Cult of Tony Alamo</w:t>
      </w:r>
      <w:r>
        <w:rPr>
          <w:rFonts w:ascii="Arial" w:cs="Arial" w:eastAsia="Arial" w:hAnsi="Arial"/>
          <w:sz w:val="16"/>
          <w:szCs w:val="16"/>
          <w:color w:val="auto"/>
        </w:rPr>
        <w:t xml:space="preserve"> from Emmy Award®-winners Fenton Bailey, Randy Barbato, and Peacock Productions; and </w:t>
      </w:r>
      <w:r>
        <w:rPr>
          <w:rFonts w:ascii="Arial" w:cs="Arial" w:eastAsia="Arial" w:hAnsi="Arial"/>
          <w:sz w:val="16"/>
          <w:szCs w:val="16"/>
          <w:i w:val="1"/>
          <w:iCs w:val="1"/>
          <w:color w:val="auto"/>
        </w:rPr>
        <w:t>The Preppie Murder</w:t>
      </w:r>
      <w:r>
        <w:rPr>
          <w:rFonts w:ascii="Arial" w:cs="Arial" w:eastAsia="Arial" w:hAnsi="Arial"/>
          <w:sz w:val="16"/>
          <w:szCs w:val="16"/>
          <w:color w:val="auto"/>
        </w:rPr>
        <w:t xml:space="preserve"> with Emmy® Award- winner Robert Friedman's Bungalow Media + Entertainment and the original prosecutor in the case, Linda Fairstein.</w:t>
      </w:r>
    </w:p>
    <w:p>
      <w:pPr>
        <w:spacing w:after="0" w:line="60" w:lineRule="exact"/>
        <w:rPr>
          <w:rFonts w:ascii="Arial" w:cs="Arial" w:eastAsia="Arial" w:hAnsi="Arial"/>
          <w:sz w:val="16"/>
          <w:szCs w:val="16"/>
          <w:color w:val="auto"/>
        </w:rPr>
      </w:pPr>
    </w:p>
    <w:p>
      <w:pPr>
        <w:jc w:val="both"/>
        <w:ind w:left="486" w:hanging="486"/>
        <w:spacing w:after="0" w:line="259" w:lineRule="auto"/>
        <w:tabs>
          <w:tab w:leader="none" w:pos="481"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SundanceTV includes critically acclaimed short-form series </w:t>
      </w:r>
      <w:r>
        <w:rPr>
          <w:rFonts w:ascii="Arial" w:cs="Arial" w:eastAsia="Arial" w:hAnsi="Arial"/>
          <w:sz w:val="18"/>
          <w:szCs w:val="18"/>
          <w:i w:val="1"/>
          <w:iCs w:val="1"/>
          <w:color w:val="auto"/>
        </w:rPr>
        <w:t>State of the Union</w:t>
      </w:r>
      <w:r>
        <w:rPr>
          <w:rFonts w:ascii="Arial" w:cs="Arial" w:eastAsia="Arial" w:hAnsi="Arial"/>
          <w:sz w:val="18"/>
          <w:szCs w:val="18"/>
          <w:color w:val="auto"/>
        </w:rPr>
        <w:t>, written by Academy Award-nominated and BAFTA-winning writer Nick Hornby and directed by multi-award-winning film and TV director Stephen Frears. The series swept the 2019 Creative Arts Emmy Awards Short Form category, winning Outstanding Series, as well as Outstanding Actor and Actress for Chris O’Dowd and Rosamund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-6112510</wp:posOffset>
            </wp:positionV>
            <wp:extent cx="882650"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2650" cy="51435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-3326765</wp:posOffset>
            </wp:positionV>
            <wp:extent cx="1259840" cy="248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984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003" w:right="339" w:bottom="1440" w:gutter="0" w:footer="0" w:header="0"/>
        </w:sectPr>
      </w:pPr>
    </w:p>
    <w:bookmarkStart w:id="10" w:name="page11"/>
    <w:bookmarkEnd w:id="10"/>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336550</wp:posOffset>
            </wp:positionH>
            <wp:positionV relativeFrom="page">
              <wp:posOffset>646430</wp:posOffset>
            </wp:positionV>
            <wp:extent cx="154305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543050" cy="291465"/>
                    </a:xfrm>
                    <a:prstGeom prst="rect">
                      <a:avLst/>
                    </a:prstGeom>
                    <a:noFill/>
                  </pic:spPr>
                </pic:pic>
              </a:graphicData>
            </a:graphic>
          </wp:anchor>
        </w:drawing>
      </w:r>
    </w:p>
    <w:p>
      <w:pPr>
        <w:ind w:left="760" w:hanging="486"/>
        <w:spacing w:after="0" w:line="277" w:lineRule="auto"/>
        <w:tabs>
          <w:tab w:leader="none" w:pos="7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AMC Studios is our in-house studio, production and distribution operation. AMC Studios launched in 2010 with its first series, </w:t>
      </w:r>
      <w:r>
        <w:rPr>
          <w:rFonts w:ascii="Arial" w:cs="Arial" w:eastAsia="Arial" w:hAnsi="Arial"/>
          <w:sz w:val="18"/>
          <w:szCs w:val="18"/>
          <w:i w:val="1"/>
          <w:iCs w:val="1"/>
          <w:color w:val="auto"/>
        </w:rPr>
        <w:t>The Walking</w:t>
      </w:r>
      <w:r>
        <w:rPr>
          <w:rFonts w:ascii="Arial" w:cs="Arial" w:eastAsia="Arial" w:hAnsi="Arial"/>
          <w:sz w:val="18"/>
          <w:szCs w:val="18"/>
          <w:color w:val="auto"/>
        </w:rPr>
        <w:t xml:space="preserve"> </w:t>
      </w:r>
      <w:r>
        <w:rPr>
          <w:rFonts w:ascii="Arial" w:cs="Arial" w:eastAsia="Arial" w:hAnsi="Arial"/>
          <w:sz w:val="18"/>
          <w:szCs w:val="18"/>
          <w:i w:val="1"/>
          <w:iCs w:val="1"/>
          <w:color w:val="auto"/>
        </w:rPr>
        <w:t>Dead</w:t>
      </w:r>
      <w:r>
        <w:rPr>
          <w:rFonts w:ascii="Arial" w:cs="Arial" w:eastAsia="Arial" w:hAnsi="Arial"/>
          <w:sz w:val="18"/>
          <w:szCs w:val="18"/>
          <w:color w:val="auto"/>
        </w:rPr>
        <w:t>, the highest-rated series in cable history.</w:t>
      </w:r>
    </w:p>
    <w:p>
      <w:pPr>
        <w:spacing w:after="0" w:line="62" w:lineRule="exact"/>
        <w:rPr>
          <w:rFonts w:ascii="Arial" w:cs="Arial" w:eastAsia="Arial" w:hAnsi="Arial"/>
          <w:sz w:val="18"/>
          <w:szCs w:val="18"/>
          <w:color w:val="auto"/>
        </w:rPr>
      </w:pPr>
    </w:p>
    <w:p>
      <w:pPr>
        <w:jc w:val="both"/>
        <w:ind w:left="760" w:hanging="486"/>
        <w:spacing w:after="0" w:line="257" w:lineRule="auto"/>
        <w:tabs>
          <w:tab w:leader="none" w:pos="7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Since then, AMC Studios has produced several critically acclaimed, award-winning and culturally distinctive originals for AMC, including scripted series: </w:t>
      </w:r>
      <w:r>
        <w:rPr>
          <w:rFonts w:ascii="Arial" w:cs="Arial" w:eastAsia="Arial" w:hAnsi="Arial"/>
          <w:sz w:val="18"/>
          <w:szCs w:val="18"/>
          <w:i w:val="1"/>
          <w:iCs w:val="1"/>
          <w:color w:val="auto"/>
        </w:rPr>
        <w:t>Fear the Walking Dead, The Terror anthology, Lodge 49, NOS4A2, TURN: Washington's Spies; Halt and Catch Fire; Into the</w:t>
      </w:r>
      <w:r>
        <w:rPr>
          <w:rFonts w:ascii="Arial" w:cs="Arial" w:eastAsia="Arial" w:hAnsi="Arial"/>
          <w:sz w:val="18"/>
          <w:szCs w:val="18"/>
          <w:color w:val="auto"/>
        </w:rPr>
        <w:t xml:space="preserve"> </w:t>
      </w:r>
      <w:r>
        <w:rPr>
          <w:rFonts w:ascii="Arial" w:cs="Arial" w:eastAsia="Arial" w:hAnsi="Arial"/>
          <w:sz w:val="18"/>
          <w:szCs w:val="18"/>
          <w:i w:val="1"/>
          <w:iCs w:val="1"/>
          <w:color w:val="auto"/>
        </w:rPr>
        <w:t>Badlands; The Son</w:t>
      </w:r>
      <w:r>
        <w:rPr>
          <w:rFonts w:ascii="Arial" w:cs="Arial" w:eastAsia="Arial" w:hAnsi="Arial"/>
          <w:sz w:val="18"/>
          <w:szCs w:val="18"/>
          <w:color w:val="auto"/>
        </w:rPr>
        <w:t>;</w:t>
      </w:r>
      <w:r>
        <w:rPr>
          <w:rFonts w:ascii="Arial" w:cs="Arial" w:eastAsia="Arial" w:hAnsi="Arial"/>
          <w:sz w:val="18"/>
          <w:szCs w:val="18"/>
          <w:i w:val="1"/>
          <w:iCs w:val="1"/>
          <w:color w:val="auto"/>
        </w:rPr>
        <w:t xml:space="preserve"> Dispatches From Elsewhere, Soulmates</w:t>
      </w:r>
      <w:r>
        <w:rPr>
          <w:rFonts w:ascii="Arial" w:cs="Arial" w:eastAsia="Arial" w:hAnsi="Arial"/>
          <w:sz w:val="18"/>
          <w:szCs w:val="18"/>
          <w:color w:val="auto"/>
        </w:rPr>
        <w:t>,</w:t>
      </w:r>
      <w:r>
        <w:rPr>
          <w:rFonts w:ascii="Arial" w:cs="Arial" w:eastAsia="Arial" w:hAnsi="Arial"/>
          <w:sz w:val="18"/>
          <w:szCs w:val="18"/>
          <w:i w:val="1"/>
          <w:iCs w:val="1"/>
          <w:color w:val="auto"/>
        </w:rPr>
        <w:t xml:space="preserve"> 61st Street</w:t>
      </w:r>
      <w:r>
        <w:rPr>
          <w:rFonts w:ascii="Arial" w:cs="Arial" w:eastAsia="Arial" w:hAnsi="Arial"/>
          <w:sz w:val="18"/>
          <w:szCs w:val="18"/>
          <w:color w:val="auto"/>
        </w:rPr>
        <w:t>, and</w:t>
      </w:r>
      <w:r>
        <w:rPr>
          <w:rFonts w:ascii="Arial" w:cs="Arial" w:eastAsia="Arial" w:hAnsi="Arial"/>
          <w:sz w:val="18"/>
          <w:szCs w:val="18"/>
          <w:i w:val="1"/>
          <w:iCs w:val="1"/>
          <w:color w:val="auto"/>
        </w:rPr>
        <w:t xml:space="preserve"> Kevin Can F**k Himself</w:t>
      </w:r>
      <w:r>
        <w:rPr>
          <w:rFonts w:ascii="Arial" w:cs="Arial" w:eastAsia="Arial" w:hAnsi="Arial"/>
          <w:sz w:val="18"/>
          <w:szCs w:val="18"/>
          <w:color w:val="auto"/>
        </w:rPr>
        <w:t>; as well as unscripted series:</w:t>
      </w:r>
      <w:r>
        <w:rPr>
          <w:rFonts w:ascii="Arial" w:cs="Arial" w:eastAsia="Arial" w:hAnsi="Arial"/>
          <w:sz w:val="18"/>
          <w:szCs w:val="18"/>
          <w:i w:val="1"/>
          <w:iCs w:val="1"/>
          <w:color w:val="auto"/>
        </w:rPr>
        <w:t xml:space="preserve"> Ride with Norman Reedus</w:t>
      </w:r>
      <w:r>
        <w:rPr>
          <w:rFonts w:ascii="Arial" w:cs="Arial" w:eastAsia="Arial" w:hAnsi="Arial"/>
          <w:sz w:val="18"/>
          <w:szCs w:val="18"/>
          <w:color w:val="auto"/>
        </w:rPr>
        <w:t>, Robert Kirkman's</w:t>
      </w:r>
      <w:r>
        <w:rPr>
          <w:rFonts w:ascii="Arial" w:cs="Arial" w:eastAsia="Arial" w:hAnsi="Arial"/>
          <w:sz w:val="18"/>
          <w:szCs w:val="18"/>
          <w:i w:val="1"/>
          <w:iCs w:val="1"/>
          <w:color w:val="auto"/>
        </w:rPr>
        <w:t xml:space="preserve"> Secret History of Comics</w:t>
      </w:r>
      <w:r>
        <w:rPr>
          <w:rFonts w:ascii="Arial" w:cs="Arial" w:eastAsia="Arial" w:hAnsi="Arial"/>
          <w:sz w:val="18"/>
          <w:szCs w:val="18"/>
          <w:color w:val="auto"/>
        </w:rPr>
        <w:t>, James Cameron's</w:t>
      </w:r>
      <w:r>
        <w:rPr>
          <w:rFonts w:ascii="Arial" w:cs="Arial" w:eastAsia="Arial" w:hAnsi="Arial"/>
          <w:sz w:val="18"/>
          <w:szCs w:val="18"/>
          <w:i w:val="1"/>
          <w:iCs w:val="1"/>
          <w:color w:val="auto"/>
        </w:rPr>
        <w:t xml:space="preserve"> Story Of Science Fiction</w:t>
      </w:r>
      <w:r>
        <w:rPr>
          <w:rFonts w:ascii="Arial" w:cs="Arial" w:eastAsia="Arial" w:hAnsi="Arial"/>
          <w:sz w:val="18"/>
          <w:szCs w:val="18"/>
          <w:color w:val="auto"/>
        </w:rPr>
        <w:t>, Eli Roth’s</w:t>
      </w:r>
      <w:r>
        <w:rPr>
          <w:rFonts w:ascii="Arial" w:cs="Arial" w:eastAsia="Arial" w:hAnsi="Arial"/>
          <w:sz w:val="18"/>
          <w:szCs w:val="18"/>
          <w:i w:val="1"/>
          <w:iCs w:val="1"/>
          <w:color w:val="auto"/>
        </w:rPr>
        <w:t xml:space="preserve"> History of Horror</w:t>
      </w:r>
      <w:r>
        <w:rPr>
          <w:rFonts w:ascii="Arial" w:cs="Arial" w:eastAsia="Arial" w:hAnsi="Arial"/>
          <w:sz w:val="18"/>
          <w:szCs w:val="18"/>
          <w:color w:val="auto"/>
        </w:rPr>
        <w:t>, and</w:t>
      </w:r>
      <w:r>
        <w:rPr>
          <w:rFonts w:ascii="Arial" w:cs="Arial" w:eastAsia="Arial" w:hAnsi="Arial"/>
          <w:sz w:val="18"/>
          <w:szCs w:val="18"/>
          <w:i w:val="1"/>
          <w:iCs w:val="1"/>
          <w:color w:val="auto"/>
        </w:rPr>
        <w:t xml:space="preserve"> Hip Hop: The Songs That Shook America</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760" w:hanging="486"/>
        <w:spacing w:after="0" w:line="277" w:lineRule="auto"/>
        <w:tabs>
          <w:tab w:leader="none" w:pos="7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Studio also produced BBC AMERICA’s </w:t>
      </w:r>
      <w:r>
        <w:rPr>
          <w:rFonts w:ascii="Arial" w:cs="Arial" w:eastAsia="Arial" w:hAnsi="Arial"/>
          <w:sz w:val="18"/>
          <w:szCs w:val="18"/>
          <w:i w:val="1"/>
          <w:iCs w:val="1"/>
          <w:color w:val="auto"/>
        </w:rPr>
        <w:t>Dirk Gently</w:t>
      </w:r>
      <w:r>
        <w:rPr>
          <w:rFonts w:ascii="Arial" w:cs="Arial" w:eastAsia="Arial" w:hAnsi="Arial"/>
          <w:sz w:val="18"/>
          <w:szCs w:val="18"/>
          <w:color w:val="auto"/>
        </w:rPr>
        <w:t xml:space="preserve"> and SundanceTV’s Peabody Award-winning </w:t>
      </w:r>
      <w:r>
        <w:rPr>
          <w:rFonts w:ascii="Arial" w:cs="Arial" w:eastAsia="Arial" w:hAnsi="Arial"/>
          <w:sz w:val="18"/>
          <w:szCs w:val="18"/>
          <w:i w:val="1"/>
          <w:iCs w:val="1"/>
          <w:color w:val="auto"/>
        </w:rPr>
        <w:t>Rectify</w:t>
      </w:r>
      <w:r>
        <w:rPr>
          <w:rFonts w:ascii="Arial" w:cs="Arial" w:eastAsia="Arial" w:hAnsi="Arial"/>
          <w:sz w:val="18"/>
          <w:szCs w:val="18"/>
          <w:color w:val="auto"/>
        </w:rPr>
        <w:t xml:space="preserve">, original series </w:t>
      </w:r>
      <w:r>
        <w:rPr>
          <w:rFonts w:ascii="Arial" w:cs="Arial" w:eastAsia="Arial" w:hAnsi="Arial"/>
          <w:sz w:val="18"/>
          <w:szCs w:val="18"/>
          <w:i w:val="1"/>
          <w:iCs w:val="1"/>
          <w:color w:val="auto"/>
        </w:rPr>
        <w:t>Hap and</w:t>
      </w:r>
      <w:r>
        <w:rPr>
          <w:rFonts w:ascii="Arial" w:cs="Arial" w:eastAsia="Arial" w:hAnsi="Arial"/>
          <w:sz w:val="18"/>
          <w:szCs w:val="18"/>
          <w:color w:val="auto"/>
        </w:rPr>
        <w:t xml:space="preserve"> </w:t>
      </w:r>
      <w:r>
        <w:rPr>
          <w:rFonts w:ascii="Arial" w:cs="Arial" w:eastAsia="Arial" w:hAnsi="Arial"/>
          <w:sz w:val="18"/>
          <w:szCs w:val="18"/>
          <w:i w:val="1"/>
          <w:iCs w:val="1"/>
          <w:color w:val="auto"/>
        </w:rPr>
        <w:t>Leonard</w:t>
      </w:r>
      <w:r>
        <w:rPr>
          <w:rFonts w:ascii="Arial" w:cs="Arial" w:eastAsia="Arial" w:hAnsi="Arial"/>
          <w:sz w:val="18"/>
          <w:szCs w:val="18"/>
          <w:color w:val="auto"/>
        </w:rPr>
        <w:t>, and unscripted series</w:t>
      </w:r>
      <w:r>
        <w:rPr>
          <w:rFonts w:ascii="Arial" w:cs="Arial" w:eastAsia="Arial" w:hAnsi="Arial"/>
          <w:sz w:val="18"/>
          <w:szCs w:val="18"/>
          <w:i w:val="1"/>
          <w:iCs w:val="1"/>
          <w:color w:val="auto"/>
        </w:rPr>
        <w:t xml:space="preserve"> Cold Blooded: The Clutter Family Murders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Preppy Murder: Death in Central Park</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AMC Networks Broadcasting &amp; Technology</w:t>
      </w:r>
    </w:p>
    <w:p>
      <w:pPr>
        <w:spacing w:after="0" w:line="347" w:lineRule="exact"/>
        <w:rPr>
          <w:sz w:val="20"/>
          <w:szCs w:val="20"/>
          <w:color w:val="auto"/>
        </w:rPr>
      </w:pPr>
    </w:p>
    <w:p>
      <w:pPr>
        <w:ind w:left="760" w:hanging="486"/>
        <w:spacing w:after="0" w:line="277" w:lineRule="auto"/>
        <w:tabs>
          <w:tab w:leader="none" w:pos="7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AMC Networks Broadcasting &amp; Technology is a full-service network programming feed origination and distribution company, which primarily services most of the national programming networks of the Company.</w:t>
      </w:r>
    </w:p>
    <w:p>
      <w:pPr>
        <w:spacing w:after="0" w:line="62" w:lineRule="exact"/>
        <w:rPr>
          <w:rFonts w:ascii="Arial" w:cs="Arial" w:eastAsia="Arial" w:hAnsi="Arial"/>
          <w:sz w:val="18"/>
          <w:szCs w:val="18"/>
          <w:color w:val="auto"/>
        </w:rPr>
      </w:pPr>
    </w:p>
    <w:p>
      <w:pPr>
        <w:jc w:val="both"/>
        <w:ind w:left="760" w:hanging="486"/>
        <w:spacing w:after="0" w:line="275" w:lineRule="auto"/>
        <w:tabs>
          <w:tab w:leader="none" w:pos="7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AMC Networks Broadcasting &amp; Technology's operations are located in Bethpage, New York, where AMC Networks Broadcasting &amp; Technology consolidates origination and satellite communications functions in a 67,000 square-foot facility designed to keep AMC Networks at the forefront of network origination and distribution technology. AMC Networks Broadcasting &amp; Technology has 30 plus years of experience across its network services groups, including network origination, affiliate engineering, network transmission, traffic and scheduling that provide day-to-day delivery of any programming network, in high definition or standard definition.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International and Other segment includes the operations of AMCNI, AMC Networks Streaming Services, IFC Films and Levity.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AMC Networks International</w:t>
      </w:r>
    </w:p>
    <w:p>
      <w:pPr>
        <w:spacing w:after="0" w:line="117" w:lineRule="exact"/>
        <w:rPr>
          <w:sz w:val="20"/>
          <w:szCs w:val="20"/>
          <w:color w:val="auto"/>
        </w:rPr>
      </w:pPr>
    </w:p>
    <w:p>
      <w:pPr>
        <w:ind w:left="760" w:hanging="486"/>
        <w:spacing w:after="0" w:line="308" w:lineRule="auto"/>
        <w:tabs>
          <w:tab w:leader="none" w:pos="7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AMCNI, the international division of the Company, delivers entertaining and acclaimed programming that reaches subscribers in more than 125 countries and territories around the world, through operational centers in London, Madrid, Budapest, Miami and Buenos Aires.</w:t>
      </w:r>
    </w:p>
    <w:p>
      <w:pPr>
        <w:spacing w:after="0" w:line="38" w:lineRule="exact"/>
        <w:rPr>
          <w:rFonts w:ascii="Arial" w:cs="Arial" w:eastAsia="Arial" w:hAnsi="Arial"/>
          <w:sz w:val="17"/>
          <w:szCs w:val="17"/>
          <w:color w:val="auto"/>
        </w:rPr>
      </w:pPr>
    </w:p>
    <w:p>
      <w:pPr>
        <w:ind w:left="760" w:hanging="486"/>
        <w:spacing w:after="0" w:line="308" w:lineRule="auto"/>
        <w:tabs>
          <w:tab w:leader="none" w:pos="7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AMCNI consists of our premiere global brand, AMC, as well as a portfolio of popular, locally recognized brands delivering programming in a wide range of genres. Channels reaching different countries are programmed for local audiences, languages and markets.</w:t>
      </w:r>
    </w:p>
    <w:p>
      <w:pPr>
        <w:spacing w:after="0" w:line="38" w:lineRule="exact"/>
        <w:rPr>
          <w:rFonts w:ascii="Arial" w:cs="Arial" w:eastAsia="Arial" w:hAnsi="Arial"/>
          <w:sz w:val="17"/>
          <w:szCs w:val="17"/>
          <w:color w:val="auto"/>
        </w:rPr>
      </w:pPr>
    </w:p>
    <w:p>
      <w:pPr>
        <w:jc w:val="both"/>
        <w:ind w:left="760" w:hanging="486"/>
        <w:spacing w:after="0" w:line="286" w:lineRule="auto"/>
        <w:tabs>
          <w:tab w:leader="none" w:pos="7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AMCNI also operates a number of joint venture partnerships and managed channel services as well as direct to consumer services. A joint venture with CBS Studios, delivers a portfolio of entertainment channels which is managed from London. A joint venture in Madrid with Hearst delivers The History Channel Iberia and with NOS in Portugal delivers Canal Hollywood, Canal Panda and Biggs.</w:t>
      </w:r>
    </w:p>
    <w:p>
      <w:pPr>
        <w:spacing w:after="0" w:line="57" w:lineRule="exact"/>
        <w:rPr>
          <w:rFonts w:ascii="Arial" w:cs="Arial" w:eastAsia="Arial" w:hAnsi="Arial"/>
          <w:sz w:val="17"/>
          <w:szCs w:val="17"/>
          <w:color w:val="auto"/>
        </w:rPr>
      </w:pPr>
    </w:p>
    <w:p>
      <w:pPr>
        <w:ind w:left="760" w:hanging="486"/>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Highlights of the top AMCNI locally recognized channels are detailed below: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8" w:lineRule="exact"/>
        <w:rPr>
          <w:rFonts w:ascii="Arial" w:cs="Arial" w:eastAsia="Arial" w:hAnsi="Arial"/>
          <w:sz w:val="18"/>
          <w:szCs w:val="18"/>
          <w:color w:val="auto"/>
        </w:rPr>
      </w:pPr>
    </w:p>
    <w:p>
      <w:pPr>
        <w:ind w:left="760" w:hanging="486"/>
        <w:spacing w:after="0"/>
        <w:tabs>
          <w:tab w:leader="none" w:pos="7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Elgourmet is a Latin American family oriented culinary channel with broad appeal across all ages and socioeconomic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-805180</wp:posOffset>
            </wp:positionV>
            <wp:extent cx="54864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8640" cy="53149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40" w:top="1440" w:right="339" w:bottom="1440" w:gutter="0" w:footer="0" w:header="0"/>
        </w:sectPr>
      </w:pPr>
    </w:p>
    <w:bookmarkStart w:id="11" w:name="page12"/>
    <w:bookmarkEnd w:id="11"/>
    <w:p>
      <w:pPr>
        <w:ind w:left="980" w:hanging="486"/>
        <w:spacing w:after="0"/>
        <w:tabs>
          <w:tab w:leader="none" w:pos="980" w:val="left"/>
        </w:tabs>
        <w:numPr>
          <w:ilvl w:val="1"/>
          <w:numId w:val="13"/>
        </w:numPr>
        <w:rPr>
          <w:rFonts w:ascii="Arial" w:cs="Arial" w:eastAsia="Arial" w:hAnsi="Arial"/>
          <w:sz w:val="22"/>
          <w:szCs w:val="22"/>
          <w:color w:val="auto"/>
        </w:rPr>
      </w:pPr>
      <w:r>
        <w:rPr>
          <w:rFonts w:ascii="Arial" w:cs="Arial" w:eastAsia="Arial" w:hAnsi="Arial"/>
          <w:sz w:val="18"/>
          <w:szCs w:val="18"/>
          <w:color w:val="auto"/>
        </w:rPr>
        <w:t>The channel was launched over 20 years ago and has 200+ hours of original content featuring local and international talent.</w:t>
      </w:r>
    </w:p>
    <w:p>
      <w:pPr>
        <w:spacing w:after="0" w:line="12" w:lineRule="exact"/>
        <w:rPr>
          <w:rFonts w:ascii="Arial" w:cs="Arial" w:eastAsia="Arial" w:hAnsi="Arial"/>
          <w:sz w:val="22"/>
          <w:szCs w:val="22"/>
          <w:color w:val="auto"/>
        </w:rPr>
      </w:pPr>
    </w:p>
    <w:p>
      <w:pPr>
        <w:ind w:left="980" w:hanging="486"/>
        <w:spacing w:after="0" w:line="232" w:lineRule="auto"/>
        <w:tabs>
          <w:tab w:leader="none" w:pos="975" w:val="left"/>
        </w:tabs>
        <w:numPr>
          <w:ilvl w:val="1"/>
          <w:numId w:val="13"/>
        </w:numPr>
        <w:rPr>
          <w:rFonts w:ascii="Arial" w:cs="Arial" w:eastAsia="Arial" w:hAnsi="Arial"/>
          <w:sz w:val="22"/>
          <w:szCs w:val="22"/>
          <w:color w:val="auto"/>
        </w:rPr>
      </w:pPr>
      <w:r>
        <w:rPr>
          <w:rFonts w:ascii="Arial" w:cs="Arial" w:eastAsia="Arial" w:hAnsi="Arial"/>
          <w:sz w:val="18"/>
          <w:szCs w:val="18"/>
          <w:color w:val="auto"/>
        </w:rPr>
        <w:t xml:space="preserve">Elgourmet has won the Martin Fierro Award 14 times (granted by the Association of Argentine Television and Radio Journalists) and has won the Taste Award with </w:t>
      </w:r>
      <w:r>
        <w:rPr>
          <w:rFonts w:ascii="Arial" w:cs="Arial" w:eastAsia="Arial" w:hAnsi="Arial"/>
          <w:sz w:val="18"/>
          <w:szCs w:val="18"/>
          <w:i w:val="1"/>
          <w:iCs w:val="1"/>
          <w:color w:val="auto"/>
        </w:rPr>
        <w:t>Abuelita linda</w:t>
      </w:r>
      <w:r>
        <w:rPr>
          <w:rFonts w:ascii="Arial" w:cs="Arial" w:eastAsia="Arial" w:hAnsi="Arial"/>
          <w:sz w:val="18"/>
          <w:szCs w:val="18"/>
          <w:color w:val="auto"/>
        </w:rPr>
        <w:t xml:space="preserve"> as best Latin American Series.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9" w:lineRule="exact"/>
        <w:rPr>
          <w:rFonts w:ascii="Arial" w:cs="Arial" w:eastAsia="Arial" w:hAnsi="Arial"/>
          <w:sz w:val="22"/>
          <w:szCs w:val="22"/>
          <w:color w:val="auto"/>
        </w:rPr>
      </w:pPr>
    </w:p>
    <w:p>
      <w:pPr>
        <w:ind w:left="980" w:hanging="486"/>
        <w:spacing w:after="0" w:line="277" w:lineRule="auto"/>
        <w:tabs>
          <w:tab w:leader="none" w:pos="975"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U.K. business operates a joint venture with CBS Studios delivering a portfolio of entertainment channels in the U.K. including CBS Reality, CBS Europa, CBS Justice and Horror Channel.</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1"/>
          <w:numId w:val="13"/>
        </w:numPr>
        <w:rPr>
          <w:rFonts w:ascii="Arial" w:cs="Arial" w:eastAsia="Arial" w:hAnsi="Arial"/>
          <w:sz w:val="18"/>
          <w:szCs w:val="18"/>
          <w:color w:val="auto"/>
        </w:rPr>
      </w:pPr>
      <w:r>
        <w:rPr>
          <w:rFonts w:ascii="Arial" w:cs="Arial" w:eastAsia="Arial" w:hAnsi="Arial"/>
          <w:sz w:val="18"/>
          <w:szCs w:val="18"/>
          <w:color w:val="auto"/>
        </w:rPr>
        <w:t>CBS Reality is increasingly airing owned locally produced ‘true crime’ content aimed at women in the 50+ demographic. These documentary style programs re-visit famous U.K. based crimes and investigate the psychology of a killer.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8" w:lineRule="exact"/>
        <w:rPr>
          <w:rFonts w:ascii="Arial" w:cs="Arial" w:eastAsia="Arial" w:hAnsi="Arial"/>
          <w:sz w:val="18"/>
          <w:szCs w:val="18"/>
          <w:color w:val="auto"/>
        </w:rPr>
      </w:pPr>
    </w:p>
    <w:p>
      <w:pPr>
        <w:ind w:left="980" w:hanging="486"/>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Jim Jam is a pre-school kids channel aimed at 2-6 year-olds, focusing on education and teaching English.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Popular content includes </w:t>
      </w:r>
      <w:r>
        <w:rPr>
          <w:rFonts w:ascii="Arial" w:cs="Arial" w:eastAsia="Arial" w:hAnsi="Arial"/>
          <w:sz w:val="18"/>
          <w:szCs w:val="18"/>
          <w:i w:val="1"/>
          <w:iCs w:val="1"/>
          <w:color w:val="auto"/>
        </w:rPr>
        <w:t>Bob The Builder</w:t>
      </w:r>
      <w:r>
        <w:rPr>
          <w:rFonts w:ascii="Arial" w:cs="Arial" w:eastAsia="Arial" w:hAnsi="Arial"/>
          <w:sz w:val="18"/>
          <w:szCs w:val="18"/>
          <w:color w:val="auto"/>
        </w:rPr>
        <w:t xml:space="preserve">, </w:t>
      </w:r>
      <w:r>
        <w:rPr>
          <w:rFonts w:ascii="Arial" w:cs="Arial" w:eastAsia="Arial" w:hAnsi="Arial"/>
          <w:sz w:val="18"/>
          <w:szCs w:val="18"/>
          <w:i w:val="1"/>
          <w:iCs w:val="1"/>
          <w:color w:val="auto"/>
        </w:rPr>
        <w:t>Fireman Sam</w:t>
      </w:r>
      <w:r>
        <w:rPr>
          <w:rFonts w:ascii="Arial" w:cs="Arial" w:eastAsia="Arial" w:hAnsi="Arial"/>
          <w:sz w:val="18"/>
          <w:szCs w:val="18"/>
          <w:color w:val="auto"/>
        </w:rPr>
        <w:t xml:space="preserve">, </w:t>
      </w:r>
      <w:r>
        <w:rPr>
          <w:rFonts w:ascii="Arial" w:cs="Arial" w:eastAsia="Arial" w:hAnsi="Arial"/>
          <w:sz w:val="18"/>
          <w:szCs w:val="18"/>
          <w:i w:val="1"/>
          <w:iCs w:val="1"/>
          <w:color w:val="auto"/>
        </w:rPr>
        <w:t>Thomas and Friends</w:t>
      </w:r>
      <w:r>
        <w:rPr>
          <w:rFonts w:ascii="Arial" w:cs="Arial" w:eastAsia="Arial" w:hAnsi="Arial"/>
          <w:sz w:val="18"/>
          <w:szCs w:val="18"/>
          <w:color w:val="auto"/>
        </w:rPr>
        <w:t xml:space="preserve"> and </w:t>
      </w:r>
      <w:r>
        <w:rPr>
          <w:rFonts w:ascii="Arial" w:cs="Arial" w:eastAsia="Arial" w:hAnsi="Arial"/>
          <w:sz w:val="18"/>
          <w:szCs w:val="18"/>
          <w:i w:val="1"/>
          <w:iCs w:val="1"/>
          <w:color w:val="auto"/>
        </w:rPr>
        <w:t>Chuggington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Jim Jam reaches subscribers in over 60 EMEA countries.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Canal Hollywood is one of the leading pay-TV film channels in Spain and Portugal, offering a wide selection of movies produced by major U.S. studios.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Genres include comedy, drama, thriller, western, musical, and science fiction and the industry’s biggest stars.</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channel began broadcasting in 1993 and is distributed on all pay-TV platforms in Spain and Portugal, reaching more than 9 million households.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Sports 1 &amp; Sports 2 are premium sports channels in our core Central European territories.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channels broadcast European football, Formula 1, NBA and Ice Hockey among other live sports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-4987925</wp:posOffset>
            </wp:positionV>
            <wp:extent cx="524637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4637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-3676650</wp:posOffset>
            </wp:positionV>
            <wp:extent cx="754380" cy="480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54380" cy="4800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-2236470</wp:posOffset>
            </wp:positionV>
            <wp:extent cx="925830" cy="480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25830" cy="4800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-573405</wp:posOffset>
            </wp:positionV>
            <wp:extent cx="107124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245" cy="18859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AMC Networks Streaming Services</w:t>
      </w:r>
    </w:p>
    <w:p>
      <w:pPr>
        <w:spacing w:after="0" w:line="117" w:lineRule="exact"/>
        <w:rPr>
          <w:sz w:val="20"/>
          <w:szCs w:val="20"/>
          <w:color w:val="auto"/>
        </w:rPr>
      </w:pPr>
    </w:p>
    <w:p>
      <w:pPr>
        <w:ind w:left="900" w:hanging="325"/>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AMC Networks Streaming Services ended 2020 with more than 6 million total Company aggregate paid streaming subscribers.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2020, we launched AMC+, the destination for genre-defying storytelling, Ad Free and On Demand.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AMC+ features content from award-winning series and popular movies, to essential horror, acclaimed comedies, true crime, and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-1040130</wp:posOffset>
            </wp:positionV>
            <wp:extent cx="711200" cy="60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2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 w:name="page13"/>
    <w:bookmarkEnd w:id="12"/>
    <w:p>
      <w:pPr>
        <w:ind w:left="486" w:hanging="486"/>
        <w:spacing w:after="0" w:line="277" w:lineRule="auto"/>
        <w:tabs>
          <w:tab w:leader="none" w:pos="4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AMC+ features the best content from AMC, BBC America, IFC and Sundance, as well as the content offerings of Shudder, Sundance Now, and IFC Unlimited.</w:t>
      </w:r>
    </w:p>
    <w:p>
      <w:pPr>
        <w:spacing w:after="0" w:line="62" w:lineRule="exact"/>
        <w:rPr>
          <w:rFonts w:ascii="Arial" w:cs="Arial" w:eastAsia="Arial" w:hAnsi="Arial"/>
          <w:sz w:val="18"/>
          <w:szCs w:val="18"/>
          <w:color w:val="auto"/>
        </w:rPr>
      </w:pPr>
    </w:p>
    <w:p>
      <w:pPr>
        <w:ind w:left="486" w:hanging="486"/>
        <w:spacing w:after="0"/>
        <w:tabs>
          <w:tab w:leader="none" w:pos="4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an Ad-free service broadly available across wide array of platforms.</w:t>
      </w:r>
    </w:p>
    <w:p>
      <w:pPr>
        <w:spacing w:after="0" w:line="117" w:lineRule="exact"/>
        <w:rPr>
          <w:rFonts w:ascii="Arial" w:cs="Arial" w:eastAsia="Arial" w:hAnsi="Arial"/>
          <w:sz w:val="18"/>
          <w:szCs w:val="18"/>
          <w:color w:val="auto"/>
        </w:rPr>
      </w:pPr>
    </w:p>
    <w:p>
      <w:pPr>
        <w:ind w:left="486" w:hanging="486"/>
        <w:spacing w:after="0"/>
        <w:tabs>
          <w:tab w:leader="none" w:pos="4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AMC+ includes early releases and exclusive content.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jc w:val="both"/>
        <w:ind w:left="486" w:hanging="486"/>
        <w:spacing w:after="0" w:line="263" w:lineRule="auto"/>
        <w:tabs>
          <w:tab w:leader="none" w:pos="4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also own and operate four targeted streaming services through our direct to consumer business. The four services are Acorn TV, Shudder, Sundance Now, and ALLBLK (previously known as Urban Movie Channel). These services are available in the United States, Canada, parts of Latin America and Europe, Australia and New Zealand.</w:t>
      </w:r>
    </w:p>
    <w:p>
      <w:pPr>
        <w:spacing w:after="0" w:line="75" w:lineRule="exact"/>
        <w:rPr>
          <w:rFonts w:ascii="Arial" w:cs="Arial" w:eastAsia="Arial" w:hAnsi="Arial"/>
          <w:sz w:val="18"/>
          <w:szCs w:val="18"/>
          <w:color w:val="auto"/>
        </w:rPr>
      </w:pPr>
    </w:p>
    <w:p>
      <w:pPr>
        <w:ind w:left="486" w:hanging="486"/>
        <w:spacing w:after="0"/>
        <w:tabs>
          <w:tab w:leader="none" w:pos="4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Acorn TV features high-quality British and International mysteries and dramas.</w:t>
      </w:r>
    </w:p>
    <w:p>
      <w:pPr>
        <w:spacing w:after="0" w:line="117" w:lineRule="exact"/>
        <w:rPr>
          <w:rFonts w:ascii="Arial" w:cs="Arial" w:eastAsia="Arial" w:hAnsi="Arial"/>
          <w:sz w:val="18"/>
          <w:szCs w:val="18"/>
          <w:color w:val="auto"/>
        </w:rPr>
      </w:pPr>
    </w:p>
    <w:p>
      <w:pPr>
        <w:ind w:left="486" w:hanging="486"/>
        <w:spacing w:after="0"/>
        <w:tabs>
          <w:tab w:leader="none" w:pos="4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Shudder is dedicated to films in the horror, suspense and thriller genres.</w:t>
      </w:r>
    </w:p>
    <w:p>
      <w:pPr>
        <w:spacing w:after="0" w:line="117" w:lineRule="exact"/>
        <w:rPr>
          <w:rFonts w:ascii="Arial" w:cs="Arial" w:eastAsia="Arial" w:hAnsi="Arial"/>
          <w:sz w:val="18"/>
          <w:szCs w:val="18"/>
          <w:color w:val="auto"/>
        </w:rPr>
      </w:pPr>
    </w:p>
    <w:p>
      <w:pPr>
        <w:ind w:left="486" w:hanging="486"/>
        <w:spacing w:after="0"/>
        <w:tabs>
          <w:tab w:leader="none" w:pos="4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Sundance Now features independent film, TV shows, documentaries, and original series.</w:t>
      </w:r>
    </w:p>
    <w:p>
      <w:pPr>
        <w:spacing w:after="0" w:line="117" w:lineRule="exact"/>
        <w:rPr>
          <w:rFonts w:ascii="Arial" w:cs="Arial" w:eastAsia="Arial" w:hAnsi="Arial"/>
          <w:sz w:val="18"/>
          <w:szCs w:val="18"/>
          <w:color w:val="auto"/>
        </w:rPr>
      </w:pPr>
    </w:p>
    <w:p>
      <w:pPr>
        <w:ind w:left="486" w:hanging="486"/>
        <w:spacing w:after="0" w:line="277" w:lineRule="auto"/>
        <w:tabs>
          <w:tab w:leader="none" w:pos="4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ALLBLK (formerly UMC) showcases quality urban programming including feature films, documentaries, original series, stand-up comedy and other exclusive content for African-American and urban audiences.</w:t>
      </w:r>
    </w:p>
    <w:p>
      <w:pPr>
        <w:spacing w:after="0" w:line="62" w:lineRule="exact"/>
        <w:rPr>
          <w:rFonts w:ascii="Arial" w:cs="Arial" w:eastAsia="Arial" w:hAnsi="Arial"/>
          <w:sz w:val="18"/>
          <w:szCs w:val="18"/>
          <w:color w:val="auto"/>
        </w:rPr>
      </w:pPr>
    </w:p>
    <w:p>
      <w:pPr>
        <w:jc w:val="both"/>
        <w:ind w:left="486" w:hanging="486"/>
        <w:spacing w:after="0" w:line="279" w:lineRule="auto"/>
        <w:tabs>
          <w:tab w:leader="none" w:pos="481"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addition, we own a majority interest in Agatha Christie Ltd., a popular world-class franchise and control, co-produce, and either own or have long-term distribution rights to a large library of content primarily consisting of British mysteries and dramas, independent feature films and urban content. In addition to supporting our streaming services, we monetize our library through distribution operations across virtually all available media platforms and is distributed in the United States, Canada, U.K. and Australia.</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jc w:val="both"/>
        <w:ind w:left="486" w:hanging="486"/>
        <w:spacing w:after="0" w:line="259" w:lineRule="auto"/>
        <w:tabs>
          <w:tab w:leader="none" w:pos="4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IFC Films, our film distribution business, is a leading distributor of high-quality, talent-driven independent films and operates three distribution labels: IFC Films, Sundance Selects, and IFC Midnight, all of which distribute independent films across virtually all available media platforms, including in theaters, on cable/satellite video on demand, cable network television, streaming/downloading to internet-connected screens and DVDs. IFC Films has a film library consisting of more than 800 titles.</w:t>
      </w:r>
    </w:p>
    <w:p>
      <w:pPr>
        <w:spacing w:after="0" w:line="78" w:lineRule="exact"/>
        <w:rPr>
          <w:rFonts w:ascii="Arial" w:cs="Arial" w:eastAsia="Arial" w:hAnsi="Arial"/>
          <w:sz w:val="18"/>
          <w:szCs w:val="18"/>
          <w:color w:val="auto"/>
        </w:rPr>
      </w:pPr>
    </w:p>
    <w:p>
      <w:pPr>
        <w:jc w:val="both"/>
        <w:ind w:left="486" w:hanging="486"/>
        <w:spacing w:after="0" w:line="279" w:lineRule="auto"/>
        <w:tabs>
          <w:tab w:leader="none" w:pos="481"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part of its strategy to grow the marketplace for independent films, IFC Films also operates the IFC Center as well as several film festivals. IFC Center is an independent movie theater located in the heart of New York City's Greenwich Village. DOC NYC, which is the largest non-fiction film festival in the U.S., is an annual festival celebrating documentary storytelling in film, photography, prose and other media. Split Screens festival is an annual event celebrating the art and cultural impact of television that takes place at the IFC Center.</w:t>
      </w:r>
    </w:p>
    <w:p>
      <w:pPr>
        <w:spacing w:after="0" w:line="63" w:lineRule="exact"/>
        <w:rPr>
          <w:rFonts w:ascii="Arial" w:cs="Arial" w:eastAsia="Arial" w:hAnsi="Arial"/>
          <w:sz w:val="17"/>
          <w:szCs w:val="17"/>
          <w:color w:val="auto"/>
        </w:rPr>
      </w:pPr>
    </w:p>
    <w:p>
      <w:pPr>
        <w:jc w:val="both"/>
        <w:ind w:left="486" w:hanging="486"/>
        <w:spacing w:after="0" w:line="257" w:lineRule="auto"/>
        <w:tabs>
          <w:tab w:leader="none" w:pos="4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Notable releases include the acclaimed </w:t>
      </w:r>
      <w:r>
        <w:rPr>
          <w:rFonts w:ascii="Arial" w:cs="Arial" w:eastAsia="Arial" w:hAnsi="Arial"/>
          <w:sz w:val="18"/>
          <w:szCs w:val="18"/>
          <w:i w:val="1"/>
          <w:iCs w:val="1"/>
          <w:color w:val="auto"/>
        </w:rPr>
        <w:t>The Death of Stalin</w:t>
      </w:r>
      <w:r>
        <w:rPr>
          <w:rFonts w:ascii="Arial" w:cs="Arial" w:eastAsia="Arial" w:hAnsi="Arial"/>
          <w:sz w:val="18"/>
          <w:szCs w:val="18"/>
          <w:color w:val="auto"/>
        </w:rPr>
        <w:t xml:space="preserve">, with Steve Buscemi, which was awarded Best Screenplay by the prestigious National Society of Film Critics. The film was also widely recognized in critics’ annual End-of-Year “Best of” lists, including The New York Times, Indiewire, Vulture, The Washington Post and Buzzfeed. The Paul Dano-directed </w:t>
      </w:r>
      <w:r>
        <w:rPr>
          <w:rFonts w:ascii="Arial" w:cs="Arial" w:eastAsia="Arial" w:hAnsi="Arial"/>
          <w:sz w:val="18"/>
          <w:szCs w:val="18"/>
          <w:i w:val="1"/>
          <w:iCs w:val="1"/>
          <w:color w:val="auto"/>
        </w:rPr>
        <w:t>Wildlife</w:t>
      </w:r>
      <w:r>
        <w:rPr>
          <w:rFonts w:ascii="Arial" w:cs="Arial" w:eastAsia="Arial" w:hAnsi="Arial"/>
          <w:sz w:val="18"/>
          <w:szCs w:val="18"/>
          <w:color w:val="auto"/>
        </w:rPr>
        <w:t>, starring Carey Mulligan and Jake Gyllenhaal, debuted in early 2018 at the Sundance Film Festival and went on to open the prestigious Critics’ Week at the Cannes Film Festival.</w:t>
      </w:r>
    </w:p>
    <w:p>
      <w:pPr>
        <w:spacing w:after="0" w:line="79" w:lineRule="exact"/>
        <w:rPr>
          <w:rFonts w:ascii="Arial" w:cs="Arial" w:eastAsia="Arial" w:hAnsi="Arial"/>
          <w:sz w:val="18"/>
          <w:szCs w:val="18"/>
          <w:color w:val="auto"/>
        </w:rPr>
      </w:pPr>
    </w:p>
    <w:p>
      <w:pPr>
        <w:ind w:left="486" w:hanging="486"/>
        <w:spacing w:after="0" w:line="277" w:lineRule="auto"/>
        <w:tabs>
          <w:tab w:leader="none" w:pos="4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Other notable releases include </w:t>
      </w:r>
      <w:r>
        <w:rPr>
          <w:rFonts w:ascii="Arial" w:cs="Arial" w:eastAsia="Arial" w:hAnsi="Arial"/>
          <w:sz w:val="18"/>
          <w:szCs w:val="18"/>
          <w:i w:val="1"/>
          <w:iCs w:val="1"/>
          <w:color w:val="auto"/>
        </w:rPr>
        <w:t>The Clovehitch Killer</w:t>
      </w:r>
      <w:r>
        <w:rPr>
          <w:rFonts w:ascii="Arial" w:cs="Arial" w:eastAsia="Arial" w:hAnsi="Arial"/>
          <w:sz w:val="18"/>
          <w:szCs w:val="18"/>
          <w:color w:val="auto"/>
        </w:rPr>
        <w:t xml:space="preserve"> (distributed under the IFC Midnight label), </w:t>
      </w:r>
      <w:r>
        <w:rPr>
          <w:rFonts w:ascii="Arial" w:cs="Arial" w:eastAsia="Arial" w:hAnsi="Arial"/>
          <w:sz w:val="18"/>
          <w:szCs w:val="18"/>
          <w:i w:val="1"/>
          <w:iCs w:val="1"/>
          <w:color w:val="auto"/>
        </w:rPr>
        <w:t>Ghost Stories</w:t>
      </w:r>
      <w:r>
        <w:rPr>
          <w:rFonts w:ascii="Arial" w:cs="Arial" w:eastAsia="Arial" w:hAnsi="Arial"/>
          <w:sz w:val="18"/>
          <w:szCs w:val="18"/>
          <w:color w:val="auto"/>
        </w:rPr>
        <w:t xml:space="preserve">, and Lars von Trier’s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House That Jack Built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-5480050</wp:posOffset>
            </wp:positionV>
            <wp:extent cx="5528945"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28945" cy="39433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-2745105</wp:posOffset>
            </wp:positionV>
            <wp:extent cx="1551305"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51305" cy="34290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203200</wp:posOffset>
            </wp:positionV>
            <wp:extent cx="771525" cy="600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003" w:right="339" w:bottom="1440" w:gutter="0" w:footer="0" w:header="0"/>
        </w:sectPr>
      </w:pPr>
    </w:p>
    <w:bookmarkStart w:id="13" w:name="page14"/>
    <w:bookmarkEnd w:id="13"/>
    <w:p>
      <w:pPr>
        <w:ind w:left="980" w:right="20" w:hanging="486"/>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April 2018, we acquired a controlling interest in Levity, an entertainment company that owns and operates comedy venues and produces original content for distribution on multiple platforms, including live, digital and linear television.</w:t>
      </w:r>
    </w:p>
    <w:p>
      <w:pPr>
        <w:spacing w:after="0" w:line="62" w:lineRule="exact"/>
        <w:rPr>
          <w:rFonts w:ascii="Arial" w:cs="Arial" w:eastAsia="Arial" w:hAnsi="Arial"/>
          <w:sz w:val="18"/>
          <w:szCs w:val="18"/>
          <w:color w:val="auto"/>
        </w:rPr>
      </w:pPr>
    </w:p>
    <w:p>
      <w:pPr>
        <w:jc w:val="both"/>
        <w:ind w:left="980" w:hanging="486"/>
        <w:spacing w:after="0" w:line="259"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Levity is a leading player in live comedy with premium comedy venues in the U.S., including the legendary comedy brand, The Improv. Levity's comedy venues have been temporarily closed since March 2020. Levity also operates a talent management business and produces television content, including prime time specials with some of the biggest names in comedy, including Trevor Noah, Tracy Morgan, Margaret Cho, Sebastian Maniscalco and Gad Elmaleh.</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businesses are subject to and affected by regulations of U.S. federal, state and local government authorities, and our international operations are subject to laws and regulations of the countries in which they operate, as well as international bodies, such as the European Union. The Federal Communications Commission (the "FCC") regulates U.S. programming networks directly in some respects; other FCC regulations, although imposed on cable television operators and satellite operators, affect programming networks indirectly. The rules, regulations, policies and procedures affecting our businesses are constantly subject to change and increasingly, legislative and regulatory proposals seek to cover all sources of content, including the digital platforms over which we offer content, which may affect our regulatory burdens in the future. The descriptions below are summary in nature and do not purport to describe all present and proposed laws and regulations affecting our businesses.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Closed Captioning</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Certain of our networks must provide closed-captioning of programming for the hearing impaired, and we must provide closed captioning on certain video content that we offer on the Internet or through other Internet Protocol distribution methods.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CALM Act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FCC rules require MVPDs to ensure that all commercials comply with specified volume standards, and our distribution agreements generally require us to certify compliance with such standards.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Obscenity Restrictions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Cable operators and other MVPDs are prohibited from transmitting obscene programming, and our distribution agreements generally require us to refrain from including such programming on our networks.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Program Carriage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FCC recently made changes to the program carriage rules, which prohibit distributors from favoring their affiliated programming networks over unaffiliated similarly situated programming networks in the rates, terms and conditions of carriage agreements between programming networks and cable operators or other MVPDs. Some of these changes could make it more difficult for our programming networks to challenge a distributor’s decision to decline to carry one of our programming networks or a distributor action mid-contract that discriminates against one of our programming networks.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Packaging Programming and Volume Discounts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FCC from time to time examines whether to adopt rules restricting how programmers package and price their networks, or whether to impose other restrictions on carriage agreements between programmers and MVPDs. We do not currently require distributors to carry more than one of our national programming networks in order to obtain the right to carry a particular national programming network. However, we generally negotiate with a distributor for the carriage of all of our national networks concurrently, and we offer volume discounts to distributors who make our programming available to larger numbers of subscribers or who carry more of our programming networks.</w:t>
      </w:r>
    </w:p>
    <w:p>
      <w:pPr>
        <w:spacing w:after="0" w:line="80"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color w:val="auto"/>
        </w:rPr>
        <w:t>Some states also have sought to regulate the manner in which MVPDs package and offer programming. We generally do not allow our networks or individual programs on those networks today to be offered by distributors on an a la carte basis.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Effect of "Must-Carry" and "Retransmission Consent" Requirements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FCC's implementation of the statutory "must-carry" obligations requires cable and DBS operators to give certain broadcasters preferential access to channel space, and FCC "retransmission consent" rules allow broadcasters to require cable and DBS operators to carry broadcast-affiliated networks as a condition of access to the local broadcast station and to charge substantial fees for both carriage of the local broadcast station and the broadcast-affiliated networks. In contrast, programming networks, such as ours, have no guaranteed right of carriage on cable television or DBS systems. These carriage laws may reduce the amount of channel space that is available for carriage of our networks by cable television systems and DBS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operators, or the amount of programming funds that cable and DBS operators have available for carriage of our networks.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Website Requirements</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maintain various websites that provide information regarding our businesses and offer content for sale. The operation of these websites may be subject to a range of federal, state and local laws such as privacy, data security, accessibility, child safety and consumer protection regulations. For example, most states have enacted laws that impose data security and security breach obligations, and new frameworks regulating consumer privacy have recently been established at the state level and overseas, including the European Union's General Data Protection Regulation, or GDPR, and the California Consumer Privacy Act, or CCPA. The GDPR and the CCPA impose, among other things, more stringent operational requirements for processors and controllers of personal data, including expanded disclosures about how personal information is to be used, and increased liability for violations.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FCC also imposes rules that may impact us regarding a variety of issues such as advertising in children's television, and telemarketing. Programming businesses are subject to regulation by the country in which they operate, as well as international bodies, such as the European Union. These regulations may include restrictions on types of advertising that can be sold on our networks, programming content requirements, requirements to make programming available on non-discriminatory terms, and local content quotas.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programming services, consisting of linear networks and streaming services, operate in three highly competitive markets. First, our programming services compete with other programming services to obtain distribution on cable television systems and other multichannel video programming distribution systems, and ultimately for viewing by each distributor's subscribers. Second, our programming services compete with other programming services and other sources of video content, to secure desired entertainment programming. Third, our programming services compete with other sellers of advertising time and space, including other cable programming networks, radio, newspapers, outdoor media and, increasingly, internet sites. The success of our businesses depends on our ability to license and produce content for our programming services that is adequate in quantity and quality and will generate satisfactory viewer ratings. In each of these cases, some of our competitors are large publicly held companies that have greater financial resources than we do.</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 of Programming Networks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business of distributing programming networks to cable television systems and other MVPDs and licensing of original programming for distribution is highly competitive. Our programming networks face competition from other programming networks for carriage by a particular MVPD, and for the carriage on the service tier that will attract the most subscribers. Once our programming network is selected by a distributor for carriage, that network competes for viewers not only with the other programming networks available on the distributor's system, but also with over-the-air broadcast television, Internet-based video and other online services, mobile services, radio, print media, motion picture theaters, DVDs, and other sources of information and entertainment.</w:t>
      </w:r>
    </w:p>
    <w:p>
      <w:pPr>
        <w:spacing w:after="0" w:line="84"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Important to our success in each area of competition we face are the prices we charge for our programming networks, the quantity, quality and variety of the programming offered on our networks, and the effectiveness of our networks' marketing efforts. The competition for viewers among advertiser supported networks is directly correlated with the competition for advertising revenues with each of our competitors.</w:t>
      </w:r>
    </w:p>
    <w:p>
      <w:pPr>
        <w:spacing w:after="0" w:line="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ability to successfully compete with other networks may be hampered because the cable television systems or other MVPDs through which we seek distribution may be affiliated with other programming networks. In addition,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such affiliated distributors carry our programming networks, such distributors may place their affiliated programming network on a more desirable tier, thereby giving the affiliated programming network a competitive advantage over our own.</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New or existing programming networks that are affiliated with broadcasting networks like ABC, CBS, Fox or NBC may also have a competitive advantage over our programming networks in obtaining distribution through the "bundling" of agreements to carry those programming networks with agreements giving the distributor the right to carry a broadcast station affiliated with the broadcasting network.</w:t>
      </w:r>
    </w:p>
    <w:p>
      <w:pPr>
        <w:spacing w:after="0" w:line="7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Part of our strategy involves exploiting identified segments of the cable television viewing audience that are generally well defined and limited in size. Our networks have faced and will continue to face increasing competition as other programming networks and online or other services seek to serve the same or similar niches.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jc w:val="both"/>
        <w:ind w:firstLine="405"/>
        <w:spacing w:after="0" w:line="277" w:lineRule="auto"/>
        <w:rPr>
          <w:sz w:val="20"/>
          <w:szCs w:val="20"/>
          <w:color w:val="auto"/>
        </w:rPr>
      </w:pPr>
      <w:r>
        <w:rPr>
          <w:rFonts w:ascii="Arial" w:cs="Arial" w:eastAsia="Arial" w:hAnsi="Arial"/>
          <w:sz w:val="18"/>
          <w:szCs w:val="18"/>
          <w:color w:val="auto"/>
        </w:rPr>
        <w:t>We also seek to increase our content licensing revenues by expanding the opportunities for licensing our programming through other media platforms and we compete with other programming companies in this market based on the desirability of our programming.</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Programming</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compete with other programming networks and other distributors including digital distribution platforms to secure desired programming. Most of our original programming and all of our acquired programming is obtained through agreements with other parties that have produced or own the rights to such programming. Competition for this programming will increase as the number of programming networks and other distributors increases. Other programming networks or streaming services that are affiliated with programming sources such as movie or television studios or film libraries may have a competitive advantage over us in this area.</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With respect to the acquisition of entertainment programming, such as syndicated programs and movies that are not produced by or specifically for networks, our competitors include national broadcast television networks, local broadcast television stations, other cable programming networks, Internet-based video content distributors, and video-on-demand programs. Some of these competitors have exclusive contracts with motion picture studios or independent motion picture distributors or own film libraries.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 for Advertising Revenue</w:t>
      </w:r>
    </w:p>
    <w:p>
      <w:pPr>
        <w:spacing w:after="0" w:line="11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programming networks must compete with other sellers of advertising time and space, including other MVPDs, radio, newspapers, outdoor media and increasing shifts in spending toward online and mobile offerings from more traditional media. We compete for advertisers on the basis of rates we charge and also on the number and demographic nature of viewers who watch our programming. Advertisers will often seek to target their advertising content to those demographic categories they consider most likely to purchase the product or service they advertise. Accordingly, the demographic make-up of our viewership can be equally or more important than the number of viewers watching our programming.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At AMC Networks, our business is driven by telling original stories that entertain with vivid characters and worlds, that capture the imagination, and endure. We believe the strength of our workforce is one of the significant contributors to our success. Our key human capital management objectives are to invest in and support our employees so that we have the ability to attract, develop and retain a high performing and diverse workforce.</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vision is to be an industry leader that thinks, operates and creates using diversity, equity and inclusion (DEI) as a necessary lever for change and business results.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commitment to DEI at work ensures our success in all areas of our business. In 2020 we appointed our first Chief Diversity, Equity and Inclusion Officer who reports to our CEO and is dedicated to helping us build a more diverse, equitable and inclusive culture in our workplace and in the stories we tell.</w:t>
      </w:r>
    </w:p>
    <w:p>
      <w:pPr>
        <w:spacing w:after="0" w:line="7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As part of our DEI efforts, the Company places a high value on engaging the organization in our Employee Resource Groups (ERGs) around the globe. The Company has ERGs across nine categories, including Asian American, Visible &amp; Invisible Disabilities, Emerging Leaders, Parents &amp; Caregivers, LGBTQIA+, Black, Hispanic and Women. We believe the ERGs help facilitate networking and connections with peers, support the acquisition of diverse talent internally and externally, act as a sounding board for content development and programming, provide an avenue to facilitate leadership and skill development and increase the organization’s overall cultural competency.</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Talent</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employed 2,002 full-time employees and 355 part-time employees as of December 31, 2020. Our global workforce is over 50% women, with 44% of our senior leadership positions held by women. Over 27% of our U.S.-based workforce are people of color.</w:t>
      </w:r>
    </w:p>
    <w:p>
      <w:pPr>
        <w:spacing w:after="0" w:line="62"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We aim to attract top talent through our corporate brand and our reputation for innovation and high quality content, as well as through the many benefits we offer. We aim to retain our talent by emphasizing our competitive rewards; offering opportunities that support employees both personally and professionally; and our commitment to fostering a positive corporate culture.</w:t>
      </w:r>
    </w:p>
    <w:p>
      <w:pPr>
        <w:spacing w:after="0" w:line="76"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Our performance management practice includes frequent feedback and conversations between managers and team members, and talent reviews designed to identify potential future leaders and inform succession plans. We value continuous learning and development opportunities for our employees, which include: a robust internal mentorship program; dynamic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teams that take a cross disciplinary approach to driving innovation and problem solving; leadership development programs; and tuition assistance.</w:t>
      </w:r>
    </w:p>
    <w:p>
      <w:pPr>
        <w:spacing w:after="0" w:line="129"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Our benefit offerings are designed to meet the range of needs of our diverse workforce and include: adoption assistance; backup child/elder care; child care resources; college planning; domestic partner coverage; domestic partner tax equalization; employee assistance program; financial planning seminars; and a health advocate offering. These resources are intended to support the health, finance, and well-being of our employees.</w:t>
      </w:r>
    </w:p>
    <w:p>
      <w:pPr>
        <w:spacing w:after="0" w:line="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for certain of our productions, the Company, through in-house and third party production service companies, engages the services of writers, directors, actors and various crew members who are subject to certain specially negotiated collective bargaining agreements. Since these agreements are generally entered into on a per-project basis, negotiations occur on various agreements throughout the year. We believe that our relations with the labor unions and our employees are generally good.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Engagement</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believe having an engaged workforce is key to employee retention and satisfaction. Communication is central to our engagement efforts and include monthly CEO-hosted Virtual Town Halls; ERG panels and events; a Talks@AMC Networks speaker series featuring notable business and creative leaders from across our industry; regular internal company communications about business developments and other company news; company intranet; and an annual all staff company-wide meeting.</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aim to give our employees a voice in a variety of ways, including through formal engagement surveys, which solicit feedback on a range of topics such as company direction and strategy, leadership and management transparency, and diversity and inclusion.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Culture</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Company has a proud past and a long history of innovation and originality in our storytelling. This legacy informs who we are and is imbued in our corporate culture and in our values. We embrace collaboration, openness, approachability, as well as agility and creativity.</w:t>
      </w:r>
    </w:p>
    <w:p>
      <w:pPr>
        <w:spacing w:after="0" w:line="62" w:lineRule="exact"/>
        <w:rPr>
          <w:sz w:val="20"/>
          <w:szCs w:val="20"/>
          <w:color w:val="auto"/>
        </w:rPr>
      </w:pPr>
    </w:p>
    <w:p>
      <w:pPr>
        <w:jc w:val="both"/>
        <w:ind w:right="20" w:firstLine="445"/>
        <w:spacing w:after="0" w:line="286" w:lineRule="auto"/>
        <w:rPr>
          <w:sz w:val="20"/>
          <w:szCs w:val="20"/>
          <w:color w:val="auto"/>
        </w:rPr>
      </w:pPr>
      <w:r>
        <w:rPr>
          <w:rFonts w:ascii="Arial" w:cs="Arial" w:eastAsia="Arial" w:hAnsi="Arial"/>
          <w:sz w:val="17"/>
          <w:szCs w:val="17"/>
          <w:color w:val="auto"/>
        </w:rPr>
        <w:t>We strive to empower our employees to have community and social impact in meaningful ways. In 2020, we instituted two employee-led giving programs – a COVID-19 relief fund and a Social Justice fund. We asked employees to identify charitable organizations focused on COVID-19 related relief efforts and racial inequality, with each employee identified organization receiving a $1,000 donation from the Company.</w:t>
      </w:r>
    </w:p>
    <w:p>
      <w:pPr>
        <w:spacing w:after="0" w:line="5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Other initiatives to foster community and social impact include paid time off for full-time employees for Juneteenth, Election Day and a volunteer day of their choice.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corporate website is http://www.amcnetworks.com and the investor relations section of our website is located at http://investor.amcnetworks.com. We make available, free of charge through the investor relations section of our website, our annual reports on Form 10-K, quarterly reports on Form 10-Q and current reports on Form 8-K and amendments to those reports filed or furnished pursuant to Section 13(a) or 15(d) of the Securities Exchange Act of 1934, as well as our proxy statements, as soon as reasonably practicable after we electronically file such material with, or furnish it to, the Securities and Exchange Commission ("SEC"). References to our website in this Annual Report on Form 10-K (this "Annual Report") are provided as a convenience and the information contained on, or available through, the website is not part of this or any other report we file with or furnish to the SEC.</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 wide range of risks may affect our business, financial condition and results of operations, now and in the future. We consider the risks described below to be the most significant. There may be other currently unknown or unpredictable economic, business, competitive, regulatory or other factors that could have material adverse effects on our future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b w:val="1"/>
          <w:bCs w:val="1"/>
          <w:i w:val="1"/>
          <w:iCs w:val="1"/>
          <w:color w:val="auto"/>
        </w:rPr>
        <w:t>Our business depends on the appeal of our programming to our U.S. and international viewers and our distributors, which may be unpredictable and volatile.</w:t>
      </w:r>
    </w:p>
    <w:p>
      <w:pPr>
        <w:spacing w:after="0" w:line="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business depends, in part, upon viewer preferences and audience acceptance in the United States and internationally of the programming on our networks. These factors are often unpredictable and volatile, and subject to influences that are beyond our control, such as the quality and appeal of competing programming, general economic conditions and the availability of other entertainment activities. We may not be able to anticipate and react effectively to shifts in viewer preferences and/or interests in our markets. A change in viewer preferences has caused, and could in the future continue to cause, the audience for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certain of our programming to decline, which has resulted in, and could in the future continue to result in, a reduction of advertising revenues and jeopardize our bargaining position with distributors. In addition, certain of our competitors may have more flexible programming arrangements, as well as greater amounts of available content, distribution and capital resources, and may react more quickly than we might to shifts in tastes and interests.</w:t>
      </w:r>
    </w:p>
    <w:p>
      <w:pPr>
        <w:spacing w:after="0" w:line="5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To an increasing extent, the success of our business depends on original programming, and our ability to accurately predict how audiences will respond to our original programming is particularly important. Because original programming often involves a greater degree of commitment on our part, as compared to acquired programming that we license from third parties, and because our network branding strategies depend significantly on a relatively small number of original programs such as </w:t>
      </w:r>
      <w:r>
        <w:rPr>
          <w:rFonts w:ascii="Arial" w:cs="Arial" w:eastAsia="Arial" w:hAnsi="Arial"/>
          <w:sz w:val="16"/>
          <w:szCs w:val="16"/>
          <w:i w:val="1"/>
          <w:iCs w:val="1"/>
          <w:color w:val="auto"/>
        </w:rPr>
        <w:t>The Walking Dead</w:t>
      </w:r>
      <w:r>
        <w:rPr>
          <w:rFonts w:ascii="Arial" w:cs="Arial" w:eastAsia="Arial" w:hAnsi="Arial"/>
          <w:sz w:val="16"/>
          <w:szCs w:val="16"/>
          <w:color w:val="auto"/>
        </w:rPr>
        <w:t>, a failure to anticipate viewer preferences for such programs could be especially detrimental to our business. We periodically review the programming usefulness of our program rights based on a series of factors, including ratings, type and quality of program material, standards and practices, and fitness for exhibition. We have incurred write-offs of programming rights in the past, and may incur future programming rights write-offs if it is determined that program rights have limited, or no, future usefulness.</w:t>
      </w:r>
    </w:p>
    <w:p>
      <w:pPr>
        <w:spacing w:after="0" w:line="5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addition, feature films constitute a significant portion of the programming on our AMC, IFC and SundanceTV programming networks. In general, the popularity of feature-film content on linear television is declining, due in part to the broad availability of such content through an increasing number of distribution platforms. If the popularity of feature-film programming further declines, we may lose viewership, which could increase our costs.</w:t>
      </w:r>
    </w:p>
    <w:p>
      <w:pPr>
        <w:spacing w:after="0" w:line="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If our programming does not gain the level of audience acceptance we expect, or if we are unable to maintain the popularity of our programming, our ratings may suffer, which will negatively affect advertising revenues, and we may have a diminished bargaining position with distributors, which could reduce our distribution revenues. Ratings for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have declined in recent years, which has had a negative effect on our advertising revenues and our financial results. We cannot assure you that we will be able to maintain the success of any of our current programming or generate sufficient demand and market acceptance for our new programming.</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failure to develop popular new programming to replace programming that is older or ending can have adverse impacts on our business and results of operations.</w:t>
      </w:r>
    </w:p>
    <w:p>
      <w:pPr>
        <w:spacing w:after="0" w:line="6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Changes in the operating environment of multichannel distributors, including declines in the number of subscribers, could have a material negative effect on our business and results of operations.</w:t>
      </w:r>
    </w:p>
    <w:p>
      <w:pPr>
        <w:spacing w:after="0" w:line="6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business derives a substantial portion of its revenues and income from cable television providers and other MVPDs. Subscription streaming services and virtual MVPDs are changing when, where and how audiences consume video content. These changes pose risks to the traditional U.S. television industry, including (i) the disruption of the traditional television content distribution model by subscription streaming services and virtual multichannel video programming services, which are increasing in number and some of which have a significant and growing subscriber base, and (ii) the disruption of the advertising supported television model resulting from increased video consumption through subscription streaming services and virtual multichannel video programming services with no advertising or less advertising than on television networks, and time shifted viewing of television programming. In part as a result of these changes, over the past few years, the number of subscribers to traditional MVPDs in the United States has declined and the U.S. television industry has experienced declines in ratings for programming, which has negatively affected subscription and advertising revenues. Developments in technology and new content delivery products and services have also led to an increasing amount of video content, as well as changes in consumers' expectations regarding the availability of video content, their willingness to pay for access to or ownership of such content, their perception of what quality entertainment is and their tolerance for commercial interruptions. We are engaged in efforts to respond to and mitigate the risks from these changes, but the success of some of these initiatives depends in part on the cooperation of measurement companies, advertisers and affiliates and, therefore, is not within our control. We have incurred significant costs to implement our strategy and initiatives, and if they are not successful, our competitive position, businesses and results of operations could be adversely affected.</w:t>
      </w:r>
    </w:p>
    <w:p>
      <w:pPr>
        <w:spacing w:after="0" w:line="76"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programming services' success depends upon the availability of programming that is adequate in quantity and quality, and we may be unable to secure or maintain such programming.</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programming services', consisting of linear networks and streaming services, success depends upon the availability of quality programming, particularly original programming and films, that is suitable for our target markets. While we produce certain of our original programming through our studio operations, we obtain most of the programming on our services (including original programming, films and other acquired programming) through agreements with third parties that have produced or control the rights to such programming. These agreements expire at varying times and may be terminated by the other parties if we are not in compliance with their terms.</w:t>
      </w:r>
    </w:p>
    <w:p>
      <w:pPr>
        <w:spacing w:after="0" w:line="8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Competition for programming has increased as the number of programming networks and streaming services has increased. Other programming networks and streaming services that are affiliated with programming sources such as movie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television studios or film libraries may have a competitive advantage over us in this area. In addition to other cable programming networks, we also compete for programming with national broadcast television networks, local broadcast television stations, video on demand services and subscription video on demand services, such as Netflix, Hulu and Amazon Prime. Some of these competitors have exclusive contracts with motion picture studios or independent motion picture distributors or own film libraries.</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cannot assure you that we will ultimately be successful in producing or obtaining the quality programming our networks and streaming services need to be successful.</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Increased programming costs may adversely affect our profits.</w:t>
      </w:r>
    </w:p>
    <w:p>
      <w:pPr>
        <w:spacing w:after="0" w:line="11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produce a significant amount of original programming and other content and continue to invest in this area, the costs of which are significant. We also acquire programming and television series, as well as a variety of digital content and other ancillary rights from other companies, and we pay license fees, royalties or contingent compensation in connection with these acquired rights. Our investments in original and acquired programming are significant and involve complex negotiations with numerous third parties. These costs may not be recouped when the content is broadcast or distributed and higher costs may lead to decreased profitability or potential write-downs. Increased competition from additional entrants into the market for development and production of original programming, such as Apple, Netflix, Amazon Prime and Hulu, increases our programming content costs.</w:t>
      </w:r>
    </w:p>
    <w:p>
      <w:pPr>
        <w:spacing w:after="0" w:line="5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incur costs for the creative talent, including actors, writers and producers, who create our original programming. Some of our original programming has achieved significant popularity and critical acclaim, which has increased and could continue to increase the costs of such programming in the future. In addition, from time to time we have disputes with writers, producers and other creative talent over the amount of royalty and other payments (See Item 3. – Legal Proceedings for additional information). We believe that disputes of this type are endemic to our business and similar disputes may arise from time to time in the future. An increase in the costs of programming may lead to decreased profitability or otherwise adversely affect our business.</w:t>
      </w:r>
    </w:p>
    <w:p>
      <w:pPr>
        <w:spacing w:after="0" w:line="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Original programming requires substantial financial commitment. In some cases, the financial commitment may be partially offset by foreign, state or local tax incentives. However, there is a risk that the tax incentives will not remain available for the duration of a series. If tax incentives are no longer available, reduced substantially, or cannot be utilized, we may incur higher costs in order to complete the production or produce additional seasons. If we are unable to produce original programming content on a cost effective basis our business, financial condition and results of operations may be materially adversely affected.</w:t>
      </w:r>
    </w:p>
    <w:p>
      <w:pPr>
        <w:spacing w:after="0" w:line="80"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Theft of our content, including digital copyright theft and other unauthorized exhibitions of our content, may decrease revenue received from our programming and adversely affect our businesses and profitability.</w:t>
      </w:r>
    </w:p>
    <w:p>
      <w:pPr>
        <w:spacing w:after="0" w:line="6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success of our businesses depends in part on our ability to maintain and monetize our intellectual property rights to our entertainment content. We are fundamentally a content company and theft of our brands, programming, digital content and other intellectual property has the potential to significantly affect us and the value of our content. Copyright theft is particularly prevalent in many parts of the world that lack effective copyright and technical protective measures similar to those existing in the United States or that lack effective enforcement of such measures, including some of the jurisdictions in which we operate. The interpretation of copyright, privacy and other laws as applied to our content, and piracy detection and enforcement efforts, remain in flux. The failure to strengthen, or the weakening of, existing intellectual property laws could make it more difficult for us to adequately protect our intellectual property and negatively affect its value and our results of operations.</w:t>
      </w:r>
    </w:p>
    <w:p>
      <w:pPr>
        <w:spacing w:after="0" w:line="6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Content theft has been made easier by the wide availability of higher bandwidth and reduced storage costs, as well as tools that undermine security features such as encryption and the ability of pirates to cloak their identities online. In addition, we and our numerous production and distribution partners operate various technology systems in connection with the production and distribution of our programming, and intentional, or unintentional, acts could result in unauthorized access to our content, a disruption of our services, or improper disclosure of confidential information. The increasing use of digital formats and technologies heightens this risk. Unauthorized access to our content could result in the premature release of our programming, which may have a significant adverse effect on the value of the affected programming.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jc w:val="both"/>
        <w:ind w:firstLine="405"/>
        <w:spacing w:after="0" w:line="255" w:lineRule="auto"/>
        <w:rPr>
          <w:sz w:val="20"/>
          <w:szCs w:val="20"/>
          <w:color w:val="auto"/>
        </w:rPr>
      </w:pPr>
      <w:r>
        <w:rPr>
          <w:rFonts w:ascii="Arial" w:cs="Arial" w:eastAsia="Arial" w:hAnsi="Arial"/>
          <w:sz w:val="18"/>
          <w:szCs w:val="18"/>
          <w:color w:val="auto"/>
        </w:rPr>
        <w:t>Copyright theft has an adverse effect on our business because it reduces the revenue that we are able to receive from the legitimate sale and distribution of our content, undermines lawful distribution channels and inhibits our ability to recoup or profit from the costs incurred to create such content. A change in the laws of one jurisdiction may also have an impact on our ability to protect our intellectual property rights across other jurisdictions. In addition, many parts of the world where piracy is prevalent lack effective copyright and other legal protections or enforcement measures. Efforts to prevent the unauthorized distribution, performance and copying of our content may affect our profitability and may not be successful in preventing harm to our business.</w:t>
      </w:r>
    </w:p>
    <w:p>
      <w:pPr>
        <w:spacing w:after="0" w:line="8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Litigation may be necessary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Our failure to protect our intellectual property rights, particularly our brand, in a meaningful manner or challenges to related contractual rights could result in erosion of our brand and limit our ability to control marketing of our networks, which could have a materially adverse effect on our business, financial condition and results of operations.</w:t>
      </w:r>
    </w:p>
    <w:p>
      <w:pPr>
        <w:spacing w:after="0" w:line="53" w:lineRule="exact"/>
        <w:rPr>
          <w:sz w:val="20"/>
          <w:szCs w:val="20"/>
          <w:color w:val="auto"/>
        </w:rPr>
      </w:pPr>
    </w:p>
    <w:p>
      <w:pPr>
        <w:jc w:val="both"/>
        <w:ind w:left="420"/>
        <w:spacing w:after="0" w:line="263" w:lineRule="auto"/>
        <w:rPr>
          <w:sz w:val="20"/>
          <w:szCs w:val="20"/>
          <w:color w:val="auto"/>
        </w:rPr>
      </w:pPr>
      <w:r>
        <w:rPr>
          <w:rFonts w:ascii="Arial" w:cs="Arial" w:eastAsia="Arial" w:hAnsi="Arial"/>
          <w:sz w:val="18"/>
          <w:szCs w:val="18"/>
          <w:b w:val="1"/>
          <w:bCs w:val="1"/>
          <w:i w:val="1"/>
          <w:iCs w:val="1"/>
          <w:color w:val="auto"/>
        </w:rPr>
        <w:t>Because a limited number of distributors account for a large portion of our business, failure to renew our programming networks' distribution agreements, renewal on less favorable terms, or the termination of those agreements, both in the United States and internationally, could have a material adverse effect on our business.</w:t>
      </w:r>
    </w:p>
    <w:p>
      <w:pPr>
        <w:spacing w:after="0" w:line="7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programming networks depend upon agreements with a limited number of cable television system operators and other MVPDs. The loss of any significant distributor could have a material adverse effect on our consolidated results of operations.</w:t>
      </w:r>
    </w:p>
    <w:p>
      <w:pPr>
        <w:spacing w:after="0" w:line="6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Currently our programming networks have distribution agreements with staggered expiration dates through 2028</w:t>
      </w:r>
      <w:r>
        <w:rPr>
          <w:rFonts w:ascii="Arial" w:cs="Arial" w:eastAsia="Arial" w:hAnsi="Arial"/>
          <w:sz w:val="16"/>
          <w:szCs w:val="16"/>
          <w:i w:val="1"/>
          <w:iCs w:val="1"/>
          <w:color w:val="auto"/>
        </w:rPr>
        <w:t>.</w:t>
      </w:r>
      <w:r>
        <w:rPr>
          <w:rFonts w:ascii="Arial" w:cs="Arial" w:eastAsia="Arial" w:hAnsi="Arial"/>
          <w:sz w:val="16"/>
          <w:szCs w:val="16"/>
          <w:color w:val="auto"/>
        </w:rPr>
        <w:t xml:space="preserve"> Failure to renew distribution agreements, or renewal on less favorable terms (including with respect to price, packaging, positioning and other marketing opportunities), or the termination of distribution agreements could have a material adverse effect on our results of operations</w:t>
      </w:r>
      <w:r>
        <w:rPr>
          <w:rFonts w:ascii="Arial" w:cs="Arial" w:eastAsia="Arial" w:hAnsi="Arial"/>
          <w:sz w:val="16"/>
          <w:szCs w:val="16"/>
          <w:i w:val="1"/>
          <w:iCs w:val="1"/>
          <w:color w:val="auto"/>
        </w:rPr>
        <w:t>.</w:t>
      </w:r>
      <w:r>
        <w:rPr>
          <w:rFonts w:ascii="Arial" w:cs="Arial" w:eastAsia="Arial" w:hAnsi="Arial"/>
          <w:sz w:val="16"/>
          <w:szCs w:val="16"/>
          <w:color w:val="auto"/>
        </w:rPr>
        <w:t xml:space="preserve"> A reduced distribution of our programming networks would adversely affect our distribution revenues, and impact our ability to sell advertising or the rates we charge for such advertising. Even if distribution agreements are renewed, there is no assurance that the renewal rates will equal or exceed the rates that we currently charge these distributors.</w:t>
      </w:r>
    </w:p>
    <w:p>
      <w:pPr>
        <w:spacing w:after="0" w:line="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we have, in some instances, made upfront payments to distributors in exchange for additional subscribers or have agreed to waive or accept lower subscription fees if certain numbers of additional subscribers are provided. We also may help fund our distributors' efforts to market our programming networks or we may permit distributors to offer promotional periods without payment of subscriber fees. As we continue our efforts to add viewing subscribers, our net revenues may be negatively affected by these deferred carriage fee arrangements, discounted subscriber fees or other payments.</w:t>
      </w:r>
    </w:p>
    <w:p>
      <w:pPr>
        <w:spacing w:after="0" w:line="80"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Consolidation among cable, satellite and telecommunications service providers has had, and could continue to have, an adverse effect on our revenue and profitability.</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Consolidation among cable and satellite distributors and telecommunications service providers has given the largest operators considerable leverage and market power in their relationships with programmers. We currently have agreements in place with the major U.S. cable and satellite operators and telecommunications service providers and this consolidation has affected, and could continue to affect, our ability to maximize the value of our content through those distributors. In addition, many of the countries and territories in which we distribute our networks also have a small number of dominant distributors.</w:t>
      </w:r>
    </w:p>
    <w:p>
      <w:pPr>
        <w:spacing w:after="0" w:line="8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connection with consolidation in the industry, in some cases, if a distributor is acquired, the agreement of the acquiring distributor will govern following the acquisition. In those circumstances, the acquisition of a distributor that is party to one or more distribution agreements with our programming networks on terms that are more favorable to us could adversely impact our financial condition and results of operations. Continued consolidation within the industry could reduce the number of distributors that carry our programming and further increase the negotiating leverage of the cable and satellite television system operators, which could have an adverse effect on our financial condition or results of operations.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subject to intense competition, which may have a negative effect on our profitability or on our ability to expand our business.</w:t>
      </w:r>
    </w:p>
    <w:p>
      <w:pPr>
        <w:spacing w:after="0" w:line="1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programming industry is highly competitive. Our programming networks and streaming services compete with other programming networks and other types of video programming services for marketing and distribution by cable and other multichannel video programming distribution systems and ultimately for viewing by their subscribers. We compete with other providers of programming networks for the right to be carried by a particular cable or other multichannel video programming distribution system and for the right to be carried by such system on a particular "tier" of service. The increasing offerings by virtual MVPDs through alternative distribution methods creates competition for carriage on those platforms. Our programming networks and streaming services compete with other programming networks, streaming services, and other sources of video content to secure desired entertainment programming.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jc w:val="both"/>
        <w:ind w:firstLine="405"/>
        <w:spacing w:after="0" w:line="263" w:lineRule="auto"/>
        <w:rPr>
          <w:sz w:val="20"/>
          <w:szCs w:val="20"/>
          <w:color w:val="auto"/>
        </w:rPr>
      </w:pPr>
      <w:r>
        <w:rPr>
          <w:rFonts w:ascii="Arial" w:cs="Arial" w:eastAsia="Arial" w:hAnsi="Arial"/>
          <w:sz w:val="18"/>
          <w:szCs w:val="18"/>
          <w:color w:val="auto"/>
        </w:rPr>
        <w:t>Competition for content, audiences and advertising is intense and comes from broadcast television, other cable networks, distributors, including subscription streaming services and virtual multichannel video programming services, social media content distributors, and other entertainment outlets and platforms, as well as from search, social networks, program guides and "second screen" applications.</w:t>
      </w:r>
    </w:p>
    <w:p>
      <w:pPr>
        <w:spacing w:after="0" w:line="7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Increased competition from additional entrants into the market for development and production of original programming, such as Apple, Facebook, YouTube, Netflix, Amazon Prime and Hulu, increases our content costs as creating competing high quality, original content requires significant investment. In addition, as competition with these entrants for the creation and acquisition of quality programming continues to escalate, the complexity of negotiations over acquired rights to the content and the value of the rights we acquire or retain may increase, leading to increased acquisition costs, and our ability to successfully acquire content of the highest quality may face greater uncertainty.</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ability to compete successfully depends on a number of factors, including our ability to create or acquire high quality and popular programs, adapt to new technologies and distribution platforms, and achieve widespread distribution for our content. More content consumption options increase competition for viewers as well as for programming and creative talent, which can decrease our audience ratings, and therefore potentially our advertising revenues.</w:t>
      </w:r>
    </w:p>
    <w:p>
      <w:pPr>
        <w:spacing w:after="0" w:line="7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Certain programming networks affiliated with broadcast networks like ABC, CBS, Fox or NBC or other key free-to-air programming networks in countries where our networks are distributed may have a competitive advantage over our programming networks in obtaining distribution through the "bundling" of carriage agreements for such programming networks with a distributor's right to carry the affiliated broadcasting network. In addition, our ability to compete with certain programming networks for distribution may be hampered because the cable television or other MVPDs through which we seek distribution may be affiliated with these programming networks.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the affiliated distributors carry our programming networks, they may place their affiliated programming network on a more desirable tier, thereby giving their affiliated programming network a competitive advantage over our own. Our competitors could also have preferential access to important technologies, customer data or other competitive information. There can be no assurance that we will be able to compete successfully in the future against existing or potential competitors, or that competition will not have a material adverse effect on our business, financial condition or results of operations.</w:t>
      </w:r>
    </w:p>
    <w:p>
      <w:pPr>
        <w:spacing w:after="0" w:line="6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addition, our competitors include market participants with interests in multiple media businesses that are often vertically integrated, whereas our businesses generally rely on distribution relationships with third parties. As more cable and satellite operators, Internet service providers, subscription streaming services, other content distributors, aggregators and search providers create or acquire their own content, they may have significant competitive advantages, which could adversely affect our ability to negotiate favorable terms and distribution or otherwise compete effectively in the delivery marketplace. Our competitors could also have preferential access to important technologies, customer data or other competitive information.</w:t>
      </w:r>
    </w:p>
    <w:p>
      <w:pPr>
        <w:spacing w:after="0" w:line="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can be no assurance that we will be able to compete successfully in the future against existing or new competitors, or that competition will not have a material adverse effect on our business, financial condition or results of operations.</w:t>
      </w:r>
    </w:p>
    <w:p>
      <w:pPr>
        <w:spacing w:after="0" w:line="6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We may not be able to adapt to new content distribution platforms and to changes in consumer behavior resulting from these new technologies, which may adversely affect our business.</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must successfully adapt to technological advances in our industry, including alternative distribution platforms. Our ability to exploit new distribution platforms and viewing technologies will affect our ability to maintain or grow our business. New forms of content distribution may provide different economic models and compete with current distribution methods in ways that are not entirely predictable. Such competition has reduced and could continue to reduce demand for our traditional television offerings or for the offerings of digital platforms and, in turn, reduce our revenue from these sources. Accordingly, we must adapt to changing consumer behavior driven by advances such as virtual MVPDs, video on demand, subscription video on demand, including services such as Netflix, Hulu, Apple TV, Google TV and Amazon Prime and mobile devices. Gaming and other consoles such as Microsoft's Xbox and Roku are establishing themselves as alternative providers of video services. Such changes may impact the revenues we are able to generate from our traditional distribution methods, either by decreasing the viewership of our programming networks on cable and other multichannel video programming distribution systems which are almost entirely directed at television video delivery or by making advertising on our programming networks less valuable to advertisers. If we fail to adapt our distribution methods and content to new technologies, our appeal to our targeted audiences might decline and there could be a negative effect on our business. In addition, advertising revenues could be significantly impacted by new technologies, since advertising sales are dependent on audience measurement provided by third parties, and the results of audience measurement techniques can vary independent of the size of the audience for a variety of reasons, including difficulties related to the employed statistical sampling methods, new distribution platforms and viewing technologies, and the shifting of the marketplace to the use of measurement of different viewer behaviors, such as delayed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viewing. Moreover, devices that allow users to fast forward or skip programming, including commercials, are causing changes in consumer behavior that may affect the desirability of our programming services to advertisers.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efforts to attract and retain streaming subscribers may not be successful, which may adversely affect our business</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ability to continue to attract subscribers will depend in part on our ability to consistently provide compelling content choices, effectively market our streaming services, as well as provide a quality experience for subscribers. Furthermore, the relative service levels, content offerings, pricing and related features of competitors to our service may adversely impact our ability to attract and retain subscribers. We must continually add new subscriptions both to replace canceled subscriptions and to grow our streaming services beyond our current subscription base. While we permit multiple users within the same household to share a single account for noncommercial purposes, if account sharing is abused, our ability to add new subscribers may be hindered and our results of operations may be adversely impacted. If we do not grow as expected, given, in particular, that our content costs are largely fixed in nature and contracted over several years, we may not be able to adjust our expenditures or increase our (per subscription) revenues commensurate with the lowered growth rate such that our margins, liquidity and results of operation may be adversely impacted. If we are unable to successfully compete with current and new competitors in both retaining our existing subscriptions and attracting new subscriptions, our streaming services will be adversely affected. Further, if excessive numbers of subscribers cancel our services, we may be required to incur significantly higher marketing expenditures than we currently anticipate to replace these subscribers with new subscribers.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Advertising market conditions in specific markets could cause our revenues and operating results to decline significantly in any given period.</w:t>
      </w:r>
    </w:p>
    <w:p>
      <w:pPr>
        <w:spacing w:after="0" w:line="1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derive substantial revenues from the sale of advertising on a variety of platforms, and a decline in advertising expenditures could have a significant adverse effect on our revenues and operating results in any given period. The strength of the advertising market can fluctuate in response to the economic prospects of specific advertisers or industries, advertisers' current spending priorities and the economy in general, and this may adversely affect the growth rate of our advertising revenues.</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the pricing and volume of advertising may be affected by shifts in spending toward online and mobile offerings from more traditional media, or toward new ways of purchasing advertising, such as through automated purchasing, dynamic advertising insertion, third parties selling local advertising spots and advertising exchanges, some or all of which may not be as advantageous to us as current advertising methods. The increasing number of entertainment choices available to consumers has intensified audience fragmentation and reduced the viewing of content through traditional and virtual multichannel video programming providers, which has caused, and may continue to cause, audience ratings declines for our programming networks and may adversely affect the pricing and volume of advertising</w:t>
      </w:r>
    </w:p>
    <w:p>
      <w:pPr>
        <w:spacing w:after="0" w:line="8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Advertising sales are dependent on audience measurement, and the results of audience measurement techniques can vary independent of the size of the audience for a variety of reasons, including variations in the employed statistical sampling methods. While Nielsen's statistical sampling method is the primary measurement technique used in our television advertising sales, we measure and monetize our campaign reach and frequency on and across digital platforms based on other third-party data using a variety of methods including the number of impressions served and demographics. In addition, multi-platform campaign verification is in its infancy, and viewership on tablets and smartphones, which is growing rapidly, is presently not measured by any one consistently applied method. These variations and changes could have a significant effect on advertising revenues.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Operational Risks</w:t>
      </w:r>
    </w:p>
    <w:p>
      <w:pPr>
        <w:spacing w:after="0" w:line="121" w:lineRule="exact"/>
        <w:rPr>
          <w:sz w:val="20"/>
          <w:szCs w:val="20"/>
          <w:color w:val="auto"/>
        </w:rPr>
      </w:pPr>
    </w:p>
    <w:p>
      <w:pPr>
        <w:ind w:left="420" w:right="20"/>
        <w:spacing w:after="0" w:line="261" w:lineRule="auto"/>
        <w:rPr>
          <w:sz w:val="20"/>
          <w:szCs w:val="20"/>
          <w:color w:val="auto"/>
        </w:rPr>
      </w:pPr>
      <w:r>
        <w:rPr>
          <w:rFonts w:ascii="Arial" w:cs="Arial" w:eastAsia="Arial" w:hAnsi="Arial"/>
          <w:sz w:val="18"/>
          <w:szCs w:val="18"/>
          <w:b w:val="1"/>
          <w:bCs w:val="1"/>
          <w:i w:val="1"/>
          <w:iCs w:val="1"/>
          <w:color w:val="auto"/>
        </w:rPr>
        <w:t>The coronavirus, or COVID-19, pandemic has significantly impacted worldwide economic conditions and could have a material adverse effect on our operations and business</w:t>
      </w:r>
      <w:r>
        <w:rPr>
          <w:rFonts w:ascii="Arial" w:cs="Arial" w:eastAsia="Arial" w:hAnsi="Arial"/>
          <w:sz w:val="21"/>
          <w:szCs w:val="21"/>
          <w:b w:val="1"/>
          <w:bCs w:val="1"/>
          <w:i w:val="1"/>
          <w:iCs w:val="1"/>
          <w:color w:val="auto"/>
        </w:rPr>
        <w:t>.</w:t>
      </w:r>
    </w:p>
    <w:p>
      <w:pPr>
        <w:spacing w:after="0" w:line="66"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During 2020, the rapid spread of the COVID-19 pandemic and the continuously evolving responses to combat it have had a negative impact on the global economy.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jc w:val="both"/>
        <w:ind w:firstLine="445"/>
        <w:spacing w:after="0" w:line="253" w:lineRule="auto"/>
        <w:rPr>
          <w:sz w:val="20"/>
          <w:szCs w:val="20"/>
          <w:color w:val="auto"/>
        </w:rPr>
      </w:pPr>
      <w:r>
        <w:rPr>
          <w:rFonts w:ascii="Arial" w:cs="Arial" w:eastAsia="Arial" w:hAnsi="Arial"/>
          <w:sz w:val="17"/>
          <w:szCs w:val="17"/>
          <w:color w:val="auto"/>
        </w:rPr>
        <w:t>The impact of COVID-19 and measures to prevent its spread have affected and may, in the future, affect our businesses in a number of ways. Beginning in mid-March, we have experienced adverse advertising sales impacts, suspended content production, which has led to delays in the creation and availability of substantially all of our programming, and the temporary closure of our comedy venues. In the third quarter of 2020, the Company commenced production activities, however substantially all Company employees continue to work remotely, and the Company continues to restrict business travel. If significant portions of our workforce, including key personnel, are unable to work effectively because of illness, government actions or other restrictions in connection with the COVID-19 pandemic, the impact of the pandemic on our businesses could be exacerbated. In addition, work-from-home arrangements may heighten the operational risks, including cybersecurity risks, to which we are subject. Delays in the widespread distribution, or lack of public acceptance, of vaccines could lead people to continue to self-isolate, which could perpetuate the adverse effects of COVID-19 on economic conditions. Further, even if vaccines are widely distributed and used, there can be no assurance that vaccines will ultimately be successful in limiting or stopping the spread of COVID-19 or mitigating the impact of COVID-19 on economic conditions.</w:t>
      </w:r>
    </w:p>
    <w:p>
      <w:pPr>
        <w:spacing w:after="0" w:line="7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The Company has evaluated and continues to evaluate the potential impact of the COVID-19 pandemic on its consolidated financial statements, including the impairment of goodwill (see Note 9) and indefinite-lived intangible assets and the fair value and collectability of receivables. The COVID-19 pandemic has had a material impact on the Company's operations since mid-March 2020.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availability, safety and efficacy of a vaccine, and global economic conditions. The Company does not expect the COVID-19 pandemic and its related economic impact to affect its liquidity position or its ongoing ability to meet the covenants in its debt instruments.</w:t>
      </w:r>
    </w:p>
    <w:p>
      <w:pPr>
        <w:spacing w:after="0" w:line="73"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In addition to the risks described above, to the extent that COVID-19 adversely affects our operations and financial condition, it may also heighten other risks described in this section.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face risks from doing business internationally.</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operations through which we distribute programming outside the United States. As a result, our business is subject to certain risks inherent in international business, many of which are beyond our control. These risks include:</w:t>
      </w:r>
    </w:p>
    <w:p>
      <w:pPr>
        <w:spacing w:after="0" w:line="62" w:lineRule="exact"/>
        <w:rPr>
          <w:sz w:val="20"/>
          <w:szCs w:val="20"/>
          <w:color w:val="auto"/>
        </w:rPr>
      </w:pPr>
    </w:p>
    <w:p>
      <w:pPr>
        <w:ind w:left="660" w:right="140" w:hanging="247"/>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and policies affecting trade and taxes, including laws and policies relating to the repatriation of funds and withholding taxes, and changes in these laws;</w:t>
      </w:r>
    </w:p>
    <w:p>
      <w:pPr>
        <w:spacing w:after="0" w:line="8" w:lineRule="exact"/>
        <w:rPr>
          <w:rFonts w:ascii="Arial" w:cs="Arial" w:eastAsia="Arial" w:hAnsi="Arial"/>
          <w:sz w:val="18"/>
          <w:szCs w:val="18"/>
          <w:color w:val="auto"/>
        </w:rPr>
      </w:pPr>
    </w:p>
    <w:p>
      <w:pPr>
        <w:ind w:left="660" w:right="760" w:hanging="247"/>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local regulatory requirements, including restrictions on content, imposition of local content quotas and restrictions on foreign ownership;</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controls, tariffs and other trade barriers;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differing degrees of protection for intellectual property and varying attitudes towards the piracy of intellectual property;</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privacy and data protection laws and regulations, as well as data localization requirements, and changes in these laws and requirements;</w:t>
      </w:r>
    </w:p>
    <w:p>
      <w:pPr>
        <w:spacing w:after="0" w:line="86" w:lineRule="exact"/>
        <w:rPr>
          <w:rFonts w:ascii="Arial" w:cs="Arial" w:eastAsia="Arial" w:hAnsi="Arial"/>
          <w:sz w:val="16"/>
          <w:szCs w:val="16"/>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instability of foreign economies and governments;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 and acts of terrorism; and</w:t>
      </w:r>
    </w:p>
    <w:p>
      <w:pPr>
        <w:spacing w:after="0" w:line="63" w:lineRule="exact"/>
        <w:rPr>
          <w:rFonts w:ascii="Arial" w:cs="Arial" w:eastAsia="Arial" w:hAnsi="Arial"/>
          <w:sz w:val="18"/>
          <w:szCs w:val="18"/>
          <w:color w:val="auto"/>
        </w:rPr>
      </w:pPr>
    </w:p>
    <w:p>
      <w:pPr>
        <w:ind w:left="660" w:right="320" w:hanging="247"/>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anti-corruption laws and regulations such as the Foreign Corrupt Practices Act and the U.K. Bribery Act that impose stringent requirements on how we conduct our foreign operations and changes in these laws and regulations.</w:t>
      </w:r>
    </w:p>
    <w:p>
      <w:pPr>
        <w:spacing w:after="0" w:line="6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Events or developments related to the risks described above as well as other risks associated with international trade could adversely affect our revenues from non-U.S. sources, which could have a material adverse effect on our business, financial condition, operating results, liquidity and prospects.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Economic problems in the United States or in other parts of the world could adversely affect our results of operations.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business is affected by prevailing economic and financial conditions in the United States and other countries. We derive substantial revenues from advertisers, and these expenditures are sensitive to general economic conditions and consumer buying patterns. Financial instability or a general decline in economic conditions, including as a result of the COVID-19 pandemic, disruptions to financial markets, inflation, recession, high unemployment or geopolitical events in the United States and other countries where our networks are distributed, have in the past adversely affected advertising rates and volume, which has resulted in a decrease in our advertising revenues.</w:t>
      </w:r>
    </w:p>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Decreases in consumer discretionary spending in the U.S and other countries where our networks are distributed may affect cable television and other video service subscriptions, in particular with respect to digital service tiers on which certain of our programming networks are carried. This could lead to a decrease in the number of subscribers receiving our programming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from MVPDs, which could, in turn, have a negative impact on our viewing subscribers and subscription fee revenues. Similarly, a decrease in viewing subscribers could have a negative impact on the number of viewers actually watching the programs on our programming networks, thereby impacting the rates we are able to charge advertisers.</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Economic conditions affect a number of aspects of our businesses worldwide and impact the businesses of advertisers on our networks. Adverse economic conditions have resulted in and could in the future result in advertisers reducing their spending on advertising and negatively affect the ability of those with whom we do business to satisfy their obligations to us. The worsening of current global economic conditions could adversely affect our business, financial condition or results of operations, and worsening of economic conditions in certain specific parts of the world could impact the expansion and success of our businesses in such areas. Furthermore, some foreign markets in which we operate may be more adversely affected by worsening economic conditions than the United States or other countries.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Fluctuations in foreign exchange rates could have an adverse effect on our results of operations.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significant operations in a number of foreign jurisdictions and certain of our operations are conducted in foreign currencies. The value of these currencies fluctuates relative to the U.S. dollar. As a result, we are exposed to exchange rate fluctuations, which have had, and may in the future have, an adverse effect on our results of operations in a given period.</w:t>
      </w:r>
    </w:p>
    <w:p>
      <w:pPr>
        <w:spacing w:after="0" w:line="7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Specifically, we are exposed to foreign currency exchange rate risk to the extent that we enter into transactions denominated in currencies other than ours or our subsidiaries' respective functional currencies, such as trade receivables, programming contracts, notes payable and notes receivable (including intercompany amounts) that are denominated in a currency other than the applicable functional currency. Changes in exchange rates with respect to amounts recorded in our consolidated balance sheets related to these items will result in unrealized or realized (based upon period-end exchange rates) foreign currency transaction gains or losses upon settlement of the transactions. Moreover, to the extent that our revenue, costs and expenses are denominated in currencies other than our or our subsidiaries' respective functional currencies, we will experience fluctuations in our revenue, costs and expenses solely as a result of changes in foreign currency exchange rates.</w:t>
      </w:r>
    </w:p>
    <w:p>
      <w:pPr>
        <w:spacing w:after="0" w:line="69"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We also are exposed to unfavorable and potentially volatile fluctuations of the U.S. dollar (our reporting currency) against the currencies of our non-U.S. dollar functional currency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foreign currency translation. Our primary exposure to foreign currency risk from a foreign currency translation perspective is to the euro, British pound and, to a lesser extent, other local currencies in Europe. We generally do not hedge against the risk that we may incur non-cash losses upon the translation of the financial statements of our non-U.S. dollar functional currency operating subsidiaries and affiliates into U.S. dollars.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 is limited by United States regulatory constraints which may adversely impact our operations.</w:t>
      </w:r>
    </w:p>
    <w:p>
      <w:pPr>
        <w:spacing w:after="0" w:line="11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Although most aspects of our business generally are not directly regulated by the FCC, there are certain FCC regulations that govern our business either directly or indirectly. See Item 1, "Business—Regulation" in this Annual Report. Furthermore, to the extent that regulations and laws, either presently in force or proposed, hinder or stimulate the growth of the cable television, satellite or other MVPDs, our business could be affected.</w:t>
      </w:r>
    </w:p>
    <w:p>
      <w:pPr>
        <w:spacing w:after="0" w:line="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United States Congress and the FCC currently have under consideration, and may in the future adopt, new laws, regulations and policies regarding a wide variety of matters that could, directly or indirectly, affect our operations.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regulation of cable television services, satellite carriers, and other video programming distributors is subject to the political process and has been in constant flux over the past two decades. Further changes in the law and regulatory requirements, including material ones, may be proposed or adopted in the future. We cannot assure you that our business will not be adversely affected by future legislation, new regulation or deregulation.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businesses are subject to risks of adverse regulation by foreign governments.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Programming businesses are subject to the regulations of the countries in which they operate as well as international bodies, such as the European Union ("E.U."). These regulations may include restrictions on the types of advertisements that can be sold on our networks, programming content requirements, requirements to make programming available on non-discriminatory terms, local levies or taxes applied to our networks and local content quotas.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jc w:val="both"/>
        <w:ind w:firstLine="445"/>
        <w:spacing w:after="0" w:line="272" w:lineRule="auto"/>
        <w:rPr>
          <w:sz w:val="20"/>
          <w:szCs w:val="20"/>
          <w:color w:val="auto"/>
        </w:rPr>
      </w:pPr>
      <w:r>
        <w:rPr>
          <w:rFonts w:ascii="Arial" w:cs="Arial" w:eastAsia="Arial" w:hAnsi="Arial"/>
          <w:sz w:val="17"/>
          <w:szCs w:val="17"/>
          <w:color w:val="auto"/>
        </w:rPr>
        <w:t>Existing or proposed legislation and regulations could also significantly affect our business. For example, the E.U. adopted GDPR, which expands the regulation of personal data processing throughout the E.U. and significantly increases penalties for non-compliance. Complying with these laws and regulations could be costly, require us to change our business practices, or limit or restrict aspects of our business in a manner adverse to our business operations. In particular, data privacy laws may require monitoring of, and changes to, our practices related to the collection, use, disclosure and storage of personal information. Many of these laws and regulations continue to evolve, and sometimes conflict among the countries in which we operate, and substantial uncertainty surrounds their scope and application. Our failure to comply with these law and regulations could result in exposure to enforcement actions by foreign governments, as well as significant negative publicity and reputational damage.</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Adverse changes in rules and regulations could have a significant adverse impact on our profitability.</w:t>
      </w:r>
    </w:p>
    <w:p>
      <w:pPr>
        <w:spacing w:after="0" w:line="117"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As a company that has operations in the United Kingdom, the United Kingdom's withdrawal from the E.U., commonly known as "Brexit," could have an adverse impact on our business, results of operations and financial position.</w:t>
      </w:r>
    </w:p>
    <w:p>
      <w:pPr>
        <w:spacing w:after="0" w:line="6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On December 31, 2020, the transition period for the U.K.’s withdrawal from the E.U. ended, and on January 1, 2021, the U.K. ceased to be an E.U. member state and E.U. law ceased to apply in the U.K. In connection with the U.K.’s withdrawal, the U.K. and E.U. finalized a trade and cooperation agreement, which governs certain aspects of the E.U.-U.K. relationship after the U.K.’s withdrawal from the E.U. There continues to be uncertainty with respect to the future economic relationship between the U.K. and the rest of the world (including the E.U.). Brexit has affected, and may continue to impact, the markets we serve, which could cause us to lose subscribers, distributors and employees, as well as have a detrimental impact on the U.K. television advertising market and our U.K. revenue from advertising sales. If the U.K. loses access to the single E.U. market and the global trade deals negotiated by the E.U., there could be a detrimental impact on our U.K. business. Such a decline could also make our doing business in Europe more difficult, which could delay and reduce the scope of our distribution and licensing agreements. Without access to the single E.U. market, it may be more challenging and costly to obtain intellectual property rights for our content within the U.K. or distribute our services in Europe. In addition, Brexit could lead to legal uncertainty and potentially divergent national laws and regulations as the U.K. determines which E.U. laws to replace or replicate. If there are changes to U.K. immigration policy as a result of Brexit, this could affect the ability of our U.K. business to recruit the employees it requires.</w:t>
      </w:r>
    </w:p>
    <w:p>
      <w:pPr>
        <w:spacing w:after="0" w:line="59"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We face continually evolving cybersecurity risks, which could result in the disclosure, theft or destruction of confidential information, disruption of our programming, damage to our brands and reputation, legal exposure and financial losses.</w:t>
      </w:r>
    </w:p>
    <w:p>
      <w:pPr>
        <w:spacing w:after="0" w:line="62"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6"/>
          <w:szCs w:val="16"/>
          <w:color w:val="auto"/>
        </w:rPr>
        <w:t>We maintain information, including confidential and proprietary information regarding our content, distributors, advertisers, viewers and employees, in digital form as necessary to conduct our business. We also rely on third-party vendors to provide certain services in connection with the storage, processing and transmission of digital information. Data maintained in digital form is subject to the risk of cybersecurity attacks, tampering and theft. We develop and maintain systems to monitor and prevent this from occurring, but the development and maintenance of these systems is costly and requires ongoing monitoring and updating as technologies change and efforts to overcome security measures become more sophisticated. Despite our efforts, the risks of a data breach cannot be entirely eliminated and our third-party vendors' information technology and other systems that maintain and transmit consumer, distributor, advertiser, company, employee and other confidential information may be compromised by a malicious penetration of our network security, or that of a third party provider due to employee error, computer malware or ransomware, viruses, hacking and phishing attacks, or otherwise. Work-from-home arrangements, such as those implemented in response to the COVID-19 pandemic, may increase the risk of cyber incidents, including data breaches. Additionally, outside parties may attempt to fraudulently induce employees or users to disclose sensitive or confidential information in order to gain access to data.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our or our third-party providers' data systems are compromised, our ability to conduct our business may be impaired, we may lose profitable opportunities or the value of those opportunities may be diminished and, as described above, we may lose revenue as a result of unlicensed use of our intellectual property. Further, a penetration of our or our third-party providers' network security or other misappropriation or misuse of personal consumer or employee information could subject us to business, regulatory, litigation and reputation risk, which could have a negative effect on our business, financial condition and results of operations.</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If our technology facilities fail or their operations are disrupted, or if we lose access to third party satellites, our performance could be hindered.</w:t>
      </w:r>
    </w:p>
    <w:p>
      <w:pPr>
        <w:spacing w:after="0" w:line="1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programming is transmitted using technology facilities at certain of our subsidiaries. These technology facilities are used for a variety of purposes, including signal processing, program editing, promotions, creation of programming segments to fill short gaps between featured programs, quality control, and live and recorded playback. These facilities are subject to interruption from fire, lightning, adverse weather conditions and other natural causes. Equipment failure, employee misconduct or outside interference could also disrupt the facilities' services. We maintain a full time disaster recovery site in Chandler, Arizona, which is capable of providing simultaneous playout of AMC and evergreen programming for SundanceTV, IFC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WE tv in the event of a disruption of operations at our main facility in Bethpage, NY. In the event of a catastrophic failure of the Bethpage facility, the disaster recovery site can be operational within one to two hours. Evergreen programming would be replaced with scheduled programming within 12-24 hours for SundanceTV, IFC and WE tv.</w:t>
      </w:r>
    </w:p>
    <w:p>
      <w:pPr>
        <w:spacing w:after="0" w:line="7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addition, we rely on third-party satellites in order to transmit our programming signals to our distributors. As with all satellites, there is a risk that the satellites we use will be damaged as a result of natural or man-made causes, or will otherwise fail to operate properly. Although we maintain in-orbit protection providing us with back-up satellite transmission facilities should our primary satellites fail, there can be no assurance that such back-up transmission facilities will be effective or will not themselves fail. Further, there are a limited number of communications satellites available for the transmission of programming, and, in the event of a disruption, we may not be able to secure an alternate distribution source in a timely manner.</w:t>
      </w:r>
    </w:p>
    <w:p>
      <w:pPr>
        <w:spacing w:after="0" w:line="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Any significant interruption at any of our technology facilities affecting the distribution of our programming, or any failure in satellite transmission of our programming signals, could have an adverse effect on our operating results and financial condition.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loss of any of our key personnel and artistic talent could adversely affect our business.</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believe that our success depends to a significant extent upon the performance of our senior executives and other key employees and on our ability to identify, attract, hire train and retain such personnel. We generally do not maintain "key man" insurance, and there is no assurance of the continued services of our senior executives or other key employees. In addition, we depend on the availability of third-party production companies to create some of our original programming. For certain of our productions, through in-house and third party production service companies, we engage the services of writers, directors, actors and various crew members who are subject to certain specially negotiated collective bargaining agreements. Any labor disputes or a strike by one or more unions representing any of these parties who are essential to our original programming could have a material adverse effect on our original programming, disrupt our operations and reduce our revenues. The loss of any significant personnel or artistic talent, or our artistic talent losing their audience base, could also have a material adverse effect on our business.</w:t>
      </w:r>
    </w:p>
    <w:p>
      <w:pPr>
        <w:spacing w:after="0" w:line="205"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inability to successfully make investments in, and/or acquire and integrate, other businesses, assets, products or technologies could harm our business, financial condition or operating results.</w:t>
      </w:r>
    </w:p>
    <w:p>
      <w:pPr>
        <w:spacing w:after="0" w:line="6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success may depend on opportunities to buy other businesses or technologies that could complement, enhance or expand our current business or products or that might otherwise offer us growth opportunities. We have acquired, and have made strategic investments in, a number of companies (including through joint ventures) in the past, and we expect to make additional acquisitions and strategic investments in the future. Such transactions may result in dilutive issuances of our equity securities, use of our cash resources, and incurrence of debt and amortization expenses related to intangible assets. Any acquisitions and strategic investments that we are able to identify and complete may be accompanied by a number of risks, including:</w:t>
      </w:r>
    </w:p>
    <w:p>
      <w:pPr>
        <w:spacing w:after="0" w:line="5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difficulty of assimilating the operations and personnel of acquired companies into our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disruption of our ongoing business and distraction of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incurrence of additional operating losses and operating expenses of the businesses we acquired or in which we invested;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difficulty of integrating acquired technology and rights into our services and unanticipated expenses related to such integration;</w:t>
      </w:r>
    </w:p>
    <w:p>
      <w:pPr>
        <w:spacing w:after="0" w:line="63"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to successfully further develop an acquired business or technology and any resulting impairment of amounts currently capitalized as intangible assets;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strategic investments to perform as expected or to meet financial projections;</w:t>
      </w:r>
    </w:p>
    <w:p>
      <w:pPr>
        <w:spacing w:after="0" w:line="6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for patent and trademark infringement and data privacy and security claims against the acquired companies, or companies in which we have invested;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claims in connection with acquisitions, acquired companies, or companies in which we have invested;</w:t>
      </w:r>
    </w:p>
    <w:p>
      <w:pPr>
        <w:spacing w:after="0" w:line="6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8"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impairment of relationships with, or failure to retain, employees of acquired companies or our existing employees as a result of integration of new personnel;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difficulty of integrating operations, systems, and controls as a result of cultural, regulatory, systems, and operational differences;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management of companies in which we invest but do not control;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ind w:left="660" w:right="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foreign acquisitions and investments, the impact of particular economic, tax, currency, political, legal and regulatory risks associated with specific countries; and</w:t>
      </w:r>
    </w:p>
    <w:p>
      <w:pPr>
        <w:spacing w:after="0" w:line="8"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have exposure to additional tax liabilities.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subject to income taxes as well as non-income based taxes, such as payroll, sales, use, value-added, net worth, property and goods and services taxes, in both the United States and various foreign jurisdictions.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both the United States and various foreign jurisdictions. Although we believe that our tax estimates are reasonable, (1) there is no assurance that the final determination of tax audits or tax disputes will not be different from what is reflected in our historical income tax provisions, expense amounts for non-income based taxes and accruals and (2) any material differences could have an adverse effect on our financial position and results of operations in the period or periods for which determination is made.</w:t>
      </w:r>
    </w:p>
    <w:p>
      <w:pPr>
        <w:spacing w:after="0" w:line="6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Although a portion of our revenue and operating income is generated outside the United States, we are subject to potential current U.S. income tax on this income due to our being a U.S. corporation, resulting in potentially higher effective tax rate for the Company. This includes (i) what is referred to as "Subpart F Income," which generally includes, but is not limited to, such items as interest, dividends, royalties, gains from the disposition of certain property, certain currency exchange gains in excess of currency exchange losses, and certain related party sales and services income and (ii) what is referred to as “global intangible low-taxed income,” which generally equals certain foreign earnings in excess of 10 percent of the foreign subsidiaries’ tangible business assets. While we may mitigate any potential negative impacts of the aforementioned regimes through claiming a foreign tax credit against our U.S. federal income taxes or potentially have foreign or U.S. taxes reduced under applicable income tax treaties, we are subject to various limitations on claiming foreign tax credits or we may lack treaty protections in certain jurisdictions that will potentially limit any reduction of the increased effective tax rate. A higher effective tax rate may also result to the extent that losses are incurred in non-U.S. subsidiaries that do not reduce our U.S. taxable income.</w:t>
      </w:r>
    </w:p>
    <w:p>
      <w:pPr>
        <w:spacing w:after="0" w:line="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subject to changing tax laws, treaties and regulations in and between countries in which we operate, including treaties between the United States and other nations. A change in these tax laws, treaties or regulations, including those in and involving the United States, or in the interpretation thereof, could result in a materially higher or lower income or non-income tax expense. Also, various income tax proposals in the countries in which we operate, such as those relating to fundamental U.S. international tax reform and measures in response to the economic uncertainty in certain European jurisdictions in which we operate, could result in changes to the existing tax laws under which our taxes are calculated. We are unable to predict whether any of these or other proposals in the United States or foreign jurisdictions will ultimately be enacted. Any such changes could negatively impact our business.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 significant amount of our book value consists of intangible assets that may not generate cash in the event of a voluntary or involuntary sale.</w:t>
      </w:r>
    </w:p>
    <w:p>
      <w:pPr>
        <w:spacing w:after="0" w:line="15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At December 31, 2020, our consolidated financial statements included approximately $5.2 billion of consolidated total assets, of which approximately $1.1 billion were classified as intangible assets. Intangible assets primarily include affiliation agreements and affiliate relationships, advertiser relationships, trademarks and goodwill. While we believe that the carrying values of our intangible assets are recoverable, there is no assurance that we would receive any cash from the voluntary or involuntary sale of these intangible assets, particularly if we were not continuing as an operating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substantial long-term debt and high leverage could adversely affect our business.</w:t>
      </w:r>
    </w:p>
    <w:p>
      <w:pPr>
        <w:spacing w:after="0" w:line="11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We have a significant amount of long-term debt. As of December 31, 2020, we had $2.9 billion principal amount of total long-term debt (excluding finance leases), $675.0 million of which is senior secured debt under our Credit Facility and $2.2 billion of which is senior unsecured debt.</w:t>
      </w:r>
    </w:p>
    <w:p>
      <w:pPr>
        <w:spacing w:after="0" w:line="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ability to make payments on, or repay or refinance, our debt, and to fund planned distributions and capital expenditures, will depend largely upon our future operating performance. Our future performance, to a certain extent, is subject to general economic, financial, competitive, regulatory and other factors that are beyond our control. In addition, our ability to borrow funds in the future to make payments on our debt will depend on the satisfaction of the covenants in the Credit Facility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and our other debt agreements, including the indentures governing our notes and other agreements we may enter into in the future.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substantial amount of debt could have important consequences. For example, it could:</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63"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programming investments, capital expenditures, working capital, business activities and other general corporate requirements;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borrow additional funds, even when necessary to maintain adequate liquidity.</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long-term, we do not expect to generate sufficient cash from operations to repay at maturity our outstanding debt obligations. As a result, we will be dependent upon our ability to access the capital and credit markets. Failure to raise significant amounts of funding to repay these obligations at maturity could adversely affect our business. If we are unable to raise such amounts, we would need to take other actions including selling assets, seeking strategic investments from third parties or reducing other discretionary uses of cash. The Credit Facility and indentures governing our notes restrict, and market or business conditions may limit, our ability to do some of these things. Subsequent to December 31, 2020, our Credit Facility was refinanced and we issued new senior notes and redeemed certain of our existing senior notes. See Note 11, Long-Term Debt, to our consolidated financial statements for additional information.</w:t>
      </w:r>
    </w:p>
    <w:p>
      <w:pPr>
        <w:spacing w:after="0" w:line="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 significant portion of our debt bears interest at variable rates. While we have entered into hedging agreements limiting our exposure to higher interest rates, such agreements do not offer complete protection from this risk.</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agreements governing our debt contain various covenants that impose restrictions on us that may affect our ability to operate our business.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agreements governing the Credit Facility and the indentures governing our notes contain covenants that, among other things, limit our ability to:</w:t>
      </w:r>
    </w:p>
    <w:p>
      <w:pPr>
        <w:spacing w:after="0" w:line="8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on or redeem or repurchase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specified types of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Credit Facility requires us to comply with a Cash Flow Ratio and an Interest Coverage Ratio, each as defined in the Credit Facility. Compliance with these covenants may limit our ability to take actions that might be to our advantage or to the advantage of our stockholders.</w:t>
      </w:r>
    </w:p>
    <w:p>
      <w:pPr>
        <w:spacing w:after="0" w:line="6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covenants and maintain these financial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84"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Despite our current levels of debt, we may still be able to incur substantially more debt. This could further exacerbate the risks associated with our substantial debt.</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may be able to incur additional debt in the future. The terms of the Credit Facility and indentures governing our notes allow us to incur substantial amounts of additional debt, subject to certain limitations. In addition, as we have in the past, we may in the future refinance all or a portion of our debt, including borrowings under the Credit Facility, and obtain the ability to incur more debt as a result. If new debt is added to our current debt levels, the related risks we could face would be magnified.</w:t>
      </w:r>
    </w:p>
    <w:p>
      <w:pPr>
        <w:spacing w:after="0" w:line="7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securities by rating agencies may increase our future debt issuance costs and reduce our access to capital.</w:t>
      </w:r>
    </w:p>
    <w:p>
      <w:pPr>
        <w:spacing w:after="0" w:line="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debt ratings for our notes are below the "investment grade" category, which results in higher interest costs as well as a reduced pool of potential purchasers of our debt as some investors will not purchase debt securities that are not rated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"investment grade". In addition, there can be no assurance that any rating assigned will remain for any given period of time or that a rating will not be lowered or withdrawn entirely by a rating agency, if in that rating agency's judgment, future circumstances, such as adverse changes to economic conditions that could impact an issuer's ability to meet its financial commitments, so warrant. A lowering or withdrawal of the ratings assigned to our debt securities may further increase our future debt issuance costs and reduce our access to capital.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Controlled Ownership</w:t>
      </w:r>
    </w:p>
    <w:p>
      <w:pPr>
        <w:spacing w:after="0" w:line="121" w:lineRule="exact"/>
        <w:rPr>
          <w:sz w:val="20"/>
          <w:szCs w:val="20"/>
          <w:color w:val="auto"/>
        </w:rPr>
      </w:pPr>
    </w:p>
    <w:p>
      <w:pPr>
        <w:ind w:left="420" w:right="80"/>
        <w:spacing w:after="0" w:line="375" w:lineRule="auto"/>
        <w:rPr>
          <w:sz w:val="20"/>
          <w:szCs w:val="20"/>
          <w:color w:val="auto"/>
        </w:rPr>
      </w:pPr>
      <w:r>
        <w:rPr>
          <w:rFonts w:ascii="Arial" w:cs="Arial" w:eastAsia="Arial" w:hAnsi="Arial"/>
          <w:sz w:val="15"/>
          <w:szCs w:val="15"/>
          <w:b w:val="1"/>
          <w:bCs w:val="1"/>
          <w:i w:val="1"/>
          <w:iCs w:val="1"/>
          <w:color w:val="auto"/>
        </w:rPr>
        <w:t>We are controlled by the Dolan family and trusts for their benefit, which may create certain conflicts of interest. In addition, as a result of their control, the Dolan family has the ability to prevent or cause a change in control or approve, prevent or influence certain actions by the Company.</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two classes of common stock:</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Class A Common Stock, which is entitled to one vote per share and is entitled collectively to elect 25% of our Board of Directors.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Class B Common Stock, which is generally entitled to ten votes per share and is entitled collectively to elect the remaining 75% of our Board of Directors.</w:t>
      </w:r>
    </w:p>
    <w:p>
      <w:pPr>
        <w:spacing w:after="0" w:line="62"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As of December 31, 2020, the Dolan family, including trusts for the benefit of members of the Dolan family (collectively "the Dolan Family Group"), own all of our Class B Common Stock, approximately 4% of our outstanding Class A Common Stock and approximately 80% of the total voting power of all our outstanding common stock. The members of the Dolan Family Group have executed a voting agreement (the "Stockholders Agreement") that has the effect of causing the voting power of the holders of our Class B Common Stock to be cast as provided therein with respect to all matters to be voted on by holders of Class B Common Stock. Under the Stockholders Agreement, the shares of Class B Common Stock owned by members of the Dolan Family Group are to be voted on all matters in accordance with the determination of the Dolan Family Committee, except that the decisions of the Dolan Family Committee are non-binding with respect to the Class B Common Stock owned by certain Dolan family trusts (the "Excluded Trusts") that collectively own 48% of the outstanding Class B Common Stock. The Dolan Family Committee consists of Charles F. Dolan and his six children, James L. Dolan, Thomas C. Dolan, Patrick F. Dolan, Kathleen M. Dolan, Marianne E. Dolan and Deborah A. Dolan-Sweeney (collectively, the "Dolan Siblings"). The Dolan Family Committee generally acts by vote of a majority of the Dolan Siblings, except that a vote on a going-private transaction must be approved by a two-thirds vote of the Dolan Siblings and a vote on a change-in-control transaction must be approved by not less than all but one of the Dolan Siblings. The Dolan Family Group is able to prevent a change in control of our Company and no person interested in acquiring us would be able to do so without obtaining the consent of the Dolan Family Group.</w:t>
      </w:r>
    </w:p>
    <w:p>
      <w:pPr>
        <w:spacing w:after="0" w:line="7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Shares of Class B Common Stock owned by Excluded Trusts are to be voted on all matters in accordance with the determination of the Excluded Trusts holding a majority of the Class B Common Stock held by all Excluded Trusts, except in the case of a vote on a going-private transaction or a change in control transaction, in which case a vote of trusts holding two-thirds of the Class B Common Stock owned by Excluded Trusts is required.</w:t>
      </w:r>
    </w:p>
    <w:p>
      <w:pPr>
        <w:spacing w:after="0" w:line="4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Dolan Family Group by virtue of their stock ownership, have the power to elect all of our directors subject to election by holders of Class B Common Stock and are able collectively to control stockholder decisions on matters on which holders of all classes of our common stock vote together as a single class. These matters could include the amendment of some provisions of our certificate of incorporation and the approval of fundamental corporate transactions.</w:t>
      </w:r>
    </w:p>
    <w:p>
      <w:pPr>
        <w:spacing w:after="0" w:line="7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 addition, the affirmative vote or consent of the holders of at least 66 2/3% of the outstanding shares of the Class B Common Stock, voting separately as a class, is required to approve:</w:t>
      </w:r>
    </w:p>
    <w:p>
      <w:pPr>
        <w:spacing w:after="0" w:line="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authorization or issuance of any additional shares of Class B Common Stock, and</w:t>
      </w:r>
    </w:p>
    <w:p>
      <w:pPr>
        <w:spacing w:after="0" w:line="6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amendment, alteration or repeal of any of the provisions of our certificate of incorporation that adversely affects the powers, preferences or rights of the Class B Common Stock.</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the Dolan Family Group has the power to prevent such issuance or amendment.</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have adopted a written policy whereby an independent committee of our Board of Directors will review and approve or take such other action as it may deem appropriate with respect to certain transactions involving the Company and its subsidiaries, on the one hand, and certain related parties, including Charles F. Dolan and certain of his family members and related entities on the other hand. This policy does not address all possible conflicts which may arise, and there can be no assurance that this policy will be effective in dealing with conflict scenarios.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ind w:left="420"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for the purposes of The NASDAQ Stock Market LLC ("NASDAQ"), which allows us not to comply with certain of the corporate governance rules of NASDAQ.</w:t>
      </w:r>
    </w:p>
    <w:p>
      <w:pPr>
        <w:spacing w:after="0" w:line="6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Members of the Dolan Family Group have entered into the Stockholders Agreement, which relates to, among other things, the voting and transfer of their shares of our Class B Common Stock. As a result, we are a "controlled company" under the corporate governance rules of NASDAQ. As a controlled company, we have the right to elect not to comply with the corporate governance rules of NASDAQ requiring: (i) a majority of independent directors on our Board of Directors, (ii) an independent compensation committee and (iii) an independent corporate governance and nominating committee. Our Board of Directors has elected for the Company to be treated as a "controlled company" under NASDAQ corporate governance rules and not to comply with the NASDAQ requirement for a majority independent board of directors and an independent corporate governance and nominating committee because of our status as a controlled company.</w:t>
      </w:r>
    </w:p>
    <w:p>
      <w:pPr>
        <w:spacing w:after="0" w:line="87"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Future stock sales, including as a result of the exercise of registration rights by certain of our shareholders, could adversely affect the trading price of our Class A Common Stock.</w:t>
      </w:r>
    </w:p>
    <w:p>
      <w:pPr>
        <w:spacing w:after="0" w:line="6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Certain parties have registration rights covering a portion of our shares. We have entered into registration rights agreements with Charles F. Dolan, members of his family, certain Dolan family interests and the Dolan Family Foundation that provide them with "demand" and "piggyback" registration rights with respect to approximately 12.6 million shares of Class A Common Stock, including shares issuable upon conversion of shares of Class B Common Stock. Sales of a substantial number of shares of Class A Common Stock, including sales pursuant to these registration rights agreements, could adversely affect the market price of the Class A Common Stock and could impair our future ability to raise capital through an offering of our equity securities.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share certain executives and directors with Madison Square Garden Sports Corp. ("MSGS"), Madison Square Garden Entertainment Corp.</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("MSGE"), and MSG Networks Inc. ("MSG Networks"), which may give rise to conflicts.</w:t>
      </w:r>
    </w:p>
    <w:p>
      <w:pPr>
        <w:spacing w:after="0" w:line="10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One of our executives, Gregg G. Seibert, serves as a Vice Chairman of the Company and as a Vice Chairman of MSGS, MSGE, and MSG Networks (each, an "Other Entity" and, collectively the "Other Entities"). Each of the Other Entities and the Company are affiliates by virtue of being under common control of the Dolan family. As a result, he will not be devoting his full time and attention to the Company's affairs. Seven members of our Board of Directors are directors of MSGS and MSGE, and six members of our Board of Directors are directors of MSG Networks. These directors may have actual or apparent conflicts of interest with respect to matters involving or affecting each company. For example, the potential for a conflict of interest exists when we, on one hand, and an Other Entity, on the other hand, consider acquisitions and other corporate opportunities that may be suitable for us and for the Other Entity. Also, conflicts may arise if there are issues or disputes under the commercial arrangements that exist between the Other Entities and us. In addition, certain of our directors and officers own stock, restricted stock units and options to purchase stock in one or more of the Other Entities, as well as cash performance awards with any payout based on the performance of one or more of the Other Entities. These ownership interests could create actual, apparent or potential conflicts of interest when these individuals are faced with decisions that could have different implications for our Company and one or more of the Other Entities. See "Certain Relationships and Related Party Transactions—Certain Relationships and Potential Conflicts of Interest" in our proxy statement filed with the SEC on April 29, 2020 for a description of our related party transaction approval policy that we have adopted to help address such potential conflicts that may arise.</w:t>
      </w:r>
    </w:p>
    <w:p>
      <w:pPr>
        <w:spacing w:after="0" w:line="78" w:lineRule="exact"/>
        <w:rPr>
          <w:sz w:val="20"/>
          <w:szCs w:val="20"/>
          <w:color w:val="auto"/>
        </w:rPr>
      </w:pPr>
    </w:p>
    <w:p>
      <w:pPr>
        <w:ind w:left="420"/>
        <w:spacing w:after="0" w:line="308" w:lineRule="auto"/>
        <w:rPr>
          <w:sz w:val="20"/>
          <w:szCs w:val="20"/>
          <w:color w:val="auto"/>
        </w:rPr>
      </w:pPr>
      <w:r>
        <w:rPr>
          <w:rFonts w:ascii="Arial" w:cs="Arial" w:eastAsia="Arial" w:hAnsi="Arial"/>
          <w:sz w:val="17"/>
          <w:szCs w:val="17"/>
          <w:b w:val="1"/>
          <w:bCs w:val="1"/>
          <w:i w:val="1"/>
          <w:iCs w:val="1"/>
          <w:color w:val="auto"/>
        </w:rPr>
        <w:t>Our overlapping directors and executives with the Other Entities may result in the diversion of corporate opportunities to and other conflicts with the Other Entities and provisions in our governance documents may provide us no remedy in that circumstance.</w:t>
      </w:r>
    </w:p>
    <w:p>
      <w:pPr>
        <w:spacing w:after="0" w:line="3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Our amended and restated certificate of incorporation acknowledges that directors and officers of the Company may also be serving as directors, officers, employees, consultants or agents of MSGS, MSGE, and its subsidiaries and that we may engage in material business transactions with such entities. Our policy concerning certain matters relating to MSG Networks, including responsibilities of overlapping directors and officers (the "overlap policy" and together with the applicable provisions of the amended and restated certificate of incorporation, the "Overlap Provisions") acknowledges that directors and officers of the Company may also be serving as directors, officers, employees, consultants or agents of MSG Networks and its subsidiaries and that we may engage in material business transactions with such entity. The Company has renounced its rights to certain business opportunities and the Overlap Provisions provide that no director or officer of the Company who is also serving as a director, officer, employee, consultant or agent of an Other Entity or any subsidiary of an Other Entity will be liable to the Company or its stockholders for breach of any fiduciary duty that would otherwise exist by reason of the fact that such individual directs a corporate opportunity (other than certain limited types of opportunities set forth in our amended and restated certificate of incorporation) to the Other Entity or any of its subsidiaries, or does not refer or communicate information regarding such corporate opportunities to the Company. The Overlap Provisions also expressly validate certain contracts, agreements, assignments and transactions (and amendments, modifications or terminations thereof) between the Company and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jc w:val="both"/>
        <w:spacing w:after="0" w:line="308" w:lineRule="auto"/>
        <w:rPr>
          <w:sz w:val="20"/>
          <w:szCs w:val="20"/>
          <w:color w:val="auto"/>
        </w:rPr>
      </w:pPr>
      <w:r>
        <w:rPr>
          <w:rFonts w:ascii="Arial" w:cs="Arial" w:eastAsia="Arial" w:hAnsi="Arial"/>
          <w:sz w:val="17"/>
          <w:szCs w:val="17"/>
          <w:color w:val="auto"/>
        </w:rPr>
        <w:t>the Other Entities and their subsidiaries and, to the fullest extent permitted by law, provide that the actions of the overlapping directors or officers in connection therewith are not breaches of fiduciary duties owed to the Company, any of its subsidiaries or their respective stockholders.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lease approximately 578,000 square feet of space in the U.S., including approximately 326,000 square feet of office space that we lease at 11 Penn Plaza, New York, NY 10001, under lease arrangements with remaining terms through 2027. We use this space as our corporate headquarters and as the principal business location of our Company. We also lease approximately 67,000 square-feet of space for our broadcasting and technology center in Bethpage, New York under a lease arrangement with a term through 2029, from which AMC Networks Broadcasting &amp; Technology conducts its operations. In addition, we lease other properties in New York, California, Florida, Maryland and Illinois.</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lease approximately 198,000 square feet of space outside of the U.S., including in Spain, Hungary and the United Kingdom that support our international operations.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properties are adequate for our use.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On December 10, 2018, the Court denied Plaintiffs' motion for partial summary judgment and granted in part Defendants' motion for summary judgment, dismissing four of Plaintiffs' causes of action. The Company believes that the remaining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66"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On January 18, 2018, the 2013 Plaintiffs filed a second action in New York Supreme Court in connection with Darabont’s services on The Walking Dead television series and agreements between the parties related thereto. The claims in the action allegedly arise from Plaintiffs' audit of their participation statements covering the accounting period from inception of The Walking Dead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Complaint, and on September 19, 2018, the Company answered. The parties have agreed to consolidate this action for a joint trial with the action Plaintiffs filed in the New York Supreme Court on December 17, 2013. Following the conclusion of discovery, the Company filed a motion for summary judgment seeking the dismissal of the second action, which was denied on April 13, 2020. On August 24, 2020, the Company filed a motion for leave to re-argue the previously denied motion for summary judgment. On December 31, 2020, Justice Cohen granted the Company’s motion for reargument and issued a revised summary judgment decision that granted in part and denied in part the Company’s motion for summary judgment. Additionally, on July 8, 2020, the Company filed an appeal of the Supreme Court’s denial of its summary judgment motion to the New York Appellate Division, First Department. Oral argument on the appeal is scheduled for March 23, 2021. On February 16, 2021, Plaintiffs filed a motion for leave to reargue one aspect of the revised summary judgment decision that was issued on December 31, 2020.</w:t>
      </w:r>
    </w:p>
    <w:p>
      <w:pPr>
        <w:spacing w:after="0" w:line="7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Due to the continued impact of the Coronavirus pandemic on the New York State courts, the joint trial, originally scheduled to begin on June 1, 2020, has been further delayed and is currently scheduled to begin on April 26, 2021.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jc w:val="both"/>
        <w:ind w:firstLine="445"/>
        <w:spacing w:after="0" w:line="266" w:lineRule="auto"/>
        <w:rPr>
          <w:sz w:val="20"/>
          <w:szCs w:val="20"/>
          <w:color w:val="auto"/>
        </w:rPr>
      </w:pPr>
      <w:r>
        <w:rPr>
          <w:rFonts w:ascii="Arial" w:cs="Arial" w:eastAsia="Arial" w:hAnsi="Arial"/>
          <w:sz w:val="16"/>
          <w:szCs w:val="16"/>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Fear the Walking Dead</w:t>
      </w:r>
      <w:r>
        <w:rPr>
          <w:rFonts w:ascii="Arial" w:cs="Arial" w:eastAsia="Arial" w:hAnsi="Arial"/>
          <w:sz w:val="16"/>
          <w:szCs w:val="16"/>
          <w:color w:val="auto"/>
        </w:rPr>
        <w:t xml:space="preserve"> and/or </w:t>
      </w:r>
      <w:r>
        <w:rPr>
          <w:rFonts w:ascii="Arial" w:cs="Arial" w:eastAsia="Arial" w:hAnsi="Arial"/>
          <w:sz w:val="16"/>
          <w:szCs w:val="16"/>
          <w:i w:val="1"/>
          <w:iCs w:val="1"/>
          <w:color w:val="auto"/>
        </w:rPr>
        <w:t>Talking Dead</w:t>
      </w:r>
      <w:r>
        <w:rPr>
          <w:rFonts w:ascii="Arial" w:cs="Arial" w:eastAsia="Arial" w:hAnsi="Arial"/>
          <w:sz w:val="16"/>
          <w:szCs w:val="16"/>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On August 8, 2019, the judge in the California Action ordered a trial to resolve certain issues of contract interpretation only. The trial commenced on February 10, 2020 and concluded on March 10, 2020 after eight days of trial. On July 22, 2020, the judge in the California Action issued a Statement of Decision finding in the Company's favor on all seven matters of contract interpretation before the court in this first phase trial. On October 30, 2020, the judge in the California Action set a tentative trial date of September 8, 2021 with regard to claims not addressed in the first phase trial. On January 20, 2021, the California Plaintiffs filed a second amended</w:t>
      </w:r>
    </w:p>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complaint, eliminating eight named defendants and the California Plaintiffs’ claims under Cal. Bus. &amp; Prof. Code § 17200. On February 9, 2021, the Company filed a demurrer and motion to strike seeking to dismiss claims in the second amended complaint that are barred by the Statement of Decision of July 22, 2020 in the first phase trial. The court has scheduled a hearing regarding the Company’s demurrer and motion to strike for April 1, 2021. The parties have resumed discovery in preparation for the September 2021 trial. At this time, no determination can be made as to the ultimate outcome of this litigation or the potential liability, if any, on the part of the Company.</w:t>
      </w:r>
    </w:p>
    <w:p>
      <w:pPr>
        <w:spacing w:after="0" w:line="7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ind w:left="53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Class A Common Stock is listed on NASDAQ under the symbol "AMCX." Our Class B Common Stock is not listed on any exchange. Our Class A Common Stock began trading on NASDAQ on July 1, 2011.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Performance Graph</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following graph compares the performance of the Company's Class A Common Stock with the performance of the S&amp;P Mid-Cap 400 Index and a peer group (the "Peer Group Index") by measuring the changes in our Class A Common Stock prices from December 31, 2015 through December 31, 2020. Because no published index of comparable media companies currently reports values on a dividends-reinvested basis, the Company has created a Peer Group Index for purposes of this graph in accordance with the requirements of the SEC. The Peer Group Index is made up of companies that engage in cable television programming as a significant element of their business, although not all of the companies included in the Peer Group Index participate in all of the lines of business in which the Company is engaged, and some of the companies included in the Peer Group Index also engage in lines of business in which the Company does not participate. Additionally, the market capitalizations of many of the companies included in the Peer Group are quite different from that of the Company. The common stocks of the following companies have been included in the Peer Group Index: Discovery Inc., the Walt Disney Company, Fox Corporation (included from March 19, 2019, when trading began), Lions Gate Entertainment Corporation, and ViacomCBS Inc. The chart assumes $100 was invested on December 31, 2015 in each of: i) Company's Class A Common Stock, ii) the S&amp;P Mid-Cap 400 Index, and iii) in this Peer Group weighted by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210185</wp:posOffset>
            </wp:positionV>
            <wp:extent cx="5623560" cy="3197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2356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INDEXED RETURNS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Period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Company Name / Index</w:t>
            </w:r>
          </w:p>
        </w:tc>
        <w:tc>
          <w:tcPr>
            <w:tcW w:w="1260" w:type="dxa"/>
            <w:vAlign w:val="bottom"/>
            <w:gridSpan w:val="2"/>
          </w:tcPr>
          <w:p>
            <w:pPr>
              <w:ind w:left="220"/>
              <w:spacing w:after="0" w:line="145" w:lineRule="exact"/>
              <w:rPr>
                <w:sz w:val="20"/>
                <w:szCs w:val="20"/>
                <w:color w:val="auto"/>
              </w:rPr>
            </w:pPr>
            <w:r>
              <w:rPr>
                <w:rFonts w:ascii="Arial" w:cs="Arial" w:eastAsia="Arial" w:hAnsi="Arial"/>
                <w:sz w:val="14"/>
                <w:szCs w:val="14"/>
                <w:b w:val="1"/>
                <w:bCs w:val="1"/>
                <w:color w:val="auto"/>
              </w:rPr>
              <w:t>Base Period</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12/31/16</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12/31/17</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12/31/18</w:t>
            </w:r>
          </w:p>
        </w:tc>
        <w:tc>
          <w:tcPr>
            <w:tcW w:w="1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12/31/19</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00" w:type="dxa"/>
            <w:vAlign w:val="bottom"/>
            <w:gridSpan w:val="2"/>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12/31/15</w:t>
            </w: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AMC Networks Inc.</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70.09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72.42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73.49</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52.89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S&amp;P MidCap 400 Index</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120.74</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140.35</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124.80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157.49</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179.00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104.56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106.43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105.39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132.12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35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3" w:name="page34"/>
    <w:bookmarkEnd w:id="33"/>
    <w:p>
      <w:pPr>
        <w:jc w:val="both"/>
        <w:ind w:firstLine="445"/>
        <w:spacing w:after="0" w:line="263"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76" w:lineRule="exact"/>
        <w:rPr>
          <w:sz w:val="20"/>
          <w:szCs w:val="20"/>
          <w:color w:val="auto"/>
        </w:rPr>
      </w:pPr>
    </w:p>
    <w:p>
      <w:pPr>
        <w:ind w:left="460" w:right="280"/>
        <w:spacing w:after="0" w:line="375" w:lineRule="auto"/>
        <w:rPr>
          <w:sz w:val="20"/>
          <w:szCs w:val="20"/>
          <w:color w:val="auto"/>
        </w:rPr>
      </w:pPr>
      <w:r>
        <w:rPr>
          <w:rFonts w:ascii="Arial" w:cs="Arial" w:eastAsia="Arial" w:hAnsi="Arial"/>
          <w:sz w:val="18"/>
          <w:szCs w:val="18"/>
          <w:color w:val="auto"/>
        </w:rPr>
        <w:t xml:space="preserve">As of February 19, 2021 there were 600 holders of record of our Class A Common Stock and 33 holders of record of our Class B Common Stock. </w:t>
      </w:r>
      <w:r>
        <w:rPr>
          <w:rFonts w:ascii="Arial" w:cs="Arial" w:eastAsia="Arial" w:hAnsi="Arial"/>
          <w:sz w:val="18"/>
          <w:szCs w:val="18"/>
          <w:u w:val="single" w:color="auto"/>
          <w:color w:val="auto"/>
        </w:rPr>
        <w:t>Stock Repurchase Program</w:t>
      </w:r>
    </w:p>
    <w:p>
      <w:pPr>
        <w:spacing w:after="0" w:line="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Company's Board of Directors has authorized a program to repurchase up to $1.5 billion of the Company's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 For the year ended December 31, 2020, the Company repurchased 14.8 million shares of its Class A common stock at an average purchase price of $23.91 per share (inclusive of the results of the modified "Dutch auction" tender offer discussed below). As of December 31, 2020, the Company has $135.3 million available for repurchase under the Stock Repurchase Program.</w:t>
      </w:r>
    </w:p>
    <w:p>
      <w:pPr>
        <w:spacing w:after="0" w:line="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On September 16, 2020, the Company commenced a modified "Dutch auction" tender offer (the "Tender Offer") to purchase up to $250 million in value of shares of its Class A Common Stock, plus up to an additional 2% of the outstanding shares of Class A Common Stock, at a price not greater than $26.50 nor less than $22.50 per share. The Tender Offer expired on October 14, 2020. On October 21, 2020, the Company accepted for purchase 10.8 million shares of its Class A Common Stock, at a price of $23.20 per share, for an aggregate cost of $250.6 million. The cost of these shares, and the fees relating to the Tender Offer, are classified in Treasury stock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operating data for each of the three years ended December 31, 2020 and balance sheet data as of December 31, 2020 and 2019 included in the table below have been derived from the audited consolidated financial statements of the Company included in this Annual Report and should be read in conjunction with Item 7, "Management's Discussion and Analysis of Financial Condition and Results of Operations" and the accompanying consolidated financial statements and related notes. The operating data for the years ended December 31, 2017 and 2016 and balance sheet data as of December 31, 2018, 2017 and 2016 included in the table below have been derived from the audited consolidated financial statements of the Company, not included in this Annual Report.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9"/>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2"/>
              <w:spacing w:after="0" w:line="189" w:lineRule="exact"/>
              <w:rPr>
                <w:sz w:val="20"/>
                <w:szCs w:val="20"/>
                <w:color w:val="auto"/>
              </w:rPr>
            </w:pPr>
            <w:r>
              <w:rPr>
                <w:rFonts w:ascii="Arial" w:cs="Arial" w:eastAsia="Arial" w:hAnsi="Arial"/>
                <w:sz w:val="21"/>
                <w:szCs w:val="21"/>
                <w:b w:val="1"/>
                <w:bCs w:val="1"/>
                <w:color w:val="auto"/>
                <w:vertAlign w:val="subscript"/>
              </w:rPr>
              <w:t>2020</w:t>
            </w:r>
            <w:r>
              <w:rPr>
                <w:rFonts w:ascii="Arial" w:cs="Arial" w:eastAsia="Arial" w:hAnsi="Arial"/>
                <w:sz w:val="8"/>
                <w:szCs w:val="8"/>
                <w:b w:val="1"/>
                <w:bCs w:val="1"/>
                <w:color w:val="auto"/>
              </w:rPr>
              <w:t xml:space="preserve"> (1) (2)</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3"/>
              <w:spacing w:after="0" w:line="189" w:lineRule="exact"/>
              <w:rPr>
                <w:sz w:val="20"/>
                <w:szCs w:val="20"/>
                <w:color w:val="auto"/>
              </w:rPr>
            </w:pPr>
            <w:r>
              <w:rPr>
                <w:rFonts w:ascii="Arial" w:cs="Arial" w:eastAsia="Arial" w:hAnsi="Arial"/>
                <w:sz w:val="21"/>
                <w:szCs w:val="21"/>
                <w:b w:val="1"/>
                <w:bCs w:val="1"/>
                <w:color w:val="auto"/>
                <w:vertAlign w:val="subscript"/>
              </w:rPr>
              <w:t>2019</w:t>
            </w:r>
            <w:r>
              <w:rPr>
                <w:rFonts w:ascii="Arial" w:cs="Arial" w:eastAsia="Arial" w:hAnsi="Arial"/>
                <w:sz w:val="8"/>
                <w:szCs w:val="8"/>
                <w:b w:val="1"/>
                <w:bCs w:val="1"/>
                <w:color w:val="auto"/>
              </w:rPr>
              <w:t xml:space="preserve"> (1) (2)</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2"/>
              <w:spacing w:after="0" w:line="189" w:lineRule="exact"/>
              <w:rPr>
                <w:sz w:val="20"/>
                <w:szCs w:val="20"/>
                <w:color w:val="auto"/>
              </w:rPr>
            </w:pPr>
            <w:r>
              <w:rPr>
                <w:rFonts w:ascii="Arial" w:cs="Arial" w:eastAsia="Arial" w:hAnsi="Arial"/>
                <w:sz w:val="21"/>
                <w:szCs w:val="21"/>
                <w:b w:val="1"/>
                <w:bCs w:val="1"/>
                <w:color w:val="auto"/>
                <w:vertAlign w:val="subscript"/>
              </w:rPr>
              <w:t>2018</w:t>
            </w:r>
            <w:r>
              <w:rPr>
                <w:rFonts w:ascii="Arial" w:cs="Arial" w:eastAsia="Arial" w:hAnsi="Arial"/>
                <w:sz w:val="8"/>
                <w:szCs w:val="8"/>
                <w:b w:val="1"/>
                <w:bCs w:val="1"/>
                <w:color w:val="auto"/>
              </w:rPr>
              <w:t xml:space="preserve"> (1) (2)</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2"/>
              <w:spacing w:after="0" w:line="189" w:lineRule="exact"/>
              <w:rPr>
                <w:sz w:val="20"/>
                <w:szCs w:val="20"/>
                <w:color w:val="auto"/>
              </w:rPr>
            </w:pPr>
            <w:r>
              <w:rPr>
                <w:rFonts w:ascii="Arial" w:cs="Arial" w:eastAsia="Arial" w:hAnsi="Arial"/>
                <w:sz w:val="21"/>
                <w:szCs w:val="21"/>
                <w:b w:val="1"/>
                <w:bCs w:val="1"/>
                <w:color w:val="auto"/>
                <w:vertAlign w:val="subscript"/>
              </w:rPr>
              <w:t>2017</w:t>
            </w:r>
            <w:r>
              <w:rPr>
                <w:rFonts w:ascii="Arial" w:cs="Arial" w:eastAsia="Arial" w:hAnsi="Arial"/>
                <w:sz w:val="8"/>
                <w:szCs w:val="8"/>
                <w:b w:val="1"/>
                <w:bCs w:val="1"/>
                <w:color w:val="auto"/>
              </w:rPr>
              <w:t xml:space="preserve"> (1) (2)</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0"/>
              <w:spacing w:after="0" w:line="189" w:lineRule="exact"/>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8"/>
                <w:szCs w:val="18"/>
                <w:b w:val="1"/>
                <w:bCs w:val="1"/>
                <w:color w:val="auto"/>
                <w:vertAlign w:val="superscript"/>
              </w:rPr>
              <w:t>(2)</w:t>
            </w:r>
          </w:p>
        </w:tc>
      </w:tr>
      <w:tr>
        <w:trPr>
          <w:trHeight w:val="181"/>
        </w:trPr>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0" w:type="dxa"/>
            <w:vAlign w:val="bottom"/>
            <w:gridSpan w:val="5"/>
          </w:tcPr>
          <w:p>
            <w:pPr>
              <w:jc w:val="right"/>
              <w:ind w:right="682"/>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Data:</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Revenues, net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2,814,956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3,060,321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2,971,929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2,805,691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2,755,654</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442,644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625,277</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726,909</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722,359</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657,556</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Net income including noncontrolling interests</w:t>
            </w:r>
          </w:p>
        </w:tc>
        <w:tc>
          <w:tcPr>
            <w:tcW w:w="22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256,988</w:t>
            </w:r>
          </w:p>
        </w:tc>
        <w:tc>
          <w:tcPr>
            <w:tcW w:w="28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407,716</w:t>
            </w:r>
          </w:p>
        </w:tc>
        <w:tc>
          <w:tcPr>
            <w:tcW w:w="280" w:type="dxa"/>
            <w:vAlign w:val="bottom"/>
          </w:tcPr>
          <w:p>
            <w:pPr>
              <w:spacing w:after="0"/>
              <w:rPr>
                <w:sz w:val="18"/>
                <w:szCs w:val="18"/>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463,967</w:t>
            </w:r>
          </w:p>
        </w:tc>
        <w:tc>
          <w:tcPr>
            <w:tcW w:w="2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489,637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289,963</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(17,009)</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(27,230)</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(18,321)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(19,453)</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Net income attributable to AMC Networks' stockholders</w:t>
            </w:r>
          </w:p>
        </w:tc>
        <w:tc>
          <w:tcPr>
            <w:tcW w:w="22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239,979</w:t>
            </w:r>
          </w:p>
        </w:tc>
        <w:tc>
          <w:tcPr>
            <w:tcW w:w="28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380,486</w:t>
            </w:r>
          </w:p>
        </w:tc>
        <w:tc>
          <w:tcPr>
            <w:tcW w:w="280" w:type="dxa"/>
            <w:vAlign w:val="bottom"/>
          </w:tcPr>
          <w:p>
            <w:pPr>
              <w:spacing w:after="0"/>
              <w:rPr>
                <w:sz w:val="18"/>
                <w:szCs w:val="18"/>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446,187</w:t>
            </w:r>
          </w:p>
        </w:tc>
        <w:tc>
          <w:tcPr>
            <w:tcW w:w="2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471,316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270,510</w:t>
            </w:r>
          </w:p>
        </w:tc>
      </w:tr>
      <w:tr>
        <w:trPr>
          <w:trHeight w:val="165"/>
        </w:trPr>
        <w:tc>
          <w:tcPr>
            <w:tcW w:w="4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w w:val="95"/>
              </w:rPr>
              <w:t>Net income per share attributable to AMC Networks' stockholders: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6.77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7.68</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7.26</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4.64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6.67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7.57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7.18</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 at period end:</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888,526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816,170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554,886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558,783</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481,389</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5,246,338</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5,596,686</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5,278,563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5,032,985</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4,480,595</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Long-term debt (including finance/capital leases)</w:t>
            </w:r>
          </w:p>
        </w:tc>
        <w:tc>
          <w:tcPr>
            <w:tcW w:w="22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2,880,801</w:t>
            </w:r>
          </w:p>
        </w:tc>
        <w:tc>
          <w:tcPr>
            <w:tcW w:w="28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3,117,494</w:t>
            </w:r>
          </w:p>
        </w:tc>
        <w:tc>
          <w:tcPr>
            <w:tcW w:w="280" w:type="dxa"/>
            <w:vAlign w:val="bottom"/>
          </w:tcPr>
          <w:p>
            <w:pPr>
              <w:spacing w:after="0"/>
              <w:rPr>
                <w:sz w:val="18"/>
                <w:szCs w:val="18"/>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3,136,072</w:t>
            </w:r>
          </w:p>
        </w:tc>
        <w:tc>
          <w:tcPr>
            <w:tcW w:w="2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3,130,381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2,859,129</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 (deficiency)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616,805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665,781</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316,680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134,944</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(30,082)</w:t>
            </w:r>
          </w:p>
        </w:tc>
      </w:tr>
    </w:tbl>
    <w:p>
      <w:pPr>
        <w:spacing w:after="0" w:line="94" w:lineRule="exact"/>
        <w:rPr>
          <w:sz w:val="20"/>
          <w:szCs w:val="20"/>
          <w:color w:val="auto"/>
        </w:rPr>
      </w:pPr>
    </w:p>
    <w:p>
      <w:pPr>
        <w:ind w:left="260" w:right="20" w:hanging="252"/>
        <w:spacing w:after="0" w:line="227" w:lineRule="auto"/>
        <w:tabs>
          <w:tab w:leader="none" w:pos="2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The 2020, 2019 and 2018 results include impairment charges of $122.2 million, $106.6 million and $4.5 million, respectively (see Note 4 to the accompanying consolidated financial statements). The 2017 results include impairment charges of $28.1 million.</w:t>
      </w:r>
    </w:p>
    <w:p>
      <w:pPr>
        <w:spacing w:after="0" w:line="94" w:lineRule="exact"/>
        <w:rPr>
          <w:rFonts w:ascii="Arial" w:cs="Arial" w:eastAsia="Arial" w:hAnsi="Arial"/>
          <w:sz w:val="23"/>
          <w:szCs w:val="23"/>
          <w:color w:val="auto"/>
          <w:vertAlign w:val="superscript"/>
        </w:rPr>
      </w:pPr>
    </w:p>
    <w:p>
      <w:pPr>
        <w:jc w:val="both"/>
        <w:ind w:left="260" w:hanging="252"/>
        <w:spacing w:after="0" w:line="234" w:lineRule="auto"/>
        <w:tabs>
          <w:tab w:leader="none" w:pos="199"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The 2020, 2019 and 2018 results include restructuring and other related charges of $34.8 million, $40.9 million and $45.8 million, respectively (see Note 5 to the accompanying consolidated financial statements). The 2017 and 2016 results include restructuring and other related charges of $6.1 million and $29.5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or MD&amp;A, is a supplement to and should be read in conjunction with the accompanying consolidated financial statements and related notes. Our MD&amp;A is provided to enhance the understanding of our financial condition, changes in financial condition and results of our operations and is organized as follows:</w:t>
      </w:r>
    </w:p>
    <w:p>
      <w:pPr>
        <w:spacing w:after="0" w:line="7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Business Overview</w:t>
      </w:r>
      <w:r>
        <w:rPr>
          <w:rFonts w:ascii="Arial" w:cs="Arial" w:eastAsia="Arial" w:hAnsi="Arial"/>
          <w:sz w:val="18"/>
          <w:szCs w:val="18"/>
          <w:color w:val="auto"/>
        </w:rPr>
        <w:t>. 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i w:val="1"/>
          <w:iCs w:val="1"/>
          <w:color w:val="auto"/>
        </w:rPr>
        <w:t>Consolidated Results of Operations</w:t>
      </w:r>
      <w:r>
        <w:rPr>
          <w:rFonts w:ascii="Arial" w:cs="Arial" w:eastAsia="Arial" w:hAnsi="Arial"/>
          <w:sz w:val="16"/>
          <w:szCs w:val="16"/>
          <w:color w:val="auto"/>
        </w:rPr>
        <w:t>. This section provides an analysis of our results of operations for the years ended December 31, 2020, 2019 and</w:t>
      </w:r>
      <w:r>
        <w:rPr>
          <w:rFonts w:ascii="Arial" w:cs="Arial" w:eastAsia="Arial" w:hAnsi="Arial"/>
          <w:sz w:val="16"/>
          <w:szCs w:val="16"/>
          <w:i w:val="1"/>
          <w:iCs w:val="1"/>
          <w:color w:val="auto"/>
        </w:rPr>
        <w:t xml:space="preserve"> </w:t>
      </w:r>
      <w:r>
        <w:rPr>
          <w:rFonts w:ascii="Arial" w:cs="Arial" w:eastAsia="Arial" w:hAnsi="Arial"/>
          <w:sz w:val="16"/>
          <w:szCs w:val="16"/>
          <w:color w:val="auto"/>
        </w:rPr>
        <w:t>2018. Our discussion is presented on both a consolidated and segment basis. Our two segments are: (i) National Networks and (ii) International and Other.</w:t>
      </w:r>
    </w:p>
    <w:p>
      <w:pPr>
        <w:spacing w:after="0" w:line="1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This section provides a discussion of our financial condition as of December 31, 2020 as well as an analysis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for the years ended December 31, 2020, 2019 and 2018. The discussion of our financial condition and liquidity includes summaries of (i) our primary sources of liquidity and (ii) our contractual obligations and off balance sheet arrangements that existed at December 31, 2020.</w:t>
      </w:r>
    </w:p>
    <w:p>
      <w:pPr>
        <w:spacing w:after="0" w:line="5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 discussion of our accounting policies considered to be important to an</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financial condition and results of operations, and which require significant judgment and estimates on the part of management in their application.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660" w:hanging="328"/>
        <w:spacing w:after="0" w:line="279" w:lineRule="auto"/>
        <w:tabs>
          <w:tab w:leader="none" w:pos="655"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National Networks: </w:t>
      </w:r>
      <w:r>
        <w:rPr>
          <w:rFonts w:ascii="Arial" w:cs="Arial" w:eastAsia="Arial" w:hAnsi="Arial"/>
          <w:sz w:val="17"/>
          <w:szCs w:val="17"/>
          <w:color w:val="auto"/>
        </w:rPr>
        <w:t>Includes activities of our five national programming networks, AMC Studios operations and AMC Broadcasting &amp;</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Our national programming networks are AMC, WE tv, BBC AMERICA, IFC, and SundanceTV. Our AMC Studios operation produces original programming for our programming networks and also licenses such programming worldwide. AMC Networks Broadcasting &amp; Technology is our technical services business, which primarily services most of the national programming networks.</w:t>
      </w:r>
    </w:p>
    <w:p>
      <w:pPr>
        <w:spacing w:after="0" w:line="63" w:lineRule="exact"/>
        <w:rPr>
          <w:rFonts w:ascii="Arial" w:cs="Arial" w:eastAsia="Arial" w:hAnsi="Arial"/>
          <w:sz w:val="17"/>
          <w:szCs w:val="17"/>
          <w:i w:val="1"/>
          <w:iCs w:val="1"/>
          <w:color w:val="auto"/>
        </w:rPr>
      </w:pPr>
    </w:p>
    <w:p>
      <w:pPr>
        <w:jc w:val="both"/>
        <w:ind w:left="660" w:hanging="328"/>
        <w:spacing w:after="0" w:line="311" w:lineRule="auto"/>
        <w:tabs>
          <w:tab w:leader="none" w:pos="655"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International and Other</w:t>
      </w:r>
      <w:r>
        <w:rPr>
          <w:rFonts w:ascii="Arial" w:cs="Arial" w:eastAsia="Arial" w:hAnsi="Arial"/>
          <w:sz w:val="16"/>
          <w:szCs w:val="16"/>
          <w:color w:val="auto"/>
        </w:rPr>
        <w:t>: Includes AMCNI, our international programming businesses consisting of a portfolio of channels around the world;</w:t>
      </w:r>
      <w:r>
        <w:rPr>
          <w:rFonts w:ascii="Arial" w:cs="Arial" w:eastAsia="Arial" w:hAnsi="Arial"/>
          <w:sz w:val="16"/>
          <w:szCs w:val="16"/>
          <w:i w:val="1"/>
          <w:iCs w:val="1"/>
          <w:color w:val="auto"/>
        </w:rPr>
        <w:t xml:space="preserve"> </w:t>
      </w:r>
      <w:r>
        <w:rPr>
          <w:rFonts w:ascii="Arial" w:cs="Arial" w:eastAsia="Arial" w:hAnsi="Arial"/>
          <w:sz w:val="16"/>
          <w:szCs w:val="16"/>
          <w:color w:val="auto"/>
        </w:rPr>
        <w:t>AMC Networks Streaming Services consisting of our targeted subscription streaming services (Acorn TV, Shudder, Sundance Now, ALLBLK), AMC+ and other streaming initiatives; Levity, our production services and comedy venues business; and IFC Films, our film distribution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ind w:left="420"/>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Years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602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2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Revenues, net</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2,096,169</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2,369,044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2,413,325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598,306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revenues,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2,814,956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020" w:type="dxa"/>
            <w:vAlign w:val="bottom"/>
            <w:gridSpan w:val="4"/>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National Networks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656,425</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(224,228)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(170,039)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(93,326)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Consolidated 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442,644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625,277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726,909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02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AOI</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760,053</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903,526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925,279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AOI</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766,611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cloud computing amortization, share-based compensation expense or benefit, impairment charges (including gains or losses on sales or dispositions of businesses), restructuring and other related charges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Years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37"/>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2018</w:t>
            </w: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726,909</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52,908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64,133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60,979</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91,281</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122,227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106,603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4,486</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45,847</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766,611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943,990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932,545</w:t>
            </w:r>
          </w:p>
        </w:tc>
      </w:tr>
      <w:tr>
        <w:trPr>
          <w:trHeight w:val="21"/>
        </w:trPr>
        <w:tc>
          <w:tcPr>
            <w:tcW w:w="6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Items Impacting Comparability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Impact of COVID-19 on Our Business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the World Health Organization declared the novel coronavirus ("COVID-19") a pandemic, and the President of the United States declared the COVID-19 outbreak a national emergency. The rapid spread of the pandemic and the continuously evolving responses to combat it have had a negative impact on the global economy.</w:t>
      </w:r>
    </w:p>
    <w:p>
      <w:pPr>
        <w:spacing w:after="0" w:line="7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impact of COVID-19 and measures to prevent its spread have affected our businesses in a number of ways. Beginning in mid-March, we experienced adverse advertising sales impacts, suspended content production, which led to delays in the creation and availability of substantially all of our programming, and the temporary closure of our comedy venues. In the third quarter of 2020, the Company commenced production activities, however substantially all Company employees continue to work remotely, and the Company continues to restrict business travel. If significant portions of our workforce, including key personnel, are unable to work effectively because of illness, government actions or other restrictions in connection with the COVID-19 pandemic, the impact of the pandemic on our businesses could be exacerbated.</w:t>
      </w:r>
    </w:p>
    <w:p>
      <w:pPr>
        <w:spacing w:after="0" w:line="7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The Company has evaluated and continues to evaluate the potential impact of the COVID-19 pandemic on its consolidated financial statements, including the impairment of goodwill (see Note 9) and indefinite-lived intangible assets and the fair value and collectability of receivables. The COVID-19 pandemic has had a material impact on the Company's operations since mid-March 2020.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availability, safety and efficacy of a vaccine, and global economic conditions. The Company does not expect the COVID-19 pandemic and its related economic impact to affect its liquidity position or its ongoing ability to meet the covenants in its debt instruments.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RLJE</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October 2018, we acquired a controlling interest in RLJE, a premium digital channel company that operates the subscription streaming services Acorn TV and UMC or Urban Movie Channel (rebranded to ALLBLK). The operating results of RLJE are included in our International and Other segment in the consolidated statement of income from the date of the acquisition.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Levity</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April 2018, we acquired a controlling interest in Levity, an entertainment company that owns and operates comedy venues as well as produces content for distribution. The operating results of Levity are included in our International and Other segment in the consolidated statement of income from the date of the acquisition.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117"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our National Networks segment, we earn revenue principally from the distribution of our programming and the sale of advertising. Distribution revenue primarily includes subscription fees paid by distributors to carry our programming networks and content licensing revenue from the licensing of original programming for digital, foreign and home video distribution. Subscription fees paid by distributors represent the largest component of distribution revenue. Our subscription fee revenues are based on a per subscriber fee, and, to a lesser extent, fixed fees under multi-year contracts, commonly referred to as "affiliation agreements," which generally provide for annual rate increases. The specific subscription fee revenues we earn vary from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period to period, distributor to distributor and also vary among our networks, but are generally based upon the number of each distributor's subscribers who receive our programming, referred to as viewing subscribers. Content licensing revenue from the licensing of original programming for digital and foreign distribution is recognized upon availability or distribution by the licensee.</w:t>
      </w:r>
    </w:p>
    <w:p>
      <w:pPr>
        <w:spacing w:after="0" w:line="76"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ratings are not met and is subsequently recognized either when we provide the required additional advertising time or the guarantee obligation contractually expires. Most of our advertising revenues vary based upon the popularity of our programming as measured by Nielsen. Our national programming networks have advertisers representing companies in a broad range of sectors, including the automotive, restaurants/food, health, and telecommunications industries.</w:t>
      </w:r>
    </w:p>
    <w:p>
      <w:pPr>
        <w:spacing w:after="0" w:line="5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Changes in revenue are primarily derived from changes in the contractual subscription rates charged for our services; the number of subscribers; the prices and number of advertising spots on our networks; and the availability, amount and timing of licensing fees earned from the distribution of our original programming. Our revenues may increase over time through contractual rate increases stipulated in our affiliation agreements. In negotiating for additional subscribers or extended carriage, we have agreed, in some instances, to make upfront payments to a distributor which we record as deferred carriage fees and are amortized as a reduction to revenue over the period of the related affiliation agreement. We also may help fund the distributors' efforts to market our networks. We believe that these transactions generate a positive return on investment over the contract period. We seek to increase our advertising revenues by increasing the rates we charge for such advertising, which is directly related to the overall distribution of our programming, penetration of our services on various digital platforms such as Advertising Video-on-Demand ("AVOD") services and the popularity (including within desirable demographic groups) of our services as measured by Nielsen.</w:t>
      </w:r>
    </w:p>
    <w:p>
      <w:pPr>
        <w:spacing w:after="0" w:line="73"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emerge and develop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distribution platforms, foreign distribution and home video services. Content licensing revenues in each quarter may vary based on the timing of availability of our programming to distributors.</w:t>
      </w:r>
    </w:p>
    <w:p>
      <w:pPr>
        <w:spacing w:after="0" w:line="6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6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In recent years, we have introduced a number of scripted original series. These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individual-film-forecast-computation method.</w:t>
      </w:r>
    </w:p>
    <w:p>
      <w:pPr>
        <w:spacing w:after="0" w:line="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 Program rights write-offs of $85.5 million, $37.9 million and $48.8 million were recorded for the years ended December 31, 2020, 2019 and 2018, respectively (see further discussion below).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ind w:left="420"/>
        <w:spacing w:after="0"/>
        <w:rPr>
          <w:sz w:val="20"/>
          <w:szCs w:val="20"/>
          <w:color w:val="auto"/>
        </w:rPr>
      </w:pPr>
      <w:r>
        <w:rPr>
          <w:rFonts w:ascii="Arial" w:cs="Arial" w:eastAsia="Arial" w:hAnsi="Arial"/>
          <w:sz w:val="18"/>
          <w:szCs w:val="18"/>
          <w:color w:val="auto"/>
        </w:rPr>
        <w:t>See "Critical Accounting Policies and Estimates" for a discussion of the amortization and write-off of program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includes the operations of AMCNI, AMC Networks Streaming Services, IFC Films and Levity.</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In our International and Other segment, we earn revenue principally from the international distribution of programming and, to a lesser extent, the sale of advertising from our AMCNI programming networks. We also earn revenue from; (i) production services from Levity, (ii) our subscription streaming services Acorn TV, Shudder, Sundance Now, ALLBLK (previously known as Urban Movie Channel), and AMC+ from our AMC Networks Streaming Services business, (iii) the distribution of content of IFC Films and RLJE, and (iv) Levity's operation of comedy venues (all of which are temporarily closed as a result of the COVID-19 pandemic). For the year ended December 31, 2020, distribution revenues represented 90% of the revenues of the International and Other segment. Distribution revenue primarily includes subscription fees paid by distributors or consumers to carry our programming networks or subscription-based streaming services and production services revenue generated from Levity. Our subscription revenues are generally based on either a per-subscriber fee or a fixed contractual annual fee, under multi-year affiliation agreements, which may provide for annual rate increases, and a monthly fee paid by consumers for our subscription-based streaming services.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 as well as from our owned subscription streaming services available in the United States, Canada, Latin America, parts of Europe, India, Australia and New Zealand.</w:t>
      </w:r>
    </w:p>
    <w:p>
      <w:pPr>
        <w:spacing w:after="0" w:line="7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Programming expense, program operating costs and production costs incurred to produce content for third parties are included in technical and operating expense, and represent the largest expense of the International and Other segment. Programming expense primarily consists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6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Similar to our National Networks businesses, the most significant business challenges we expect to encounter in our International and Other businesses include programming competition (from both foreign and domestic programmers), limited channel capacity on distributors' platforms, the number of subscribers on those platforms and economic pressures on subscription fees. Other significant business challenges unique to our international operations include increased programming costs for international rights and translation (</w:t>
      </w:r>
      <w:r>
        <w:rPr>
          <w:rFonts w:ascii="Arial" w:cs="Arial" w:eastAsia="Arial" w:hAnsi="Arial"/>
          <w:sz w:val="18"/>
          <w:szCs w:val="18"/>
          <w:i w:val="1"/>
          <w:iCs w:val="1"/>
          <w:color w:val="auto"/>
        </w:rPr>
        <w:t>i.e.</w:t>
      </w:r>
      <w:r>
        <w:rPr>
          <w:rFonts w:ascii="Arial" w:cs="Arial" w:eastAsia="Arial" w:hAnsi="Arial"/>
          <w:sz w:val="18"/>
          <w:szCs w:val="18"/>
          <w:color w:val="auto"/>
        </w:rPr>
        <w:t xml:space="preserve"> dubbing and subtitling), a lack of availability of international rights for a portion of our domestic programming content, increased distribution costs for cable, satellite or fiber feeds, a limited physical presence in certain territories, and our exposure to foreign currency exchange rate risk. See also the risk factors described under Item 1A, "Risk Factors - We face risks from doing business internationally." in this Annual Report.</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Capital and credit market disruptions, as well as other events such as the COVID-19 pandemic,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consolidated subsidiaries are reflected in net (income) loss attributable to noncontrolling interests in our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13"/>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13"/>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2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2,814,956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(245,365)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1,401,591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1,506,985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(105,394)</w:t>
            </w:r>
          </w:p>
        </w:tc>
        <w:tc>
          <w:tcPr>
            <w:tcW w:w="1260" w:type="dxa"/>
            <w:vAlign w:val="bottom"/>
            <w:gridSpan w:val="2"/>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708,820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679,444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29,376</w:t>
            </w: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122,227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106,603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15,624</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14.7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126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2,372,312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2,435,044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(62,732)</w:t>
            </w:r>
          </w:p>
        </w:tc>
        <w:tc>
          <w:tcPr>
            <w:tcW w:w="1260" w:type="dxa"/>
            <w:vAlign w:val="bottom"/>
            <w:tcBorders>
              <w:bottom w:val="single" w:sz="8" w:color="CCEEFF"/>
            </w:tcBorders>
            <w:gridSpan w:val="2"/>
          </w:tcPr>
          <w:p>
            <w:pPr>
              <w:jc w:val="right"/>
              <w:ind w:right="9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24,513</w:t>
            </w:r>
          </w:p>
        </w:tc>
        <w:tc>
          <w:tcPr>
            <w:tcW w:w="126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4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98,826</w:t>
            </w:r>
          </w:p>
        </w:tc>
        <w:tc>
          <w:tcPr>
            <w:tcW w:w="1260" w:type="dxa"/>
            <w:vAlign w:val="bottom"/>
            <w:tcBorders>
              <w:bottom w:val="single" w:sz="8" w:color="CCEEFF"/>
            </w:tcBorders>
            <w:gridSpan w:val="2"/>
          </w:tcPr>
          <w:p>
            <w:pPr>
              <w:jc w:val="right"/>
              <w:ind w:right="95"/>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156"/>
        </w:trPr>
        <w:tc>
          <w:tcPr>
            <w:tcW w:w="3780" w:type="dxa"/>
            <w:vAlign w:val="bottom"/>
            <w:shd w:val="clear" w:color="auto" w:fill="CCEEFF"/>
          </w:tcPr>
          <w:p>
            <w:pPr>
              <w:ind w:left="680"/>
              <w:spacing w:after="0" w:line="156" w:lineRule="exact"/>
              <w:rPr>
                <w:sz w:val="20"/>
                <w:szCs w:val="20"/>
                <w:color w:val="auto"/>
              </w:rPr>
            </w:pPr>
            <w:r>
              <w:rPr>
                <w:rFonts w:ascii="Arial" w:cs="Arial" w:eastAsia="Arial" w:hAnsi="Arial"/>
                <w:sz w:val="18"/>
                <w:szCs w:val="18"/>
                <w:color w:val="auto"/>
              </w:rPr>
              <w:t>Net income from operations before</w:t>
            </w:r>
          </w:p>
        </w:tc>
        <w:tc>
          <w:tcPr>
            <w:tcW w:w="2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402,379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486,186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(83,807)</w:t>
            </w:r>
          </w:p>
        </w:tc>
        <w:tc>
          <w:tcPr>
            <w:tcW w:w="1260" w:type="dxa"/>
            <w:vAlign w:val="bottom"/>
            <w:gridSpan w:val="2"/>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(66,921)</w:t>
            </w:r>
          </w:p>
        </w:tc>
        <w:tc>
          <w:tcPr>
            <w:tcW w:w="1260" w:type="dxa"/>
            <w:vAlign w:val="bottom"/>
            <w:tcBorders>
              <w:bottom w:val="single" w:sz="8" w:color="CCEEFF"/>
            </w:tcBorders>
            <w:gridSpan w:val="2"/>
          </w:tcPr>
          <w:p>
            <w:pPr>
              <w:jc w:val="right"/>
              <w:ind w:right="135"/>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(150,728)</w:t>
            </w:r>
          </w:p>
        </w:tc>
        <w:tc>
          <w:tcPr>
            <w:tcW w:w="126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w w:val="94"/>
              </w:rPr>
              <w:t>(0.6)%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w w:val="94"/>
              </w:rPr>
              <w:t>(0.9)%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10,221</w:t>
            </w:r>
          </w:p>
        </w:tc>
        <w:tc>
          <w:tcPr>
            <w:tcW w:w="1260" w:type="dxa"/>
            <w:vAlign w:val="bottom"/>
            <w:tcBorders>
              <w:bottom w:val="single" w:sz="8" w:color="CCEEFF"/>
            </w:tcBorders>
            <w:gridSpan w:val="2"/>
          </w:tcPr>
          <w:p>
            <w:pPr>
              <w:jc w:val="right"/>
              <w:ind w:right="95"/>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55"/>
        </w:trPr>
        <w:tc>
          <w:tcPr>
            <w:tcW w:w="3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attributable to AMC Networks'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239,979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380,486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(140,507)</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CCEEFF"/>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b w:val="1"/>
          <w:bCs w:val="1"/>
          <w:color w:val="auto"/>
        </w:rPr>
        <w:t>National Networks Segment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8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1"/>
                <w:szCs w:val="11"/>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net</w:t>
            </w: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2,096,169</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2,369,044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(272,875)</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967,934</w:t>
            </w:r>
          </w:p>
        </w:tc>
        <w:tc>
          <w:tcPr>
            <w:tcW w:w="1380" w:type="dxa"/>
            <w:vAlign w:val="bottom"/>
            <w:gridSpan w:val="3"/>
            <w:vMerge w:val="restart"/>
            <w:shd w:val="clear" w:color="auto" w:fill="CCEEFF"/>
          </w:tcPr>
          <w:p>
            <w:pPr>
              <w:jc w:val="right"/>
              <w:ind w:right="144"/>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1,076,748</w:t>
            </w:r>
          </w:p>
        </w:tc>
        <w:tc>
          <w:tcPr>
            <w:tcW w:w="1380" w:type="dxa"/>
            <w:vAlign w:val="bottom"/>
            <w:gridSpan w:val="3"/>
            <w:vMerge w:val="restart"/>
            <w:shd w:val="clear" w:color="auto" w:fill="CCEEFF"/>
          </w:tcPr>
          <w:p>
            <w:pPr>
              <w:jc w:val="right"/>
              <w:ind w:right="144"/>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(108,814)</w:t>
            </w:r>
          </w:p>
        </w:tc>
        <w:tc>
          <w:tcPr>
            <w:tcW w:w="1260" w:type="dxa"/>
            <w:vAlign w:val="bottom"/>
            <w:gridSpan w:val="2"/>
            <w:vMerge w:val="restart"/>
            <w:shd w:val="clear" w:color="auto" w:fill="CCEEFF"/>
          </w:tcPr>
          <w:p>
            <w:pPr>
              <w:jc w:val="right"/>
              <w:ind w:right="99"/>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410,718</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441,747</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(31,029)</w:t>
            </w:r>
          </w:p>
        </w:tc>
        <w:tc>
          <w:tcPr>
            <w:tcW w:w="1260" w:type="dxa"/>
            <w:vAlign w:val="bottom"/>
            <w:gridSpan w:val="2"/>
          </w:tcPr>
          <w:p>
            <w:pPr>
              <w:jc w:val="right"/>
              <w:ind w:right="99"/>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w:t>
            </w:r>
          </w:p>
        </w:tc>
        <w:tc>
          <w:tcPr>
            <w:tcW w:w="138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138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12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3720" w:type="dxa"/>
            <w:vAlign w:val="bottom"/>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20,553</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13,453</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7,100</w:t>
            </w:r>
          </w:p>
        </w:tc>
        <w:tc>
          <w:tcPr>
            <w:tcW w:w="1260" w:type="dxa"/>
            <w:vAlign w:val="bottom"/>
            <w:gridSpan w:val="2"/>
          </w:tcPr>
          <w:p>
            <w:pPr>
              <w:jc w:val="right"/>
              <w:ind w:right="139"/>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656,425</w:t>
            </w:r>
          </w:p>
        </w:tc>
        <w:tc>
          <w:tcPr>
            <w:tcW w:w="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CCEEFF"/>
            </w:tcBorders>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804,422</w:t>
            </w:r>
          </w:p>
        </w:tc>
        <w:tc>
          <w:tcPr>
            <w:tcW w:w="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CCEEFF"/>
            </w:tcBorders>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(147,997)</w:t>
            </w:r>
          </w:p>
        </w:tc>
        <w:tc>
          <w:tcPr>
            <w:tcW w:w="1260" w:type="dxa"/>
            <w:vAlign w:val="bottom"/>
            <w:tcBorders>
              <w:top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42,536</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52,977</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(10,441)</w:t>
            </w:r>
          </w:p>
        </w:tc>
        <w:tc>
          <w:tcPr>
            <w:tcW w:w="1260" w:type="dxa"/>
            <w:vAlign w:val="bottom"/>
            <w:gridSpan w:val="2"/>
          </w:tcPr>
          <w:p>
            <w:pPr>
              <w:jc w:val="right"/>
              <w:ind w:right="99"/>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w:t>
            </w:r>
          </w:p>
        </w:tc>
        <w:tc>
          <w:tcPr>
            <w:tcW w:w="138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138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12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20,553</w:t>
            </w:r>
          </w:p>
        </w:tc>
        <w:tc>
          <w:tcPr>
            <w:tcW w:w="60" w:type="dxa"/>
            <w:vAlign w:val="bottom"/>
            <w:tcBorders>
              <w:bottom w:val="single" w:sz="8" w:color="auto"/>
            </w:tcBorders>
          </w:tcPr>
          <w:p>
            <w:pPr>
              <w:spacing w:after="0"/>
              <w:rPr>
                <w:sz w:val="19"/>
                <w:szCs w:val="19"/>
                <w:color w:val="auto"/>
              </w:rPr>
            </w:pPr>
          </w:p>
        </w:tc>
        <w:tc>
          <w:tcPr>
            <w:tcW w:w="1320" w:type="dxa"/>
            <w:vAlign w:val="bottom"/>
            <w:tcBorders>
              <w:bottom w:val="single" w:sz="8" w:color="CCEEFF"/>
            </w:tcBorders>
            <w:gridSpan w:val="2"/>
          </w:tcPr>
          <w:p>
            <w:pPr>
              <w:jc w:val="right"/>
              <w:ind w:right="14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13,453</w:t>
            </w:r>
          </w:p>
        </w:tc>
        <w:tc>
          <w:tcPr>
            <w:tcW w:w="60" w:type="dxa"/>
            <w:vAlign w:val="bottom"/>
            <w:tcBorders>
              <w:bottom w:val="single" w:sz="8" w:color="auto"/>
            </w:tcBorders>
          </w:tcPr>
          <w:p>
            <w:pPr>
              <w:spacing w:after="0"/>
              <w:rPr>
                <w:sz w:val="19"/>
                <w:szCs w:val="19"/>
                <w:color w:val="auto"/>
              </w:rPr>
            </w:pPr>
          </w:p>
        </w:tc>
        <w:tc>
          <w:tcPr>
            <w:tcW w:w="1320" w:type="dxa"/>
            <w:vAlign w:val="bottom"/>
            <w:tcBorders>
              <w:bottom w:val="single" w:sz="8" w:color="CCEEFF"/>
            </w:tcBorders>
            <w:gridSpan w:val="2"/>
          </w:tcPr>
          <w:p>
            <w:pPr>
              <w:jc w:val="right"/>
              <w:ind w:right="14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12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760,053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903,526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(143,473)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22"/>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41"/>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2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746,527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734,143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12,384</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470,940</w:t>
            </w:r>
          </w:p>
        </w:tc>
        <w:tc>
          <w:tcPr>
            <w:tcW w:w="1380" w:type="dxa"/>
            <w:vAlign w:val="bottom"/>
            <w:gridSpan w:val="3"/>
            <w:vMerge w:val="restart"/>
            <w:shd w:val="clear" w:color="auto" w:fill="CCEEFF"/>
          </w:tcPr>
          <w:p>
            <w:pPr>
              <w:jc w:val="right"/>
              <w:ind w:right="142"/>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463,267</w:t>
            </w:r>
          </w:p>
        </w:tc>
        <w:tc>
          <w:tcPr>
            <w:tcW w:w="1400" w:type="dxa"/>
            <w:vAlign w:val="bottom"/>
            <w:gridSpan w:val="3"/>
            <w:vMerge w:val="restart"/>
            <w:shd w:val="clear" w:color="auto" w:fill="CCEEFF"/>
          </w:tcPr>
          <w:p>
            <w:pPr>
              <w:jc w:val="right"/>
              <w:ind w:right="141"/>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1380" w:type="dxa"/>
            <w:vAlign w:val="bottom"/>
            <w:gridSpan w:val="2"/>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299,006</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237,804</w:t>
            </w:r>
          </w:p>
        </w:tc>
        <w:tc>
          <w:tcPr>
            <w:tcW w:w="1400" w:type="dxa"/>
            <w:vAlign w:val="bottom"/>
            <w:gridSpan w:val="3"/>
          </w:tcPr>
          <w:p>
            <w:pPr>
              <w:jc w:val="right"/>
              <w:ind w:right="14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61,202</w:t>
            </w:r>
          </w:p>
        </w:tc>
        <w:tc>
          <w:tcPr>
            <w:tcW w:w="1380" w:type="dxa"/>
            <w:vAlign w:val="bottom"/>
            <w:gridSpan w:val="2"/>
          </w:tcPr>
          <w:p>
            <w:pPr>
              <w:jc w:val="right"/>
              <w:ind w:right="136"/>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64,067</w:t>
            </w:r>
          </w:p>
        </w:tc>
        <w:tc>
          <w:tcPr>
            <w:tcW w:w="138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68,424</w:t>
            </w:r>
          </w:p>
        </w:tc>
        <w:tc>
          <w:tcPr>
            <w:tcW w:w="140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3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Arial" w:cs="Arial" w:eastAsia="Arial" w:hAnsi="Arial"/>
                <w:sz w:val="18"/>
                <w:szCs w:val="18"/>
                <w:color w:val="auto"/>
              </w:rPr>
              <w:t>Impairment charges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122,227</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106,603</w:t>
            </w:r>
          </w:p>
        </w:tc>
        <w:tc>
          <w:tcPr>
            <w:tcW w:w="1400" w:type="dxa"/>
            <w:vAlign w:val="bottom"/>
            <w:gridSpan w:val="3"/>
          </w:tcPr>
          <w:p>
            <w:pPr>
              <w:jc w:val="right"/>
              <w:ind w:right="14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15,624</w:t>
            </w:r>
          </w:p>
        </w:tc>
        <w:tc>
          <w:tcPr>
            <w:tcW w:w="1380" w:type="dxa"/>
            <w:vAlign w:val="bottom"/>
            <w:gridSpan w:val="2"/>
          </w:tcPr>
          <w:p>
            <w:pPr>
              <w:jc w:val="right"/>
              <w:ind w:right="136"/>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Restructuring and other related charges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38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28,084</w:t>
            </w:r>
          </w:p>
        </w:tc>
        <w:tc>
          <w:tcPr>
            <w:tcW w:w="140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(13,569)</w:t>
            </w:r>
          </w:p>
        </w:tc>
        <w:tc>
          <w:tcPr>
            <w:tcW w:w="13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(224,228)</w:t>
            </w:r>
          </w:p>
        </w:tc>
        <w:tc>
          <w:tcPr>
            <w:tcW w:w="20" w:type="dxa"/>
            <w:vAlign w:val="bottom"/>
            <w:tcBorders>
              <w:top w:val="single" w:sz="8" w:color="auto"/>
            </w:tcBorders>
          </w:tcPr>
          <w:p>
            <w:pPr>
              <w:spacing w:after="0"/>
              <w:rPr>
                <w:sz w:val="19"/>
                <w:szCs w:val="19"/>
                <w:color w:val="auto"/>
              </w:rPr>
            </w:pPr>
          </w:p>
        </w:tc>
        <w:tc>
          <w:tcPr>
            <w:tcW w:w="1360" w:type="dxa"/>
            <w:vAlign w:val="bottom"/>
            <w:gridSpan w:val="2"/>
          </w:tcPr>
          <w:p>
            <w:pPr>
              <w:jc w:val="right"/>
              <w:ind w:right="82"/>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(170,039)</w:t>
            </w:r>
          </w:p>
        </w:tc>
        <w:tc>
          <w:tcPr>
            <w:tcW w:w="20" w:type="dxa"/>
            <w:vAlign w:val="bottom"/>
            <w:tcBorders>
              <w:top w:val="single" w:sz="8" w:color="auto"/>
            </w:tcBorders>
          </w:tcPr>
          <w:p>
            <w:pPr>
              <w:spacing w:after="0"/>
              <w:rPr>
                <w:sz w:val="19"/>
                <w:szCs w:val="19"/>
                <w:color w:val="auto"/>
              </w:rPr>
            </w:pP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(54,189)</w:t>
            </w:r>
          </w:p>
        </w:tc>
        <w:tc>
          <w:tcPr>
            <w:tcW w:w="1380" w:type="dxa"/>
            <w:vAlign w:val="bottom"/>
            <w:gridSpan w:val="2"/>
          </w:tcPr>
          <w:p>
            <w:pPr>
              <w:jc w:val="right"/>
              <w:ind w:right="136"/>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138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40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3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64,067</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68,424</w:t>
            </w:r>
          </w:p>
        </w:tc>
        <w:tc>
          <w:tcPr>
            <w:tcW w:w="1400" w:type="dxa"/>
            <w:vAlign w:val="bottom"/>
            <w:gridSpan w:val="3"/>
          </w:tcPr>
          <w:p>
            <w:pPr>
              <w:jc w:val="right"/>
              <w:ind w:right="14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(4,357)</w:t>
            </w:r>
          </w:p>
        </w:tc>
        <w:tc>
          <w:tcPr>
            <w:tcW w:w="1380" w:type="dxa"/>
            <w:vAlign w:val="bottom"/>
            <w:gridSpan w:val="2"/>
          </w:tcPr>
          <w:p>
            <w:pPr>
              <w:jc w:val="right"/>
              <w:ind w:right="96"/>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122,227</w:t>
            </w:r>
          </w:p>
        </w:tc>
        <w:tc>
          <w:tcPr>
            <w:tcW w:w="138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140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13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14,515</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28,084</w:t>
            </w:r>
          </w:p>
        </w:tc>
        <w:tc>
          <w:tcPr>
            <w:tcW w:w="1400" w:type="dxa"/>
            <w:vAlign w:val="bottom"/>
            <w:gridSpan w:val="3"/>
          </w:tcPr>
          <w:p>
            <w:pPr>
              <w:jc w:val="right"/>
              <w:ind w:right="14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(13,569)</w:t>
            </w:r>
          </w:p>
        </w:tc>
        <w:tc>
          <w:tcPr>
            <w:tcW w:w="1380" w:type="dxa"/>
            <w:vAlign w:val="bottom"/>
            <w:gridSpan w:val="2"/>
          </w:tcPr>
          <w:p>
            <w:pPr>
              <w:jc w:val="right"/>
              <w:ind w:right="96"/>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computing amortization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Majority owned equity investees AOI</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20" w:type="dxa"/>
            <w:vAlign w:val="bottom"/>
            <w:tcBorders>
              <w:bottom w:val="single" w:sz="8" w:color="auto"/>
            </w:tcBorders>
          </w:tcPr>
          <w:p>
            <w:pPr>
              <w:spacing w:after="0"/>
              <w:rPr>
                <w:sz w:val="19"/>
                <w:szCs w:val="19"/>
                <w:color w:val="auto"/>
              </w:rPr>
            </w:pPr>
          </w:p>
        </w:tc>
        <w:tc>
          <w:tcPr>
            <w:tcW w:w="13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w:t>
            </w:r>
          </w:p>
        </w:tc>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380" w:type="dxa"/>
            <w:vAlign w:val="bottom"/>
            <w:tcBorders>
              <w:bottom w:val="single" w:sz="8" w:color="CCEEFF"/>
            </w:tcBorders>
            <w:gridSpan w:val="2"/>
          </w:tcPr>
          <w:p>
            <w:pPr>
              <w:jc w:val="right"/>
              <w:ind w:right="136"/>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50,193</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net decreased $245.4 million to $2.8 billion for 2020 as compared to 2019. The net change by segment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1"/>
                <w:szCs w:val="11"/>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400" w:type="dxa"/>
            <w:vAlign w:val="bottom"/>
            <w:gridSpan w:val="2"/>
          </w:tcPr>
          <w:p>
            <w:pPr>
              <w:ind w:left="500"/>
              <w:spacing w:after="0" w:line="135"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128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28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2,096,169</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2,369,044</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(272,875)</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746,527</w:t>
            </w:r>
          </w:p>
        </w:tc>
        <w:tc>
          <w:tcPr>
            <w:tcW w:w="1400" w:type="dxa"/>
            <w:vAlign w:val="bottom"/>
            <w:gridSpan w:val="2"/>
          </w:tcPr>
          <w:p>
            <w:pPr>
              <w:jc w:val="right"/>
              <w:ind w:right="144"/>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734,143</w:t>
            </w:r>
          </w:p>
        </w:tc>
        <w:tc>
          <w:tcPr>
            <w:tcW w:w="1400" w:type="dxa"/>
            <w:vAlign w:val="bottom"/>
            <w:gridSpan w:val="2"/>
          </w:tcPr>
          <w:p>
            <w:pPr>
              <w:jc w:val="right"/>
              <w:ind w:right="14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12,384</w:t>
            </w:r>
          </w:p>
        </w:tc>
        <w:tc>
          <w:tcPr>
            <w:tcW w:w="1380" w:type="dxa"/>
            <w:vAlign w:val="bottom"/>
            <w:gridSpan w:val="2"/>
          </w:tcPr>
          <w:p>
            <w:pPr>
              <w:jc w:val="right"/>
              <w:ind w:right="13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(27,740)</w:t>
            </w:r>
          </w:p>
        </w:tc>
        <w:tc>
          <w:tcPr>
            <w:tcW w:w="14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(42,866)</w:t>
            </w:r>
          </w:p>
        </w:tc>
        <w:tc>
          <w:tcPr>
            <w:tcW w:w="1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13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2,814,956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3,060,321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(245,365)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National Networks revenues, net was attributable to the following:</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1"/>
                <w:szCs w:val="11"/>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400" w:type="dxa"/>
            <w:vAlign w:val="bottom"/>
            <w:gridSpan w:val="2"/>
          </w:tcPr>
          <w:p>
            <w:pPr>
              <w:ind w:left="500"/>
              <w:spacing w:after="0" w:line="135"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300" w:type="dxa"/>
            <w:vAlign w:val="bottom"/>
          </w:tcPr>
          <w:p>
            <w:pPr>
              <w:ind w:left="500"/>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2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802,332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904,253</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(101,921)</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5"/>
              </w:rPr>
              <w:t>(11.3)%</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1,293,837</w:t>
            </w:r>
          </w:p>
        </w:tc>
        <w:tc>
          <w:tcPr>
            <w:tcW w:w="1400" w:type="dxa"/>
            <w:vAlign w:val="bottom"/>
            <w:tcBorders>
              <w:bottom w:val="single" w:sz="8" w:color="CCEEFF"/>
            </w:tcBorders>
            <w:gridSpan w:val="2"/>
          </w:tcPr>
          <w:p>
            <w:pPr>
              <w:jc w:val="right"/>
              <w:ind w:right="164"/>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1,464,791</w:t>
            </w:r>
          </w:p>
        </w:tc>
        <w:tc>
          <w:tcPr>
            <w:tcW w:w="1400" w:type="dxa"/>
            <w:vAlign w:val="bottom"/>
            <w:tcBorders>
              <w:bottom w:val="single" w:sz="8" w:color="CCEEFF"/>
            </w:tcBorders>
            <w:gridSpan w:val="2"/>
          </w:tcPr>
          <w:p>
            <w:pPr>
              <w:jc w:val="right"/>
              <w:ind w:right="16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(170,954)</w:t>
            </w:r>
          </w:p>
        </w:tc>
        <w:tc>
          <w:tcPr>
            <w:tcW w:w="1400" w:type="dxa"/>
            <w:vAlign w:val="bottom"/>
            <w:tcBorders>
              <w:bottom w:val="single" w:sz="8" w:color="CCEEFF"/>
            </w:tcBorders>
            <w:gridSpan w:val="2"/>
          </w:tcPr>
          <w:p>
            <w:pPr>
              <w:ind w:left="7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2,096,169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2,369,044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(272,875)</w:t>
            </w:r>
          </w:p>
        </w:tc>
        <w:tc>
          <w:tcPr>
            <w:tcW w:w="14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w w:val="95"/>
              </w:rPr>
              <w:t>(11.5)%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Advertising revenues decreased $101.9 million, primarily attributable to lower ratings and a reduction in the number of episodes of our original programming primarily related to the impact of the COVID-19 pandemic. Most of our advertising revenues vary based on the timing of our original programming series and the popularity of our programming as measured by Nielsen. Due to these factors, we expect advertising revenues to vary from quarter to quarter.</w:t>
      </w:r>
    </w:p>
    <w:p>
      <w:pPr>
        <w:spacing w:after="0" w:line="78" w:lineRule="exact"/>
        <w:rPr>
          <w:rFonts w:ascii="Arial" w:cs="Arial" w:eastAsia="Arial" w:hAnsi="Arial"/>
          <w:sz w:val="18"/>
          <w:szCs w:val="18"/>
          <w:color w:val="auto"/>
        </w:rPr>
      </w:pPr>
    </w:p>
    <w:p>
      <w:pPr>
        <w:jc w:val="both"/>
        <w:ind w:left="1300" w:hanging="644"/>
        <w:spacing w:after="0" w:line="255"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 revenues decreased $171.0 million due to a decrease in content licensing revenues of $92.9 and a decrease in subscription revenues of $78.1 million, as compared to the prior comparable period. Content licensing revenues decreased due to a reduction in the number of original programs we distributed related to production delays. Subscription revenues decreased primarily due to lower subscribers. Subscription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subscriber information at December 31, 2020 and December 31, 2019:</w:t>
      </w:r>
    </w:p>
    <w:p>
      <w:pPr>
        <w:spacing w:after="0" w:line="140"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 xml:space="preserve">Estimated Domestic Subscribers </w:t>
      </w:r>
      <w:r>
        <w:rPr>
          <w:rFonts w:ascii="Arial" w:cs="Arial" w:eastAsia="Arial" w:hAnsi="Arial"/>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128"/>
        </w:trPr>
        <w:tc>
          <w:tcPr>
            <w:tcW w:w="7040" w:type="dxa"/>
            <w:vAlign w:val="bottom"/>
          </w:tcPr>
          <w:p>
            <w:pPr>
              <w:spacing w:after="0"/>
              <w:rPr>
                <w:sz w:val="11"/>
                <w:szCs w:val="11"/>
                <w:color w:val="auto"/>
              </w:rPr>
            </w:pPr>
          </w:p>
        </w:tc>
        <w:tc>
          <w:tcPr>
            <w:tcW w:w="1440" w:type="dxa"/>
            <w:vAlign w:val="bottom"/>
            <w:tcBorders>
              <w:top w:val="single" w:sz="8" w:color="auto"/>
            </w:tcBorders>
          </w:tcPr>
          <w:p>
            <w:pPr>
              <w:ind w:left="60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tcPr>
          <w:p>
            <w:pPr>
              <w:jc w:val="right"/>
              <w:ind w:right="515"/>
              <w:spacing w:after="0" w:line="129" w:lineRule="exact"/>
              <w:rPr>
                <w:sz w:val="20"/>
                <w:szCs w:val="20"/>
                <w:color w:val="auto"/>
              </w:rPr>
            </w:pPr>
            <w:r>
              <w:rPr>
                <w:rFonts w:ascii="Arial" w:cs="Arial" w:eastAsia="Arial" w:hAnsi="Arial"/>
                <w:sz w:val="14"/>
                <w:szCs w:val="14"/>
                <w:b w:val="1"/>
                <w:bCs w:val="1"/>
                <w:color w:val="auto"/>
              </w:rPr>
              <w:t>December 31,</w:t>
            </w:r>
          </w:p>
        </w:tc>
      </w:tr>
      <w:tr>
        <w:trPr>
          <w:trHeight w:val="188"/>
        </w:trPr>
        <w:tc>
          <w:tcPr>
            <w:tcW w:w="8480" w:type="dxa"/>
            <w:vAlign w:val="bottom"/>
            <w:gridSpan w:val="2"/>
          </w:tcPr>
          <w:p>
            <w:pPr>
              <w:ind w:left="792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right"/>
              <w:ind w:right="795"/>
              <w:spacing w:after="0"/>
              <w:rPr>
                <w:sz w:val="20"/>
                <w:szCs w:val="20"/>
                <w:color w:val="auto"/>
              </w:rPr>
            </w:pPr>
            <w:r>
              <w:rPr>
                <w:rFonts w:ascii="Arial" w:cs="Arial" w:eastAsia="Arial" w:hAnsi="Arial"/>
                <w:sz w:val="14"/>
                <w:szCs w:val="14"/>
                <w:b w:val="1"/>
                <w:bCs w:val="1"/>
                <w:color w:val="auto"/>
              </w:rPr>
              <w:t>2019</w:t>
            </w:r>
          </w:p>
        </w:tc>
      </w:tr>
      <w:tr>
        <w:trPr>
          <w:trHeight w:val="211"/>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Programming Networks:</w:t>
            </w:r>
          </w:p>
        </w:tc>
        <w:tc>
          <w:tcPr>
            <w:tcW w:w="14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AMC</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83,600</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85,100</w:t>
            </w:r>
          </w:p>
        </w:tc>
      </w:tr>
      <w:tr>
        <w:trPr>
          <w:trHeight w:val="230"/>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 tv</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77,600</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78,200</w:t>
            </w:r>
          </w:p>
        </w:tc>
      </w:tr>
      <w:tr>
        <w:trPr>
          <w:trHeight w:val="230"/>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BBC AMERICA</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76,100</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77,000</w:t>
            </w:r>
          </w:p>
        </w:tc>
      </w:tr>
      <w:tr>
        <w:trPr>
          <w:trHeight w:val="229"/>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IFC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70,700</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71,400</w:t>
            </w:r>
          </w:p>
        </w:tc>
      </w:tr>
      <w:tr>
        <w:trPr>
          <w:trHeight w:val="230"/>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SundanceTV</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66,100</w:t>
            </w: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66,800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Estimated U.S. subscribers as measured by Nielsen.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380" w:type="dxa"/>
            <w:vAlign w:val="bottom"/>
            <w:gridSpan w:val="2"/>
          </w:tcPr>
          <w:p>
            <w:pPr>
              <w:ind w:left="480"/>
              <w:spacing w:after="0" w:line="135"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300" w:type="dxa"/>
            <w:vAlign w:val="bottom"/>
          </w:tcPr>
          <w:p>
            <w:pPr>
              <w:ind w:left="500"/>
              <w:spacing w:after="0" w:line="135"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3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74,338</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89,659</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92"/>
              </w:rPr>
              <w:t>(15,321)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672,189</w:t>
            </w:r>
          </w:p>
        </w:tc>
        <w:tc>
          <w:tcPr>
            <w:tcW w:w="1400" w:type="dxa"/>
            <w:vAlign w:val="bottom"/>
            <w:tcBorders>
              <w:bottom w:val="single" w:sz="8" w:color="CCEEFF"/>
            </w:tcBorders>
            <w:gridSpan w:val="2"/>
          </w:tcPr>
          <w:p>
            <w:pPr>
              <w:jc w:val="right"/>
              <w:ind w:right="144"/>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644,484</w:t>
            </w:r>
          </w:p>
        </w:tc>
        <w:tc>
          <w:tcPr>
            <w:tcW w:w="140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275"/>
              <w:spacing w:after="0"/>
              <w:rPr>
                <w:sz w:val="20"/>
                <w:szCs w:val="20"/>
                <w:color w:val="auto"/>
              </w:rPr>
            </w:pPr>
            <w:r>
              <w:rPr>
                <w:rFonts w:ascii="Arial" w:cs="Arial" w:eastAsia="Arial" w:hAnsi="Arial"/>
                <w:sz w:val="18"/>
                <w:szCs w:val="18"/>
                <w:color w:val="auto"/>
                <w:w w:val="87"/>
              </w:rPr>
              <w:t>27,705</w:t>
            </w:r>
          </w:p>
        </w:tc>
        <w:tc>
          <w:tcPr>
            <w:tcW w:w="140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746,527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734,143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87"/>
              </w:rPr>
              <w:t>12,384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Advertising revenues decreased $14.9 million at AMCNI, excluding the impact of foreign currency fluctuations, primarily related to pricing and lower demand resulting from the impact of the COVID-19 pandemic. Distribution revenues increased $81.4 million at AMC Networks Streaming Services due to an increase in subscribers. This increase was partially offset by a decrease of $47.7 million at Levity, due to the impact of the COVID-19 pandemic on its operations, which resulted in the temporary closure of its comedy venues, as well as a decrease of $11.7 million at AMCNI, excluding the impact of foreign currency fluctuations.</w:t>
      </w:r>
    </w:p>
    <w:p>
      <w:pPr>
        <w:spacing w:after="0" w:line="8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Distribution revenues, included in the International and Other segment, include revenues related to AMC Networks Streaming Services of approximately $176.7 million and $95.3 million for the years ended December 31, 2020 and 2019, respectively.</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Technical and operating expense (excluding depreciation and amortization) decreased $105.4 million to $1.4 billion for 2020 as compared to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change by segment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967,934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1,076,748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(108,814)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470,940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463,267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7,673</w:t>
            </w:r>
          </w:p>
        </w:tc>
        <w:tc>
          <w:tcPr>
            <w:tcW w:w="1740" w:type="dxa"/>
            <w:vAlign w:val="bottom"/>
            <w:gridSpan w:val="2"/>
          </w:tcPr>
          <w:p>
            <w:pPr>
              <w:jc w:val="right"/>
              <w:ind w:right="139"/>
              <w:spacing w:after="0"/>
              <w:rPr>
                <w:sz w:val="20"/>
                <w:szCs w:val="20"/>
                <w:color w:val="auto"/>
              </w:rPr>
            </w:pPr>
            <w:r>
              <w:rPr>
                <w:rFonts w:ascii="Arial" w:cs="Arial" w:eastAsia="Arial" w:hAnsi="Arial"/>
                <w:sz w:val="18"/>
                <w:szCs w:val="18"/>
                <w:color w:val="auto"/>
              </w:rPr>
              <w:t>1.7</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(37,283)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(33,030)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7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12.9</w:t>
            </w: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1,401,591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1,506,985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(105,394)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r>
      <w:tr>
        <w:trPr>
          <w:trHeight w:val="223"/>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decrease in technical and operating expense of $108.8 million was due to a decrease in program amortization of $83.7 million primarily attributable to a decrease in the amount of original programming as compared to the prior comparable period, which was impacted by the production delays resulting from the COVID-19 pandemic. In addition, other direct programming costs decreased $25.7 million. Program rights amortization expense includes write-offs of $85.5 million for the year ended December 31, 2020 as compared to program rights write-offs of $37.9 million for year ended December 31, 2019. Programming write-offs are based on management's periodic assessment of programming usefulness.</w:t>
      </w:r>
    </w:p>
    <w:p>
      <w:pPr>
        <w:spacing w:after="0" w:line="6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increase in technical and operating expense of $7.7 million was due to an increase of $31.1 million at AMC Networks Streaming Services primarily related to program amortization and $7.0 million of program write-offs from our RLJ Films distribution business, which was partially offset by decreases of $21.9 million related to Levity and $9.7 million at AMCNI. The decrease at Levity is due to the impact of the COVID-19 pandemic on its operations, which resulted in production stoppages and temporary closure of comedy venues.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ind w:left="42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Selling, general and administrative expense increased $29.4 million to $708.8 million, for 2020 as compared to 2019. The net change by segment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410,718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441,747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299,006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237,804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61,202</w:t>
            </w:r>
          </w:p>
        </w:tc>
        <w:tc>
          <w:tcPr>
            <w:tcW w:w="1740" w:type="dxa"/>
            <w:vAlign w:val="bottom"/>
            <w:gridSpan w:val="2"/>
          </w:tcPr>
          <w:p>
            <w:pPr>
              <w:jc w:val="right"/>
              <w:ind w:right="136"/>
              <w:spacing w:after="0"/>
              <w:rPr>
                <w:sz w:val="20"/>
                <w:szCs w:val="20"/>
                <w:color w:val="auto"/>
              </w:rPr>
            </w:pPr>
            <w:r>
              <w:rPr>
                <w:rFonts w:ascii="Arial" w:cs="Arial" w:eastAsia="Arial" w:hAnsi="Arial"/>
                <w:sz w:val="18"/>
                <w:szCs w:val="18"/>
                <w:color w:val="auto"/>
              </w:rPr>
              <w:t>25.7</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708,820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679,444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r>
      <w:tr>
        <w:trPr>
          <w:trHeight w:val="223"/>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decrease in the National Networks segment selling, general and administrative expense was principally due to a decrease in advertising and marketing expenses of $13.5 million related to the mix of original programming, which was impacted by the COVID-19 pandemic. Additionally, general and administrative costs were lower across substantially all expense categories.</w:t>
      </w:r>
    </w:p>
    <w:p>
      <w:pPr>
        <w:spacing w:after="0" w:line="7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increase in the International and Other segment selling, general and administrative expense primarily related to $90.6 million at AMC Networks Streaming Services primarily related to advertising and subscriber acquisition expenses, which was partially offset by decreases of $17.9 million at Levity primarily related to the impact of the COVID-19 pandemic and $4.7 million at AMCNI, excluding the impact of foreign currency fluctuations. Foreign currency translation had a favorable impact to the change in selling, general and administrative expense of $1.6 million.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increased $3.5 million to $104.6 million for 2020 as compared to 2019. The net change by segment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93"/>
              </w:rPr>
              <w:t>7,865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75"/>
              <w:spacing w:after="0"/>
              <w:rPr>
                <w:sz w:val="20"/>
                <w:szCs w:val="20"/>
                <w:color w:val="auto"/>
              </w:rPr>
            </w:pPr>
            <w:r>
              <w:rPr>
                <w:rFonts w:ascii="Arial" w:cs="Arial" w:eastAsia="Arial" w:hAnsi="Arial"/>
                <w:sz w:val="18"/>
                <w:szCs w:val="18"/>
                <w:color w:val="auto"/>
                <w:w w:val="91"/>
              </w:rPr>
              <w:t>(4,357)</w:t>
            </w:r>
          </w:p>
        </w:tc>
        <w:tc>
          <w:tcPr>
            <w:tcW w:w="178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(6.4)</w:t>
            </w: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93"/>
              </w:rPr>
              <w:t>3,508</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increase in depreciation and amortization expense in the National Networks segment was primarily due to depreciation of equipment at our AMC Networks Broadcasting and Technology facilities. The decrease in depreciation and amortization expense in the International and Other segment was primarily due to the lower carrying values of long-lived assets resulting from the impairment charge recognized in June 2020.</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charges</w:t>
      </w:r>
    </w:p>
    <w:p>
      <w:pPr>
        <w:spacing w:after="0" w:line="121"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During 2020, as a result of the continuing impact of the COVID-19 pandemic, we qualitatively assessed whether it was more likely than not that goodwill and long-lived assets were impaired. Based on our current projections and updated forecasts, we determined that sufficient indicators of potential impairment of long-lived assets existed and, in connection with the preparation of the Company's second quarter financial information, the Company performed a recoverability test of certain long-lived asset groups within the AMCNI reporting unit. This resulted in an impairment charge of $97.1 million primarily related to certain identifiable intangible assets, as well as property and equipment, and operating lease right-of-use assets. The Company then performed a goodwill impairment test and determined that the carrying value of the AMCNI reporting unit exceeded its fair value, resulting in an impairment charge of $25.1 million.</w:t>
      </w:r>
    </w:p>
    <w:p>
      <w:pPr>
        <w:spacing w:after="0" w:line="83"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December 2019, in connection with the preparation of our fourth quarter financial information, we performed our annual goodwill impairment test and concluded that the estimated fair value of our AMCNI reporting unit declined to less than its carrying amount. The decrease in the estimated fair value was in response to current and expected trends across the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5" w:name="page46"/>
    <w:bookmarkEnd w:id="45"/>
    <w:p>
      <w:pPr>
        <w:jc w:val="both"/>
        <w:spacing w:after="0" w:line="294" w:lineRule="auto"/>
        <w:rPr>
          <w:sz w:val="20"/>
          <w:szCs w:val="20"/>
          <w:color w:val="auto"/>
        </w:rPr>
      </w:pPr>
      <w:r>
        <w:rPr>
          <w:rFonts w:ascii="Arial" w:cs="Arial" w:eastAsia="Arial" w:hAnsi="Arial"/>
          <w:sz w:val="16"/>
          <w:szCs w:val="16"/>
          <w:color w:val="auto"/>
        </w:rPr>
        <w:t>International television broadcasting markets, as well as a decrease in the financial multiples used to estimate the fair value using the market approach. As a result, we recognized an impairment charge of $98.0 million in 2019, reflecting a partial write-down of the goodwill associated with the AMCNI reporting unit. Additionally, during 2019, in connection with the dispositions of certain businesses, AMCNI recognized impairment charges of $8.6 million.</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 November 2020, management commenced a restructuring plan (the “2020 Plan”) designed to streamline the Company’s operations through a reduction of its domestic workforce. The 2020 Plan is intended to improve the organizational design of the Company through the elimination of certain roles and centralization of certain functional areas of the Company. In connection with the 2020 Plan, the Company incurred severance costs of $21.2 million. Additionally during 2020, the Company incurred restructuring charges of $6.2 million at AMCNI related to costs associated with the termination of distribution in certain territories and restructuring charges of $7.7 million related to prior restructuring activities in domestic operations.</w:t>
      </w:r>
    </w:p>
    <w:p>
      <w:pPr>
        <w:spacing w:after="0" w:line="6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Restructuring and other related charges of $40.9 million for the year ended December 2019 primarily related to the management re-organization commenced in September 2019. In connection with this re-organization, a number of roles were eliminated to improve the effectiveness of management while reducing the cost structure of the Company. As a result, we incurred restructuring charges of $26.0 million. In addition, charges associated with the AMC Networks Streaming Services re-organization consisted of severance and other personnel related costs of $1.9 million and programming write-offs of $13.0 million related to a change in programming strategy.</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(224,228)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(170,039)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(54,189)</w:t>
            </w:r>
          </w:p>
        </w:tc>
        <w:tc>
          <w:tcPr>
            <w:tcW w:w="1780" w:type="dxa"/>
            <w:vAlign w:val="bottom"/>
            <w:gridSpan w:val="2"/>
          </w:tcPr>
          <w:p>
            <w:pPr>
              <w:jc w:val="right"/>
              <w:ind w:right="136"/>
              <w:spacing w:after="0"/>
              <w:rPr>
                <w:sz w:val="20"/>
                <w:szCs w:val="20"/>
                <w:color w:val="auto"/>
              </w:rPr>
            </w:pPr>
            <w:r>
              <w:rPr>
                <w:rFonts w:ascii="Arial" w:cs="Arial" w:eastAsia="Arial" w:hAnsi="Arial"/>
                <w:sz w:val="18"/>
                <w:szCs w:val="18"/>
                <w:color w:val="auto"/>
              </w:rPr>
              <w:t>31.9</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6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442,644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625,277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(182,633)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(29.2)%</w:t>
            </w: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decrease in operating income at the National Networks segment was primarily attributable to a decrease in revenues of $272.9 million, an increase in restructuring charges of $7.1 million and an increase in depreciation and amortization of $7.9 million, partially offset by a decrease in technical and operating expense of $108.8 million and a decrease in selling, general and administrative expense of $31.0 million.</w:t>
      </w:r>
    </w:p>
    <w:p>
      <w:pPr>
        <w:spacing w:after="0" w:line="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operating loss at the International and Other segment, excluding the impact of foreign currency fluctuations, was primarily attributable to an increase in technical and operating expense of $8.5 million, an increase in selling, general and administrative expense of $62.6 million and an increase in impairment charges of $10.7 million, partially offset by an increase in revenues of $12.9 million, a decrease in restructuring charges of $13.3 million and a decrease in depreciation and amortization of $4.3 million. Foreign currency translation had an unfavorable impact to the change in operating loss of $2.8 million.</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our consolidated operating income to consolidated AOI:</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3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720" w:type="dxa"/>
            <w:vAlign w:val="bottom"/>
            <w:gridSpan w:val="2"/>
          </w:tcPr>
          <w:p>
            <w:pPr>
              <w:ind w:left="52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442,644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625,277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(182,633)</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95"/>
              </w:rPr>
              <w:t>(29.2)%</w:t>
            </w:r>
          </w:p>
        </w:tc>
        <w:tc>
          <w:tcPr>
            <w:tcW w:w="6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(11,225)</w:t>
            </w: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7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122,227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15,624</w:t>
            </w:r>
          </w:p>
        </w:tc>
        <w:tc>
          <w:tcPr>
            <w:tcW w:w="1780" w:type="dxa"/>
            <w:vAlign w:val="bottom"/>
            <w:gridSpan w:val="2"/>
          </w:tcPr>
          <w:p>
            <w:pPr>
              <w:jc w:val="right"/>
              <w:ind w:right="136"/>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 owned equity investees AOI</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7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19"/>
                <w:szCs w:val="19"/>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766,611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(177,379)</w:t>
            </w: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w w:val="95"/>
              </w:rPr>
              <w:t>(18.8)%</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71"/>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5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t>AOI decreased $177.4 million to $766.6 million for 2020 as compared to 2019. The net change by segment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(143,473)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(54,082)</w:t>
            </w:r>
          </w:p>
        </w:tc>
        <w:tc>
          <w:tcPr>
            <w:tcW w:w="1780" w:type="dxa"/>
            <w:vAlign w:val="bottom"/>
            <w:gridSpan w:val="2"/>
          </w:tcPr>
          <w:p>
            <w:pPr>
              <w:jc w:val="right"/>
              <w:ind w:right="96"/>
              <w:spacing w:after="0"/>
              <w:rPr>
                <w:sz w:val="20"/>
                <w:szCs w:val="20"/>
                <w:color w:val="auto"/>
              </w:rPr>
            </w:pPr>
            <w:r>
              <w:rPr>
                <w:rFonts w:ascii="Arial" w:cs="Arial" w:eastAsia="Arial" w:hAnsi="Arial"/>
                <w:sz w:val="18"/>
                <w:szCs w:val="18"/>
                <w:color w:val="auto"/>
              </w:rPr>
              <w:t>(107.7)</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AOI</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766,611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(177,379)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decrease in AOI at the National Networks segment is principally due to the decrease in operating income. The decrease in AOI at the International and Other segment is principally due to the increase in operating loss.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interest expense, net of $24.5 million is primarily due to lower interest rates on our credit facility and lower average outstanding long-term debt balances.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we redeemed $200 million principal amount of the then-outstanding $600 million principal amount of our 4.75% Notes due 2022. The loss on extinguishment of debt for the year ended December 31, 2020 of $2.9 million represents the redemption premium, the write-off of a portion of the unamortized discount and deferred financing costs.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increase in miscellaneous, net of $77.2 million in 2020 as compared to 2019 was primarily related to an increase in net realized and unrealized gains of $92.0 million from certain marketable equity securities, partially offset by an unfavorable variance of $15.0 million in the foreign currency remeasurement of monetary assets and liabilities (principally intercompany loans) that are denominated in currencies other than the underlying functional currency of the applicable entity.</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Income tax expense was $145.4 million for the year ended December 31, 2020, representing an effective tax rate of 36%. The effective tax rate differs from the federal statutory rate of 21% due primarily to tax expense of $41.7 million for an increase in valuation allowances for foreign deferred tax assets; state and local income tax expense of $14.7 million, tax expense of $8.4 million for excess tax deficiencies related to share-based compensation and tax expense from foreign operations of $6.8 million partially offset by tax benefit of $5.3 million relating to uncertain tax positions (including accrued interest).</w:t>
      </w:r>
    </w:p>
    <w:p>
      <w:pPr>
        <w:spacing w:after="0" w:line="8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Income tax expense was $78.5 million for the year ended December 31, 2019, representing an effective tax rate of 16%. The effective tax rate differs from the federal statutory rate of 21% due primarily to tax benefit of $21.0 million resulting from a net decrease in valuation allowances for foreign deferred tax assets, tax benefit of $11.5 million from a deferred tax adjustment to record the impact of an investment tax credit under the deferral method of accounting, partially offset by state and local income tax expense of $12.2 million and $9.0 of tax expense from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14"/>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13"/>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1"/>
                <w:szCs w:val="11"/>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1"/>
                <w:szCs w:val="11"/>
                <w:color w:val="auto"/>
              </w:rPr>
            </w:pPr>
          </w:p>
        </w:tc>
        <w:tc>
          <w:tcPr>
            <w:tcW w:w="11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1,506,985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1,445,949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61,036</w:t>
            </w:r>
          </w:p>
        </w:tc>
        <w:tc>
          <w:tcPr>
            <w:tcW w:w="1260" w:type="dxa"/>
            <w:vAlign w:val="bottom"/>
            <w:gridSpan w:val="2"/>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679,444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657,457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21,987</w:t>
            </w:r>
          </w:p>
        </w:tc>
        <w:tc>
          <w:tcPr>
            <w:tcW w:w="1260" w:type="dxa"/>
            <w:vAlign w:val="bottom"/>
            <w:gridSpan w:val="2"/>
          </w:tcPr>
          <w:p>
            <w:pPr>
              <w:jc w:val="right"/>
              <w:ind w:right="13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12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Impairment charges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106,603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102,117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26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2,435,044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190,024</w:t>
            </w:r>
          </w:p>
        </w:tc>
        <w:tc>
          <w:tcPr>
            <w:tcW w:w="1260" w:type="dxa"/>
            <w:vAlign w:val="bottom"/>
            <w:tcBorders>
              <w:bottom w:val="single" w:sz="8" w:color="CCEEFF"/>
            </w:tcBorders>
            <w:gridSpan w:val="2"/>
          </w:tcPr>
          <w:p>
            <w:pPr>
              <w:jc w:val="right"/>
              <w:ind w:right="136"/>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26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(35,177)</w:t>
            </w:r>
          </w:p>
        </w:tc>
        <w:tc>
          <w:tcPr>
            <w:tcW w:w="1260" w:type="dxa"/>
            <w:vAlign w:val="bottom"/>
            <w:tcBorders>
              <w:bottom w:val="single" w:sz="8" w:color="CCEEFF"/>
            </w:tcBorders>
            <w:gridSpan w:val="2"/>
          </w:tcPr>
          <w:p>
            <w:pPr>
              <w:jc w:val="right"/>
              <w:ind w:right="96"/>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12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56"/>
        </w:trPr>
        <w:tc>
          <w:tcPr>
            <w:tcW w:w="3820" w:type="dxa"/>
            <w:vAlign w:val="bottom"/>
          </w:tcPr>
          <w:p>
            <w:pPr>
              <w:ind w:left="680"/>
              <w:spacing w:after="0" w:line="156" w:lineRule="exact"/>
              <w:rPr>
                <w:sz w:val="20"/>
                <w:szCs w:val="20"/>
                <w:color w:val="auto"/>
              </w:rPr>
            </w:pPr>
            <w:r>
              <w:rPr>
                <w:rFonts w:ascii="Arial" w:cs="Arial" w:eastAsia="Arial" w:hAnsi="Arial"/>
                <w:sz w:val="18"/>
                <w:szCs w:val="18"/>
                <w:color w:val="auto"/>
              </w:rPr>
              <w:t>Income from operations before income</w:t>
            </w: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486,186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34"/>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620,273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33"/>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(134,087)</w:t>
            </w:r>
          </w:p>
        </w:tc>
        <w:tc>
          <w:tcPr>
            <w:tcW w:w="1260" w:type="dxa"/>
            <w:vAlign w:val="bottom"/>
            <w:gridSpan w:val="2"/>
            <w:vMerge w:val="restart"/>
          </w:tcPr>
          <w:p>
            <w:pPr>
              <w:jc w:val="right"/>
              <w:ind w:right="96"/>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3820" w:type="dxa"/>
            <w:vAlign w:val="bottom"/>
          </w:tcPr>
          <w:p>
            <w:pPr>
              <w:ind w:left="92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77,836</w:t>
            </w:r>
          </w:p>
        </w:tc>
        <w:tc>
          <w:tcPr>
            <w:tcW w:w="126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407,716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463,967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(56,251)</w:t>
            </w:r>
          </w:p>
        </w:tc>
        <w:tc>
          <w:tcPr>
            <w:tcW w:w="1260" w:type="dxa"/>
            <w:vAlign w:val="bottom"/>
            <w:gridSpan w:val="2"/>
          </w:tcPr>
          <w:p>
            <w:pPr>
              <w:jc w:val="right"/>
              <w:ind w:right="96"/>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12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55"/>
        </w:trPr>
        <w:tc>
          <w:tcPr>
            <w:tcW w:w="3820" w:type="dxa"/>
            <w:vAlign w:val="bottom"/>
          </w:tcPr>
          <w:p>
            <w:pPr>
              <w:ind w:left="20"/>
              <w:spacing w:after="0" w:line="156" w:lineRule="exact"/>
              <w:rPr>
                <w:sz w:val="20"/>
                <w:szCs w:val="20"/>
                <w:color w:val="auto"/>
              </w:rPr>
            </w:pPr>
            <w:r>
              <w:rPr>
                <w:rFonts w:ascii="Arial" w:cs="Arial" w:eastAsia="Arial" w:hAnsi="Arial"/>
                <w:sz w:val="18"/>
                <w:szCs w:val="18"/>
                <w:color w:val="auto"/>
              </w:rPr>
              <w:t>Net income attributable to AMC Networks'</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380,486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446,187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(65,701)</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8"/>
        </w:trPr>
        <w:tc>
          <w:tcPr>
            <w:tcW w:w="3820" w:type="dxa"/>
            <w:vAlign w:val="bottom"/>
          </w:tcPr>
          <w:p>
            <w:pPr>
              <w:ind w:left="260"/>
              <w:spacing w:after="0" w:line="202" w:lineRule="exact"/>
              <w:rPr>
                <w:sz w:val="20"/>
                <w:szCs w:val="20"/>
                <w:color w:val="auto"/>
              </w:rPr>
            </w:pPr>
            <w:r>
              <w:rPr>
                <w:rFonts w:ascii="Arial" w:cs="Arial" w:eastAsia="Arial" w:hAnsi="Arial"/>
                <w:sz w:val="18"/>
                <w:szCs w:val="18"/>
                <w:color w:val="auto"/>
              </w:rPr>
              <w:t>stockholders</w:t>
            </w:r>
          </w:p>
        </w:tc>
        <w:tc>
          <w:tcPr>
            <w:tcW w:w="2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b w:val="1"/>
          <w:bCs w:val="1"/>
          <w:color w:val="auto"/>
        </w:rPr>
        <w:t>National Networks Segment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4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4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1"/>
                <w:szCs w:val="11"/>
                <w:color w:val="auto"/>
              </w:rPr>
            </w:pPr>
          </w:p>
        </w:tc>
        <w:tc>
          <w:tcPr>
            <w:tcW w:w="12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net</w:t>
            </w: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2,369,044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2,413,325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1,076,748</w:t>
            </w:r>
          </w:p>
        </w:tc>
        <w:tc>
          <w:tcPr>
            <w:tcW w:w="1440" w:type="dxa"/>
            <w:vAlign w:val="bottom"/>
            <w:gridSpan w:val="3"/>
            <w:vMerge w:val="restart"/>
            <w:shd w:val="clear" w:color="auto" w:fill="CCEEFF"/>
          </w:tcPr>
          <w:p>
            <w:pPr>
              <w:jc w:val="right"/>
              <w:ind w:right="144"/>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1,080,732</w:t>
            </w:r>
          </w:p>
        </w:tc>
        <w:tc>
          <w:tcPr>
            <w:tcW w:w="1420" w:type="dxa"/>
            <w:vAlign w:val="bottom"/>
            <w:gridSpan w:val="3"/>
            <w:vMerge w:val="restart"/>
            <w:shd w:val="clear" w:color="auto" w:fill="CCEEFF"/>
          </w:tcPr>
          <w:p>
            <w:pPr>
              <w:jc w:val="right"/>
              <w:ind w:right="144"/>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360" w:type="dxa"/>
            <w:vAlign w:val="bottom"/>
            <w:gridSpan w:val="2"/>
            <w:vMerge w:val="restart"/>
            <w:shd w:val="clear" w:color="auto" w:fill="CCEEFF"/>
          </w:tcPr>
          <w:p>
            <w:pPr>
              <w:jc w:val="right"/>
              <w:ind w:right="99"/>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4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2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441,747</w:t>
            </w:r>
          </w:p>
        </w:tc>
        <w:tc>
          <w:tcPr>
            <w:tcW w:w="1440" w:type="dxa"/>
            <w:vAlign w:val="bottom"/>
            <w:gridSpan w:val="3"/>
          </w:tcPr>
          <w:p>
            <w:pPr>
              <w:jc w:val="right"/>
              <w:ind w:right="14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455,935</w:t>
            </w:r>
          </w:p>
        </w:tc>
        <w:tc>
          <w:tcPr>
            <w:tcW w:w="1420" w:type="dxa"/>
            <w:vAlign w:val="bottom"/>
            <w:gridSpan w:val="3"/>
          </w:tcPr>
          <w:p>
            <w:pPr>
              <w:jc w:val="right"/>
              <w:ind w:right="144"/>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(14,188)</w:t>
            </w:r>
          </w:p>
        </w:tc>
        <w:tc>
          <w:tcPr>
            <w:tcW w:w="1360" w:type="dxa"/>
            <w:vAlign w:val="bottom"/>
            <w:gridSpan w:val="2"/>
          </w:tcPr>
          <w:p>
            <w:pPr>
              <w:jc w:val="right"/>
              <w:ind w:right="9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144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14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13,453</w:t>
            </w:r>
          </w:p>
        </w:tc>
        <w:tc>
          <w:tcPr>
            <w:tcW w:w="1440" w:type="dxa"/>
            <w:vAlign w:val="bottom"/>
            <w:gridSpan w:val="3"/>
          </w:tcPr>
          <w:p>
            <w:pPr>
              <w:jc w:val="right"/>
              <w:ind w:right="14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17,160</w:t>
            </w:r>
          </w:p>
        </w:tc>
        <w:tc>
          <w:tcPr>
            <w:tcW w:w="1420" w:type="dxa"/>
            <w:vAlign w:val="bottom"/>
            <w:gridSpan w:val="3"/>
          </w:tcPr>
          <w:p>
            <w:pPr>
              <w:jc w:val="right"/>
              <w:ind w:right="14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(3,707)</w:t>
            </w:r>
          </w:p>
        </w:tc>
        <w:tc>
          <w:tcPr>
            <w:tcW w:w="1360" w:type="dxa"/>
            <w:vAlign w:val="bottom"/>
            <w:gridSpan w:val="2"/>
          </w:tcPr>
          <w:p>
            <w:pPr>
              <w:jc w:val="right"/>
              <w:ind w:right="99"/>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804,422</w:t>
            </w:r>
          </w:p>
        </w:tc>
        <w:tc>
          <w:tcPr>
            <w:tcW w:w="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CCEEFF"/>
            </w:tcBorders>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825,770</w:t>
            </w:r>
          </w:p>
        </w:tc>
        <w:tc>
          <w:tcPr>
            <w:tcW w:w="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CCEEFF"/>
            </w:tcBorders>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34.2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w:t>
            </w:r>
          </w:p>
        </w:tc>
        <w:tc>
          <w:tcPr>
            <w:tcW w:w="1360" w:type="dxa"/>
            <w:vAlign w:val="bottom"/>
            <w:tcBorders>
              <w:top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52,977</w:t>
            </w:r>
          </w:p>
        </w:tc>
        <w:tc>
          <w:tcPr>
            <w:tcW w:w="1440" w:type="dxa"/>
            <w:vAlign w:val="bottom"/>
            <w:gridSpan w:val="3"/>
          </w:tcPr>
          <w:p>
            <w:pPr>
              <w:jc w:val="right"/>
              <w:ind w:right="14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48,621</w:t>
            </w:r>
          </w:p>
        </w:tc>
        <w:tc>
          <w:tcPr>
            <w:tcW w:w="1420" w:type="dxa"/>
            <w:vAlign w:val="bottom"/>
            <w:gridSpan w:val="3"/>
          </w:tcPr>
          <w:p>
            <w:pPr>
              <w:jc w:val="right"/>
              <w:ind w:right="14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4,356</w:t>
            </w:r>
          </w:p>
        </w:tc>
        <w:tc>
          <w:tcPr>
            <w:tcW w:w="1360" w:type="dxa"/>
            <w:vAlign w:val="bottom"/>
            <w:gridSpan w:val="2"/>
          </w:tcPr>
          <w:p>
            <w:pPr>
              <w:jc w:val="right"/>
              <w:ind w:right="139"/>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144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14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13,453</w:t>
            </w:r>
          </w:p>
        </w:tc>
        <w:tc>
          <w:tcPr>
            <w:tcW w:w="60" w:type="dxa"/>
            <w:vAlign w:val="bottom"/>
            <w:tcBorders>
              <w:bottom w:val="single" w:sz="8" w:color="auto"/>
            </w:tcBorders>
          </w:tcPr>
          <w:p>
            <w:pPr>
              <w:spacing w:after="0"/>
              <w:rPr>
                <w:sz w:val="19"/>
                <w:szCs w:val="19"/>
                <w:color w:val="auto"/>
              </w:rPr>
            </w:pPr>
          </w:p>
        </w:tc>
        <w:tc>
          <w:tcPr>
            <w:tcW w:w="1380" w:type="dxa"/>
            <w:vAlign w:val="bottom"/>
            <w:tcBorders>
              <w:bottom w:val="single" w:sz="8" w:color="CCEEFF"/>
            </w:tcBorders>
            <w:gridSpan w:val="2"/>
          </w:tcPr>
          <w:p>
            <w:pPr>
              <w:jc w:val="right"/>
              <w:ind w:right="14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17,160</w:t>
            </w:r>
          </w:p>
        </w:tc>
        <w:tc>
          <w:tcPr>
            <w:tcW w:w="60" w:type="dxa"/>
            <w:vAlign w:val="bottom"/>
            <w:tcBorders>
              <w:bottom w:val="single" w:sz="8" w:color="auto"/>
            </w:tcBorders>
          </w:tcPr>
          <w:p>
            <w:pPr>
              <w:spacing w:after="0"/>
              <w:rPr>
                <w:sz w:val="19"/>
                <w:szCs w:val="19"/>
                <w:color w:val="auto"/>
              </w:rPr>
            </w:pPr>
          </w:p>
        </w:tc>
        <w:tc>
          <w:tcPr>
            <w:tcW w:w="1360" w:type="dxa"/>
            <w:vAlign w:val="bottom"/>
            <w:tcBorders>
              <w:bottom w:val="single" w:sz="8" w:color="CCEEFF"/>
            </w:tcBorders>
            <w:gridSpan w:val="2"/>
          </w:tcPr>
          <w:p>
            <w:pPr>
              <w:jc w:val="right"/>
              <w:ind w:right="14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w:t>
            </w:r>
          </w:p>
        </w:tc>
        <w:tc>
          <w:tcPr>
            <w:tcW w:w="136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903,526</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925,279</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2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44"/>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Revenues,</w:t>
            </w:r>
          </w:p>
        </w:tc>
        <w:tc>
          <w:tcPr>
            <w:tcW w:w="200" w:type="dxa"/>
            <w:vAlign w:val="bottom"/>
          </w:tcPr>
          <w:p>
            <w:pPr>
              <w:spacing w:after="0"/>
              <w:rPr>
                <w:sz w:val="11"/>
                <w:szCs w:val="11"/>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2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net</w:t>
            </w: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734,143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598,306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135,837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463,267</w:t>
            </w:r>
          </w:p>
        </w:tc>
        <w:tc>
          <w:tcPr>
            <w:tcW w:w="1400" w:type="dxa"/>
            <w:vAlign w:val="bottom"/>
            <w:gridSpan w:val="3"/>
            <w:vMerge w:val="restart"/>
            <w:shd w:val="clear" w:color="auto" w:fill="CCEEFF"/>
          </w:tcPr>
          <w:p>
            <w:pPr>
              <w:jc w:val="right"/>
              <w:ind w:right="144"/>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392,793</w:t>
            </w:r>
          </w:p>
        </w:tc>
        <w:tc>
          <w:tcPr>
            <w:tcW w:w="1400" w:type="dxa"/>
            <w:vAlign w:val="bottom"/>
            <w:gridSpan w:val="3"/>
            <w:vMerge w:val="restart"/>
            <w:shd w:val="clear" w:color="auto" w:fill="CCEEFF"/>
          </w:tcPr>
          <w:p>
            <w:pPr>
              <w:jc w:val="right"/>
              <w:ind w:right="144"/>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70,474</w:t>
            </w:r>
          </w:p>
        </w:tc>
        <w:tc>
          <w:tcPr>
            <w:tcW w:w="1360" w:type="dxa"/>
            <w:vAlign w:val="bottom"/>
            <w:gridSpan w:val="2"/>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237,804</w:t>
            </w:r>
          </w:p>
        </w:tc>
        <w:tc>
          <w:tcPr>
            <w:tcW w:w="1400" w:type="dxa"/>
            <w:vAlign w:val="bottom"/>
            <w:gridSpan w:val="3"/>
          </w:tcPr>
          <w:p>
            <w:pPr>
              <w:jc w:val="right"/>
              <w:ind w:right="144"/>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201,611</w:t>
            </w:r>
          </w:p>
        </w:tc>
        <w:tc>
          <w:tcPr>
            <w:tcW w:w="1400" w:type="dxa"/>
            <w:vAlign w:val="bottom"/>
            <w:gridSpan w:val="3"/>
          </w:tcPr>
          <w:p>
            <w:pPr>
              <w:jc w:val="right"/>
              <w:ind w:right="144"/>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36,193</w:t>
            </w:r>
          </w:p>
        </w:tc>
        <w:tc>
          <w:tcPr>
            <w:tcW w:w="1360" w:type="dxa"/>
            <w:vAlign w:val="bottom"/>
            <w:gridSpan w:val="2"/>
          </w:tcPr>
          <w:p>
            <w:pPr>
              <w:jc w:val="right"/>
              <w:ind w:right="134"/>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68,424</w:t>
            </w:r>
          </w:p>
        </w:tc>
        <w:tc>
          <w:tcPr>
            <w:tcW w:w="140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57,553</w:t>
            </w:r>
          </w:p>
        </w:tc>
        <w:tc>
          <w:tcPr>
            <w:tcW w:w="140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3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352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106,603</w:t>
            </w:r>
          </w:p>
        </w:tc>
        <w:tc>
          <w:tcPr>
            <w:tcW w:w="1400" w:type="dxa"/>
            <w:vAlign w:val="bottom"/>
            <w:gridSpan w:val="3"/>
          </w:tcPr>
          <w:p>
            <w:pPr>
              <w:jc w:val="right"/>
              <w:ind w:right="14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4,486</w:t>
            </w:r>
          </w:p>
        </w:tc>
        <w:tc>
          <w:tcPr>
            <w:tcW w:w="1400" w:type="dxa"/>
            <w:vAlign w:val="bottom"/>
            <w:gridSpan w:val="3"/>
          </w:tcPr>
          <w:p>
            <w:pPr>
              <w:jc w:val="right"/>
              <w:ind w:right="14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102,117</w:t>
            </w:r>
          </w:p>
        </w:tc>
        <w:tc>
          <w:tcPr>
            <w:tcW w:w="100" w:type="dxa"/>
            <w:vAlign w:val="bottom"/>
          </w:tcPr>
          <w:p>
            <w:pPr>
              <w:spacing w:after="0"/>
              <w:rPr>
                <w:sz w:val="19"/>
                <w:szCs w:val="19"/>
                <w:color w:val="auto"/>
              </w:rPr>
            </w:pP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28,084</w:t>
            </w:r>
          </w:p>
        </w:tc>
        <w:tc>
          <w:tcPr>
            <w:tcW w:w="140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35,189</w:t>
            </w:r>
          </w:p>
        </w:tc>
        <w:tc>
          <w:tcPr>
            <w:tcW w:w="140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136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(170,039)</w:t>
            </w:r>
          </w:p>
        </w:tc>
        <w:tc>
          <w:tcPr>
            <w:tcW w:w="20" w:type="dxa"/>
            <w:vAlign w:val="bottom"/>
            <w:tcBorders>
              <w:top w:val="single" w:sz="8" w:color="auto"/>
            </w:tcBorders>
          </w:tcPr>
          <w:p>
            <w:pPr>
              <w:spacing w:after="0"/>
              <w:rPr>
                <w:sz w:val="19"/>
                <w:szCs w:val="19"/>
                <w:color w:val="auto"/>
              </w:rPr>
            </w:pPr>
          </w:p>
        </w:tc>
        <w:tc>
          <w:tcPr>
            <w:tcW w:w="1380" w:type="dxa"/>
            <w:vAlign w:val="bottom"/>
            <w:gridSpan w:val="2"/>
          </w:tcPr>
          <w:p>
            <w:pPr>
              <w:jc w:val="right"/>
              <w:ind w:right="104"/>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(93,326)</w:t>
            </w:r>
          </w:p>
        </w:tc>
        <w:tc>
          <w:tcPr>
            <w:tcW w:w="20" w:type="dxa"/>
            <w:vAlign w:val="bottom"/>
            <w:tcBorders>
              <w:top w:val="single" w:sz="8" w:color="auto"/>
            </w:tcBorders>
          </w:tcPr>
          <w:p>
            <w:pPr>
              <w:spacing w:after="0"/>
              <w:rPr>
                <w:sz w:val="19"/>
                <w:szCs w:val="19"/>
                <w:color w:val="auto"/>
              </w:rPr>
            </w:pPr>
          </w:p>
        </w:tc>
        <w:tc>
          <w:tcPr>
            <w:tcW w:w="1380" w:type="dxa"/>
            <w:vAlign w:val="bottom"/>
            <w:gridSpan w:val="2"/>
          </w:tcPr>
          <w:p>
            <w:pPr>
              <w:jc w:val="right"/>
              <w:ind w:right="104"/>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(76,713)</w:t>
            </w:r>
          </w:p>
        </w:tc>
        <w:tc>
          <w:tcPr>
            <w:tcW w:w="1360" w:type="dxa"/>
            <w:vAlign w:val="bottom"/>
            <w:gridSpan w:val="2"/>
          </w:tcPr>
          <w:p>
            <w:pPr>
              <w:jc w:val="right"/>
              <w:ind w:right="134"/>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40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140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36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68,424</w:t>
            </w:r>
          </w:p>
        </w:tc>
        <w:tc>
          <w:tcPr>
            <w:tcW w:w="1400" w:type="dxa"/>
            <w:vAlign w:val="bottom"/>
            <w:gridSpan w:val="3"/>
          </w:tcPr>
          <w:p>
            <w:pPr>
              <w:jc w:val="right"/>
              <w:ind w:right="144"/>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57,553</w:t>
            </w:r>
          </w:p>
        </w:tc>
        <w:tc>
          <w:tcPr>
            <w:tcW w:w="1400" w:type="dxa"/>
            <w:vAlign w:val="bottom"/>
            <w:gridSpan w:val="3"/>
          </w:tcPr>
          <w:p>
            <w:pPr>
              <w:jc w:val="right"/>
              <w:ind w:right="144"/>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10,871</w:t>
            </w:r>
          </w:p>
        </w:tc>
        <w:tc>
          <w:tcPr>
            <w:tcW w:w="1360" w:type="dxa"/>
            <w:vAlign w:val="bottom"/>
            <w:gridSpan w:val="2"/>
          </w:tcPr>
          <w:p>
            <w:pPr>
              <w:jc w:val="right"/>
              <w:ind w:right="134"/>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140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40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102,117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28,084</w:t>
            </w:r>
          </w:p>
        </w:tc>
        <w:tc>
          <w:tcPr>
            <w:tcW w:w="1400" w:type="dxa"/>
            <w:vAlign w:val="bottom"/>
            <w:gridSpan w:val="3"/>
          </w:tcPr>
          <w:p>
            <w:pPr>
              <w:jc w:val="right"/>
              <w:ind w:right="14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35,189</w:t>
            </w:r>
          </w:p>
        </w:tc>
        <w:tc>
          <w:tcPr>
            <w:tcW w:w="1400" w:type="dxa"/>
            <w:vAlign w:val="bottom"/>
            <w:gridSpan w:val="3"/>
          </w:tcPr>
          <w:p>
            <w:pPr>
              <w:jc w:val="right"/>
              <w:ind w:right="14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(7,105)</w:t>
            </w:r>
          </w:p>
        </w:tc>
        <w:tc>
          <w:tcPr>
            <w:tcW w:w="1360" w:type="dxa"/>
            <w:vAlign w:val="bottom"/>
            <w:gridSpan w:val="2"/>
          </w:tcPr>
          <w:p>
            <w:pPr>
              <w:jc w:val="right"/>
              <w:ind w:right="9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20" w:type="dxa"/>
            <w:vAlign w:val="bottom"/>
            <w:tcBorders>
              <w:bottom w:val="single" w:sz="8" w:color="auto"/>
            </w:tcBorders>
            <w:shd w:val="clear" w:color="auto" w:fill="CCEEFF"/>
          </w:tcPr>
          <w:p>
            <w:pPr>
              <w:spacing w:after="0"/>
              <w:rPr>
                <w:sz w:val="19"/>
                <w:szCs w:val="19"/>
                <w:color w:val="auto"/>
              </w:rPr>
            </w:pPr>
          </w:p>
        </w:tc>
        <w:tc>
          <w:tcPr>
            <w:tcW w:w="13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20" w:type="dxa"/>
            <w:vAlign w:val="bottom"/>
            <w:tcBorders>
              <w:bottom w:val="single" w:sz="8" w:color="auto"/>
            </w:tcBorders>
            <w:shd w:val="clear" w:color="auto" w:fill="CCEEFF"/>
          </w:tcPr>
          <w:p>
            <w:pPr>
              <w:spacing w:after="0"/>
              <w:rPr>
                <w:sz w:val="19"/>
                <w:szCs w:val="19"/>
                <w:color w:val="auto"/>
              </w:rPr>
            </w:pPr>
          </w:p>
        </w:tc>
        <w:tc>
          <w:tcPr>
            <w:tcW w:w="13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color w:val="auto"/>
              </w:rPr>
              <w:t>AOI</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50,193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19,303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30,890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160.0 %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3"/>
          </w:tcPr>
          <w:p>
            <w:pPr>
              <w:jc w:val="right"/>
              <w:ind w:right="22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Revenues, net increased $88.4 million to $3.1 billion for the year ended December 31, 2019 as compared to the year ended December 31, 2018.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1380" w:type="dxa"/>
            <w:vAlign w:val="bottom"/>
            <w:gridSpan w:val="2"/>
          </w:tcPr>
          <w:p>
            <w:pPr>
              <w:ind w:left="480"/>
              <w:spacing w:after="0" w:line="135"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280" w:type="dxa"/>
            <w:vAlign w:val="bottom"/>
          </w:tcPr>
          <w:p>
            <w:pPr>
              <w:ind w:left="500"/>
              <w:spacing w:after="0" w:line="135"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3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2,369,044</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2,413,325</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734,143</w:t>
            </w:r>
          </w:p>
        </w:tc>
        <w:tc>
          <w:tcPr>
            <w:tcW w:w="1400" w:type="dxa"/>
            <w:vAlign w:val="bottom"/>
            <w:gridSpan w:val="2"/>
          </w:tcPr>
          <w:p>
            <w:pPr>
              <w:jc w:val="right"/>
              <w:ind w:right="14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598,306</w:t>
            </w:r>
          </w:p>
        </w:tc>
        <w:tc>
          <w:tcPr>
            <w:tcW w:w="1380" w:type="dxa"/>
            <w:vAlign w:val="bottom"/>
            <w:gridSpan w:val="2"/>
          </w:tcPr>
          <w:p>
            <w:pPr>
              <w:jc w:val="right"/>
              <w:ind w:right="142"/>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135,837</w:t>
            </w:r>
          </w:p>
        </w:tc>
        <w:tc>
          <w:tcPr>
            <w:tcW w:w="1400" w:type="dxa"/>
            <w:vAlign w:val="bottom"/>
            <w:gridSpan w:val="2"/>
          </w:tcPr>
          <w:p>
            <w:pPr>
              <w:jc w:val="right"/>
              <w:ind w:right="139"/>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(42,866)</w:t>
            </w:r>
          </w:p>
        </w:tc>
        <w:tc>
          <w:tcPr>
            <w:tcW w:w="14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(39,702)</w:t>
            </w:r>
          </w:p>
        </w:tc>
        <w:tc>
          <w:tcPr>
            <w:tcW w:w="13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4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3,060,321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2,971,929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88,392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National Networks revenues, net was attributable to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400" w:type="dxa"/>
            <w:vAlign w:val="bottom"/>
            <w:gridSpan w:val="2"/>
          </w:tcPr>
          <w:p>
            <w:pPr>
              <w:ind w:left="500"/>
              <w:spacing w:after="0" w:line="135"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280" w:type="dxa"/>
            <w:vAlign w:val="bottom"/>
          </w:tcPr>
          <w:p>
            <w:pPr>
              <w:ind w:left="500"/>
              <w:spacing w:after="0" w:line="135"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3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904,253</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944,675</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4"/>
              </w:rPr>
              <w:t>(4.3)%</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1,464,791</w:t>
            </w:r>
          </w:p>
        </w:tc>
        <w:tc>
          <w:tcPr>
            <w:tcW w:w="1380" w:type="dxa"/>
            <w:vAlign w:val="bottom"/>
            <w:tcBorders>
              <w:bottom w:val="single" w:sz="8" w:color="CCEEFF"/>
            </w:tcBorders>
            <w:gridSpan w:val="2"/>
          </w:tcPr>
          <w:p>
            <w:pPr>
              <w:jc w:val="right"/>
              <w:ind w:right="144"/>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1,468,650</w:t>
            </w:r>
          </w:p>
        </w:tc>
        <w:tc>
          <w:tcPr>
            <w:tcW w:w="138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1400" w:type="dxa"/>
            <w:vAlign w:val="bottom"/>
            <w:tcBorders>
              <w:bottom w:val="single" w:sz="8" w:color="CCEEFF"/>
            </w:tcBorders>
            <w:gridSpan w:val="2"/>
          </w:tcPr>
          <w:p>
            <w:pPr>
              <w:ind w:left="8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2,369,044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2,413,325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(44,281)</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Advertising revenues decreased $40.4 million driven by a decrease of $65.0 million at AMC due to lower ratings, partially mitigated by increased pricing. The decrease at AMC was partially offset by increases at our other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78" w:lineRule="exact"/>
        <w:rPr>
          <w:rFonts w:ascii="Arial" w:cs="Arial" w:eastAsia="Arial" w:hAnsi="Arial"/>
          <w:sz w:val="18"/>
          <w:szCs w:val="18"/>
          <w:color w:val="auto"/>
        </w:rPr>
      </w:pPr>
    </w:p>
    <w:p>
      <w:pPr>
        <w:jc w:val="both"/>
        <w:ind w:left="1300" w:hanging="644"/>
        <w:spacing w:after="0" w:line="255"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 revenues decreased $3.9 million due to a decrease in subscription revenues of $17.5 million primarily due to lower subscribers and the impact of an interpretation of a contractual provision in an affiliate agreement, partially offset by increased pricing. Content licensing revenues increased $13.6 million, primarily at AMC, due to an increase in the number of original programs we distributed. Distribution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certain subscriber information at December 31, 2019 and December 31, 2018:</w:t>
      </w:r>
    </w:p>
    <w:p>
      <w:pPr>
        <w:spacing w:after="0" w:line="181"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 xml:space="preserve">Estimated Domestic Subscribers </w:t>
      </w:r>
      <w:r>
        <w:rPr>
          <w:rFonts w:ascii="Arial" w:cs="Arial" w:eastAsia="Arial" w:hAnsi="Arial"/>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129"/>
        </w:trPr>
        <w:tc>
          <w:tcPr>
            <w:tcW w:w="7040" w:type="dxa"/>
            <w:vAlign w:val="bottom"/>
          </w:tcPr>
          <w:p>
            <w:pPr>
              <w:spacing w:after="0"/>
              <w:rPr>
                <w:sz w:val="11"/>
                <w:szCs w:val="11"/>
                <w:color w:val="auto"/>
              </w:rPr>
            </w:pPr>
          </w:p>
        </w:tc>
        <w:tc>
          <w:tcPr>
            <w:tcW w:w="1440" w:type="dxa"/>
            <w:vAlign w:val="bottom"/>
            <w:tcBorders>
              <w:top w:val="single" w:sz="8" w:color="auto"/>
            </w:tcBorders>
          </w:tcPr>
          <w:p>
            <w:pPr>
              <w:ind w:left="60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tcPr>
          <w:p>
            <w:pPr>
              <w:jc w:val="right"/>
              <w:ind w:right="515"/>
              <w:spacing w:after="0" w:line="129" w:lineRule="exact"/>
              <w:rPr>
                <w:sz w:val="20"/>
                <w:szCs w:val="20"/>
                <w:color w:val="auto"/>
              </w:rPr>
            </w:pPr>
            <w:r>
              <w:rPr>
                <w:rFonts w:ascii="Arial" w:cs="Arial" w:eastAsia="Arial" w:hAnsi="Arial"/>
                <w:sz w:val="14"/>
                <w:szCs w:val="14"/>
                <w:b w:val="1"/>
                <w:bCs w:val="1"/>
                <w:color w:val="auto"/>
              </w:rPr>
              <w:t>December 31,</w:t>
            </w:r>
          </w:p>
        </w:tc>
      </w:tr>
      <w:tr>
        <w:trPr>
          <w:trHeight w:val="188"/>
        </w:trPr>
        <w:tc>
          <w:tcPr>
            <w:tcW w:w="8480" w:type="dxa"/>
            <w:vAlign w:val="bottom"/>
            <w:gridSpan w:val="2"/>
          </w:tcPr>
          <w:p>
            <w:pPr>
              <w:ind w:left="792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right"/>
              <w:ind w:right="795"/>
              <w:spacing w:after="0"/>
              <w:rPr>
                <w:sz w:val="20"/>
                <w:szCs w:val="20"/>
                <w:color w:val="auto"/>
              </w:rPr>
            </w:pPr>
            <w:r>
              <w:rPr>
                <w:rFonts w:ascii="Arial" w:cs="Arial" w:eastAsia="Arial" w:hAnsi="Arial"/>
                <w:sz w:val="14"/>
                <w:szCs w:val="14"/>
                <w:b w:val="1"/>
                <w:bCs w:val="1"/>
                <w:color w:val="auto"/>
              </w:rPr>
              <w:t>2018</w:t>
            </w:r>
          </w:p>
        </w:tc>
      </w:tr>
      <w:tr>
        <w:trPr>
          <w:trHeight w:val="211"/>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Programming Networks:</w:t>
            </w:r>
          </w:p>
        </w:tc>
        <w:tc>
          <w:tcPr>
            <w:tcW w:w="14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AMC</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85,100</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89,000</w:t>
            </w:r>
          </w:p>
        </w:tc>
      </w:tr>
      <w:tr>
        <w:trPr>
          <w:trHeight w:val="230"/>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 tv</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78,200</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84,600</w:t>
            </w:r>
          </w:p>
        </w:tc>
      </w:tr>
      <w:tr>
        <w:trPr>
          <w:trHeight w:val="229"/>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BBC AMERICA</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77,000</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80,900</w:t>
            </w:r>
          </w:p>
        </w:tc>
      </w:tr>
      <w:tr>
        <w:trPr>
          <w:trHeight w:val="230"/>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IFC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71,400</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75,100</w:t>
            </w:r>
          </w:p>
        </w:tc>
      </w:tr>
      <w:tr>
        <w:trPr>
          <w:trHeight w:val="230"/>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SundanceTV</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66,800</w:t>
            </w: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69,900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Estimated U.S. subscribers as measured by Nielsen.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400" w:type="dxa"/>
            <w:vAlign w:val="bottom"/>
            <w:gridSpan w:val="2"/>
          </w:tcPr>
          <w:p>
            <w:pPr>
              <w:ind w:left="500"/>
              <w:spacing w:after="0" w:line="135"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300" w:type="dxa"/>
            <w:vAlign w:val="bottom"/>
          </w:tcPr>
          <w:p>
            <w:pPr>
              <w:ind w:left="500"/>
              <w:spacing w:after="0" w:line="135"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3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91,404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644,484</w:t>
            </w:r>
          </w:p>
        </w:tc>
        <w:tc>
          <w:tcPr>
            <w:tcW w:w="1380" w:type="dxa"/>
            <w:vAlign w:val="bottom"/>
            <w:tcBorders>
              <w:bottom w:val="single" w:sz="8" w:color="CCEEFF"/>
            </w:tcBorders>
            <w:gridSpan w:val="2"/>
          </w:tcPr>
          <w:p>
            <w:pPr>
              <w:jc w:val="right"/>
              <w:ind w:right="144"/>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506,902</w:t>
            </w:r>
          </w:p>
        </w:tc>
        <w:tc>
          <w:tcPr>
            <w:tcW w:w="140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137,582</w:t>
            </w:r>
          </w:p>
        </w:tc>
        <w:tc>
          <w:tcPr>
            <w:tcW w:w="140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8"/>
        </w:trPr>
        <w:tc>
          <w:tcPr>
            <w:tcW w:w="3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734,143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598,306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135,837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decrease of $1.7 million in advertising revenues was principally due to the unfavorable impact of foreign currency translation of $5.1 million. Distribution revenues increased $147.5 million due to the impact of the Levity and RLJE acquisitions. In addition, distribution revenues increased $22.9 million from our Shudder and Sundance Now targeted streaming services. These increases were partially offset by a decrease in revenues at AMCNI of $16.4 million, excluding the impact of foreign currency fluctuations, primarily due to the termination of distribution in certain territories. Foreign currency translation had an unfavorable impact to distribution revenues of $15.2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$61.0 million to $1.5 billion for 2019 as compared to 2018. The net change by segment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1,076,748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1,080,732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(3,984)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463,267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392,793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ind w:left="620"/>
              <w:spacing w:after="0"/>
              <w:rPr>
                <w:sz w:val="20"/>
                <w:szCs w:val="20"/>
                <w:color w:val="auto"/>
              </w:rPr>
            </w:pPr>
            <w:r>
              <w:rPr>
                <w:rFonts w:ascii="Arial" w:cs="Arial" w:eastAsia="Arial" w:hAnsi="Arial"/>
                <w:sz w:val="18"/>
                <w:szCs w:val="18"/>
                <w:color w:val="auto"/>
                <w:w w:val="98"/>
              </w:rPr>
              <w:t>70,474</w:t>
            </w:r>
          </w:p>
        </w:tc>
        <w:tc>
          <w:tcPr>
            <w:tcW w:w="1740" w:type="dxa"/>
            <w:vAlign w:val="bottom"/>
            <w:gridSpan w:val="2"/>
          </w:tcPr>
          <w:p>
            <w:pPr>
              <w:jc w:val="right"/>
              <w:ind w:right="139"/>
              <w:spacing w:after="0"/>
              <w:rPr>
                <w:sz w:val="20"/>
                <w:szCs w:val="20"/>
                <w:color w:val="auto"/>
              </w:rPr>
            </w:pPr>
            <w:r>
              <w:rPr>
                <w:rFonts w:ascii="Arial" w:cs="Arial" w:eastAsia="Arial" w:hAnsi="Arial"/>
                <w:sz w:val="18"/>
                <w:szCs w:val="18"/>
                <w:color w:val="auto"/>
              </w:rPr>
              <w:t>17.9</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(33,030)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(27,576)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(5,454)</w:t>
            </w:r>
          </w:p>
        </w:tc>
        <w:tc>
          <w:tcPr>
            <w:tcW w:w="17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19.8</w:t>
            </w: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1,506,985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1,445,949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8"/>
              </w:rPr>
              <w:t>61,036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4.2 %</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r>
      <w:tr>
        <w:trPr>
          <w:trHeight w:val="223"/>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decrease in technical and operating expense was due to a decrease of $30.1 million in other direct programming expense attributable to reduced personnel and the timing of production related costs. The decrease in other direct programming expense was partially offset by a net increase in program rights amortization of $26.1 million, consisting of an increase in program amortization of $47.4 million primarily attributable to the mix of original programming as compared to the prior year, partially offset by a reduction of $21.3 million attributable to the utilization of certain investment tax credits. In addition, program rights amortization includes write-offs of $37.9 million for the year ended December 31, 2019 as compared to program rights write-offs of $48.8 million for the year ended December 31, 2018. Programming write-offs are based on management's periodic assessment of programming usefulness.</w:t>
      </w:r>
    </w:p>
    <w:p>
      <w:pPr>
        <w:spacing w:after="0" w:line="87"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amortization recorded from owned original programming in each period based on the individual-film-forecast-computation method. As additional competition for programming increases and alternative distribution technologies continue to develop, costs for content acquisition and original programming may increase.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increase in the International and Other segment was primarily due to an $89.7 million impact from the Levity and RLJE acquisitions. In addition, technical and operating expense increased $13.3 million at our targeted streaming services (Shudder and Sundance Now) due to the continued investment in programming. Technical and operating expense decreased $19.6 million at AMCNI, excluding the impact of foreign currency fluctuations, due primarily to reduced programming amortization resulting from termination of distribution in certain territories. Foreign currency translation had a favorable impact to the change in technical and operating expense of $12.8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Selling, general and administrative expense increased $22.0 million to $679.4 million for 2019 as compared to 2018. The net change by segment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441,747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455,935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237,804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201,611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36,193</w:t>
            </w:r>
          </w:p>
        </w:tc>
        <w:tc>
          <w:tcPr>
            <w:tcW w:w="1740" w:type="dxa"/>
            <w:vAlign w:val="bottom"/>
            <w:gridSpan w:val="2"/>
          </w:tcPr>
          <w:p>
            <w:pPr>
              <w:jc w:val="right"/>
              <w:ind w:right="139"/>
              <w:spacing w:after="0"/>
              <w:rPr>
                <w:sz w:val="20"/>
                <w:szCs w:val="20"/>
                <w:color w:val="auto"/>
              </w:rPr>
            </w:pPr>
            <w:r>
              <w:rPr>
                <w:rFonts w:ascii="Arial" w:cs="Arial" w:eastAsia="Arial" w:hAnsi="Arial"/>
                <w:sz w:val="18"/>
                <w:szCs w:val="18"/>
                <w:color w:val="auto"/>
              </w:rPr>
              <w:t>18.0</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7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20.2</w:t>
            </w: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679,444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657,457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r>
      <w:tr>
        <w:trPr>
          <w:trHeight w:val="223"/>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decrease in the National Networks segment selling, general and administrative expense was principally due to a $16.7 million decrease in advertising and marketing costs related to the timing of promotion and marketing of original programming.</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increase in the International and Other segment was primarily due to a $50.7 million impact from the acquisitions of Levity and RLJE, partially offset by a decrease of $8.7 million at AMCNI, excluding the impact of foreign currency fluctuations. Foreign currency translation had a favorable impact to the change in selling, general and administrative expense of $6.7 million.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increased $9.8 million to $101.1 million for 2019 as compared to 2018. The net change by segment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10,871</w:t>
            </w:r>
          </w:p>
        </w:tc>
        <w:tc>
          <w:tcPr>
            <w:tcW w:w="178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18.9</w:t>
            </w: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increase in depreciation and amortization expense in the International and Other segment was primarily due to a $6.4 million impact from the acquisitions of Levity and RLJE as well as an increase in depreciation expense of $6.2 million related to corporate leasehold additions.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charges</w:t>
      </w:r>
    </w:p>
    <w:p>
      <w:pPr>
        <w:spacing w:after="0" w:line="121"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In December 2019, in connection with the preparation of our fourth quarter financial information, we performed our annual goodwill impairment test and concluded that the estimated fair value of our AMCNI reporting unit declined to less than its carrying amount. The decrease in the estimated fair value was in response to current and expected trends across the International television broadcasting markets, as well as a decrease in the financial multiples used to estimate the fair value using the market approach. As a result, we recognized an impairment charge of $98.0 million in 2019, reflecting a partial write-down of the goodwill associated with the AMCNI reporting unit.</w:t>
      </w:r>
    </w:p>
    <w:p>
      <w:pPr>
        <w:spacing w:after="0" w:line="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2019 and 2018, in connection with the dispositions of certain businesses, AMCNI recognized impairment charges of $8.6 million and $4.5 million,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Restructuring and other related charges of $40.9 million and $45.8 million for the years ended December 2019 and 2018, respectively, primarily related to the management re-organizations which resulted in the elimination of a number of roles to improve the effectiveness of management while reducing the cost structure of the Company. As a result, we incurred restructuring charges of $26.0 million and $35.9 million for the years ended December 2019 and 2018, respectively. During 2019, we also incurred restructuring charges associated with the AMC Networks Streaming Services re-organization which consisted of severance and other personnel related costs of $1.9 million and programming write-offs of $13.0 million related to a change in programming strategy. During 2018, we also incurred restructuring charges of $9.9 million associated with the termination of distribution in certain territories at AMCNI.</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(170,039)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(93,326)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(76,713)</w:t>
            </w:r>
          </w:p>
        </w:tc>
        <w:tc>
          <w:tcPr>
            <w:tcW w:w="1780" w:type="dxa"/>
            <w:vAlign w:val="bottom"/>
            <w:gridSpan w:val="2"/>
          </w:tcPr>
          <w:p>
            <w:pPr>
              <w:jc w:val="right"/>
              <w:ind w:right="139"/>
              <w:spacing w:after="0"/>
              <w:rPr>
                <w:sz w:val="20"/>
                <w:szCs w:val="20"/>
                <w:color w:val="auto"/>
              </w:rPr>
            </w:pPr>
            <w:r>
              <w:rPr>
                <w:rFonts w:ascii="Arial" w:cs="Arial" w:eastAsia="Arial" w:hAnsi="Arial"/>
                <w:sz w:val="18"/>
                <w:szCs w:val="18"/>
                <w:color w:val="auto"/>
              </w:rPr>
              <w:t>82.2</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7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64.5</w:t>
            </w:r>
          </w:p>
        </w:tc>
      </w:tr>
      <w:tr>
        <w:trPr>
          <w:trHeight w:val="223"/>
        </w:trPr>
        <w:tc>
          <w:tcPr>
            <w:tcW w:w="46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625,277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726,909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(101,632)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operating income at the National Networks segment was primarily attributable to a decrease in revenues of $44.3 million, partially offset by a decrease in technical and operating expense of $4.0 million, a decrease in selling, general and administrative expense of $14.2 million, and a decrease in restructuring expense of $3.7 million</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operating loss at the International and Other segment was primarily attributable to a net increase of $95.0 million in the combined impairment charges and restructuring and other related charges, partially offset by an increase in operating income at AMCNI.</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consolidated AOI:</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5"/>
              </w:rPr>
              <w:t>(14.0)%</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3,154</w:t>
            </w:r>
          </w:p>
        </w:tc>
        <w:tc>
          <w:tcPr>
            <w:tcW w:w="1780" w:type="dxa"/>
            <w:vAlign w:val="bottom"/>
            <w:gridSpan w:val="2"/>
          </w:tcPr>
          <w:p>
            <w:pPr>
              <w:jc w:val="right"/>
              <w:ind w:right="136"/>
              <w:spacing w:after="0"/>
              <w:rPr>
                <w:sz w:val="20"/>
                <w:szCs w:val="20"/>
                <w:color w:val="auto"/>
              </w:rPr>
            </w:pPr>
            <w:r>
              <w:rPr>
                <w:rFonts w:ascii="Arial" w:cs="Arial" w:eastAsia="Arial" w:hAnsi="Arial"/>
                <w:sz w:val="18"/>
                <w:szCs w:val="18"/>
                <w:color w:val="auto"/>
              </w:rPr>
              <w:t>5.2</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17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10.8</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102,117</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(10.8)</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Majority owned equity investees AOI</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1780" w:type="dxa"/>
            <w:vAlign w:val="bottom"/>
            <w:tcBorders>
              <w:bottom w:val="single" w:sz="8" w:color="CCEEFF"/>
            </w:tcBorders>
            <w:gridSpan w:val="2"/>
          </w:tcPr>
          <w:p>
            <w:pPr>
              <w:jc w:val="right"/>
              <w:ind w:right="136"/>
              <w:spacing w:after="0"/>
              <w:rPr>
                <w:sz w:val="20"/>
                <w:szCs w:val="20"/>
                <w:color w:val="auto"/>
              </w:rPr>
            </w:pPr>
            <w:r>
              <w:rPr>
                <w:rFonts w:ascii="Arial" w:cs="Arial" w:eastAsia="Arial" w:hAnsi="Arial"/>
                <w:sz w:val="18"/>
                <w:szCs w:val="18"/>
                <w:color w:val="auto"/>
              </w:rPr>
              <w:t>96.0</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11,445</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AOI increased $11.4 million to $944.0 million for 2019 as compared to 2018. The net change by segment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30,890</w:t>
            </w:r>
          </w:p>
        </w:tc>
        <w:tc>
          <w:tcPr>
            <w:tcW w:w="1780" w:type="dxa"/>
            <w:vAlign w:val="bottom"/>
            <w:gridSpan w:val="2"/>
          </w:tcPr>
          <w:p>
            <w:pPr>
              <w:jc w:val="right"/>
              <w:ind w:right="139"/>
              <w:spacing w:after="0"/>
              <w:rPr>
                <w:sz w:val="20"/>
                <w:szCs w:val="20"/>
                <w:color w:val="auto"/>
              </w:rPr>
            </w:pPr>
            <w:r>
              <w:rPr>
                <w:rFonts w:ascii="Arial" w:cs="Arial" w:eastAsia="Arial" w:hAnsi="Arial"/>
                <w:sz w:val="18"/>
                <w:szCs w:val="18"/>
                <w:color w:val="auto"/>
              </w:rPr>
              <w:t>160.0</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7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(19.2)</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AOI</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943,990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Networks AOI decreased due to the aforementioned explanation for the decrease in operating income.</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International and Other AOI increased primarily due to an increase of $14.5 million at AMCNI, excluding the impact of foreign currency fluctuations, and an increase of $15.6 million related to the impact of the acquisitions of Levity and RLJE (including the impact of AOI related to majority-owned equity method investees).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decrease in interest expense, net of $2.7 million is driven by an increase in interest income of $5.5 million, partially offset by an increase in interest expense of $2.8 million due to a higher variable interest rate on our term loan.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increase in miscellaneous expense, net of $35.2 million in 2019 as compared to 2018 was primarily driven by the absence of $50.4 million of gains associated with the increase in fair value of our investment in RLJE recognized prior to the acquisition during 2018, partially offset by an $17.8 million favorable variance in foreign currency transactions gains and losses. In addition, miscellaneous expense, net decreased $6.3 million associated with increased earnings from equity method investees, partially offset by an increase related to the partial write-down of certain of our non-marketable equity securities and a note receivable.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Income tax expense was $78.5 million for the year ended December 31, 2019, representing an effective tax rate of 16%. The effective tax rate differs from the federal statutory rate of 21% due primarily to tax benefit of $21.0 million resulting from a net decrease in valuation allowances for foreign deferred tax assets, tax benefit of $11.5 million from a deferred tax adjustment to record the impact of an investment tax credit under the deferral method of accounting, partially offset by state and local income tax expense of $12.2 million and $9.0 of tax expense from foreign operations.</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Income tax expense was $156.3 million for the year ended December 31, 2018, representing an effective tax rate of 25%. The effective tax rate differs from the federal statutory rate of 21% due primarily to tax expense of $16.4 million for an increase in valuation allowances for foreign deferred tax assets; state and local income tax expense of $11.5 million and a tax benefit of $12.8 million for the one-time rate change on deferred tax assets and liabilities that resulted from the extension of certain television production cost deductions included in the Bipartisan Budget Act of 2018 (enacted February 9, 2018) and return to provision adjustments.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w:t>
      </w:r>
    </w:p>
    <w:p>
      <w:pPr>
        <w:spacing w:after="0" w:line="80"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On February 8, 2021, the Company issued $1.0 billion in aggregate principal amount of 4.25% senior notes due 2029 (the “4.25% Notes due 2029”) and received net proceeds of $982.3 million, after deducting underwriting discounts and commissions and expenses. The Company used such proceeds to redeem (i) the remaining $400 million principal amount of the Company’s 4.75% senior notes due 2022 and (ii) $600 million principal amount of the Company’s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w:t>
      </w:r>
    </w:p>
    <w:p>
      <w:pPr>
        <w:spacing w:after="0" w:line="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February 8, 2021, the Company entered into Amendment No. 1 (“Amendment No. 1”) to its existing credit agreement (the "Credit Agreement"). Amendment No. 1 extends the maturity dates of the $675 million term loan A facility and $500 million revolving credit facility under the Credit Agreement to February 8, 2026, and makes certain other amendments to the covenants and other provisions of the Credit Agreement.</w:t>
      </w:r>
    </w:p>
    <w:p>
      <w:pPr>
        <w:spacing w:after="0" w:line="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Board of Directors has authorized a program to repurchase up to $1.5 billion of its outstanding shares of common stock (the "Stock Repurchase Program"). The Stock Repurchase Program has no pre-established closing date and may be suspended or discontinued at any time. For the year ended December 31, 2020, the Company repurchased 14.8 million shares of its Class A common stock at an average purchase price of $23.91 per share (inclusive of the results of the modified "Dutch auction" tender offer discussed below). As of December 31, 2020, the Company had $135.3 million available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4" w:name="page55"/>
    <w:bookmarkEnd w:id="54"/>
    <w:p>
      <w:pPr>
        <w:jc w:val="both"/>
        <w:ind w:firstLine="445"/>
        <w:spacing w:after="0" w:line="241" w:lineRule="auto"/>
        <w:rPr>
          <w:sz w:val="20"/>
          <w:szCs w:val="20"/>
          <w:color w:val="auto"/>
        </w:rPr>
      </w:pPr>
      <w:r>
        <w:rPr>
          <w:rFonts w:ascii="Arial" w:cs="Arial" w:eastAsia="Arial" w:hAnsi="Arial"/>
          <w:sz w:val="18"/>
          <w:szCs w:val="18"/>
          <w:color w:val="auto"/>
        </w:rPr>
        <w:t>On September 16, 2020, we commenced a modified "Dutch auction" tender offer (the "Tender Offer") to purchase up to $250 million in value of shares of our Class A Common Stock, plus up to an additional 2% of the outstanding shares of Class A Common Stock, at a price not greater than $26.50 nor less than $22.50 per share. The Tender Offer expired on October 14, 2020. On October 21, 2020, we accepted for purchase 10.8 million shares of its Class A Common Stock, at a price of $23.20 per share, for an aggregate cost of $250.6 million. The cost of these shares, and the fees relating to the Tender Offer, are classified in Treasury stock in the consolidated balance sheet.</w:t>
      </w:r>
    </w:p>
    <w:p>
      <w:pPr>
        <w:spacing w:after="0" w:line="8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Although impacted by the COVID-19 pandemic, we continue to increase our investment in original programming, the funding of which generally occurs six to nine months in advance of a program's airing. In March 2020, we redeemed $200 million principal amount of the then-outstanding $600 million principal amount of our 4.75% Notes due 2022.</w:t>
      </w:r>
    </w:p>
    <w:p>
      <w:pPr>
        <w:spacing w:after="0" w:line="6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December 31, 2020, our consolidated cash and cash equivalents balance includes approximately $221.5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7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 See Item 1A, "Risk Factors – Risks Related to Our Debt" in this Annual Report.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summary of cash flows provided by (used in)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606,547</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(260,184)</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(314,607)</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31,756</w:t>
            </w: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Net cash provided by operating activities amounted to $748.7 million for the year ended December 31, 2020 as compared to $483.7 million for the year ended December 31, 2019. In 2020, net cash provided by operating activities resulted primarily from $1.5 billion of net income before amortization of program rights, depreciation and amortization, share-based compensation and other non-cash items, a decrease in accounts receivable, trade of $63.3 million due to the timing of cash receipts, an decrease in prepaid expenses and other assets of $64.1 million, and an increase in accounts payable, accrued liabilities and other liabilities of $16.0 million. Partially offsetting these increases were payments for program rights of $850.0 million. Changes in all other assets and liabilities during the year resulted in an increase in cash of $5.1 million.</w:t>
      </w:r>
    </w:p>
    <w:p>
      <w:pPr>
        <w:spacing w:after="0" w:line="7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2019, net cash provided by operating activities amounted to $483.7 million for the year ended December 31, 2019 as compared to $606.5 million for the year ended December 31, 2018. In 2019, net cash provided by operating activities resulted from $1.7 billion of net income before amortization of program rights, depreciation and amortization, share-based compensation and other non-cash items, which was partially offset by payments for program rights of $969.9 million, an increase in prepaid expenses and other assets of $142.3 million primarily related to an increase in production tax credits and taxes receivable, an increase in accounts receivable, trade of $43.3 million due to the timing of cash receipts, and a decrease in accounts payable, accrued liabilities and other liabilities of $28.4 million primarily as a result of lower employee related liabilities. Changes in all other assets and liabilities during the year resulted in a decrease in cash of $5.1 million.</w:t>
      </w:r>
    </w:p>
    <w:p>
      <w:pPr>
        <w:spacing w:after="0" w:line="8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2018, net cash provided by operating activities resulted from $1.6 billion of net income before amortization of program rights, depreciation and amortization, share-based compensation and other non-cash items, which was partially offset by payments for program rights of $978.8 million. Additionally, income taxes payable decreased $17.0 million and accounts payable, accrued expenses and other liabilities increased $48.9 million primarily due to higher accruals for participation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residuals, partially offset by lower employee related liabilities at December 31, 2018 as compared to the prior year. Accounts receivable, trade, increased $52.1 million at December 31, 2018 as compared to the prior year primarily driven by higher distribution revenues as well as timing of cash receipts. Changes in all other assets and liabilities during the year resulted in a decrease in cash of $13.4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Net cash used in investing activities for the years ended December 31, 2020, 2019 and 2018 was $35.2 million, $89.7 million and $260.2 million, respectively. In 2020, net cash used in investing activities was primarily related to capital expenditures of $46.6 million, partially offset by proceeds from the sales of investments of $10.0 million.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2019, net cash used in investing activities was primarily related to capital expenditures of $91.6 million, primarily related to leasehold improvements, and the purchase of investments of $3.5 million, partially offset by a return of capital from investees of $5.4 million.</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In 2018, net cash used in investing activities was primarily related to capital expenditures of $89.8 million, primarily related to modernization and improvements of facilities and equipment, payments for acquisitions, net of cash acquired of $84.4 million related to Levity and RLJE, and the purchase of several minority investments, including loans to investees, of $90.1 million, partially offset by a return of capital from investees.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Net cash used in financing activities amounted to $648.0 million for the year ended December 31, 2020 as compared to $131.1 million for the year ended December 31, 2019 and $314.6 million for the year ended December 31, 2018. In 2020, financing activities primarily consisted of purchases of Class A Common Stock of $356.7 million under our Stock Repurchase Program, principal payments on long-term debt of $262.3 million, taxes paid in lieu of shares issued for equity-based compensation of $16.0 million, and distributions to noncontrolling members of $15.8 million.</w:t>
      </w:r>
    </w:p>
    <w:p>
      <w:pPr>
        <w:spacing w:after="0" w:line="6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2019, financing activities primarily consisted of purchases of Class A Common Stock of $70.6 million under our Stock Repurchase Program, principal payments on long-term debt of $23.0 million, taxes paid in lieu of shares issued for equity-based compensation of $23.0 million, and distributions to noncontrolling members of $15.6 million.</w:t>
      </w:r>
    </w:p>
    <w:p>
      <w:pPr>
        <w:spacing w:after="0" w:line="76"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In 2018, financing activities primarily consisted of purchases of Class A Common Stock of $283.1 million under our Stock Repurchase Program, distributions to noncontrolling members of $14.3 million, and taxes paid in lieu of shares issued for equity-based compensation of $16.8 million.</w:t>
      </w:r>
    </w:p>
    <w:p>
      <w:pPr>
        <w:spacing w:after="0" w:line="3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Financing Agreements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principal amount of long-term debt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Pr>
          <w:p>
            <w:pPr>
              <w:spacing w:after="0"/>
              <w:rPr>
                <w:sz w:val="18"/>
                <w:szCs w:val="18"/>
                <w:color w:val="auto"/>
              </w:rPr>
            </w:pPr>
          </w:p>
        </w:tc>
        <w:tc>
          <w:tcPr>
            <w:tcW w:w="1620" w:type="dxa"/>
            <w:vAlign w:val="bottom"/>
          </w:tcPr>
          <w:p>
            <w:pPr>
              <w:jc w:val="right"/>
              <w:ind w:right="152"/>
              <w:spacing w:after="0"/>
              <w:rPr>
                <w:sz w:val="20"/>
                <w:szCs w:val="20"/>
                <w:color w:val="auto"/>
              </w:rPr>
            </w:pPr>
            <w:r>
              <w:rPr>
                <w:rFonts w:ascii="Arial" w:cs="Arial" w:eastAsia="Arial" w:hAnsi="Arial"/>
                <w:sz w:val="16"/>
                <w:szCs w:val="16"/>
                <w:b w:val="1"/>
                <w:bCs w:val="1"/>
                <w:color w:val="auto"/>
                <w:w w:val="94"/>
              </w:rPr>
              <w:t>December 31, 2019</w:t>
            </w:r>
          </w:p>
        </w:tc>
      </w:tr>
      <w:tr>
        <w:trPr>
          <w:trHeight w:val="213"/>
        </w:trPr>
        <w:tc>
          <w:tcPr>
            <w:tcW w:w="7520" w:type="dxa"/>
            <w:vAlign w:val="bottom"/>
            <w:tcBorders>
              <w:top w:val="single" w:sz="8" w:color="CCEEFF"/>
            </w:tcBorders>
            <w:gridSpan w:val="2"/>
            <w:shd w:val="clear" w:color="auto" w:fill="CCEEFF"/>
          </w:tcPr>
          <w:p>
            <w:pPr>
              <w:ind w:left="20"/>
              <w:spacing w:after="0" w:line="212"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3"/>
                <w:szCs w:val="23"/>
                <w:color w:val="auto"/>
                <w:vertAlign w:val="superscript"/>
              </w:rPr>
              <w:t>(a)</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Term Loan A Facility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675,000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731,250</w:t>
            </w: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840" w:type="dxa"/>
            <w:vAlign w:val="bottom"/>
          </w:tcPr>
          <w:p>
            <w:pPr>
              <w:ind w:left="360"/>
              <w:spacing w:after="0"/>
              <w:rPr>
                <w:sz w:val="20"/>
                <w:szCs w:val="20"/>
                <w:color w:val="auto"/>
              </w:rPr>
            </w:pPr>
            <w:r>
              <w:rPr>
                <w:rFonts w:ascii="Arial" w:cs="Arial" w:eastAsia="Arial" w:hAnsi="Arial"/>
                <w:sz w:val="18"/>
                <w:szCs w:val="18"/>
                <w:color w:val="auto"/>
                <w:w w:val="90"/>
              </w:rPr>
              <w:t>4.75%</w:t>
            </w:r>
          </w:p>
        </w:tc>
        <w:tc>
          <w:tcPr>
            <w:tcW w:w="668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30"/>
        </w:trPr>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0"/>
              </w:rPr>
              <w:t>4.75%</w:t>
            </w:r>
          </w:p>
        </w:tc>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due August 2025</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w:t>
            </w:r>
          </w:p>
        </w:tc>
      </w:tr>
      <w:tr>
        <w:trPr>
          <w:trHeight w:val="248"/>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Principal amount of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3,131,250</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060" w:right="20" w:hanging="647"/>
        <w:spacing w:after="0" w:line="277" w:lineRule="auto"/>
        <w:tabs>
          <w:tab w:leader="none" w:pos="9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December 31, 2020. Total undrawn revolver commitments are available to be drawn for general corporate purposes of the Company.</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2020 we redeemed $200 million principal amount of the outstanding $600 million principal amount of our 4.75% Notes due 2022. In connection with the redemption, we incurred a loss on extinguishment of debt for the year ended December 31, 2020 of $2.9 million representing the redemption premium and the write-off of a portion of the unamortized discount and deferred financing costs.</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Subsequent to December 31, 2020, on February 26, 2021, we redeemed (i) the remaining $400 million principal amount of our 4.75% Notes due 2022 and (ii) $600 million principal amount of our 5.00% Notes due 2024.</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Additional information regarding our outstanding indebtedness and the significant terms and provisions of our Senior Secured Credit Facility and our Senior Notes is discussed in Note 11 to the accompanying consolidated financial statements included in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6" w:name="page57"/>
    <w:bookmarkEnd w:id="56"/>
    <w:p>
      <w:pPr>
        <w:ind w:left="42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Debt of AMC Networks as of December 31, 2020 included $400.0 million of 4.75% Notes due December 2022, $1.0 billion of 5.00% Notes due April 2024 and $800.0 million of 4.75% Notes due August 2025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Summarized Financial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w w:val="92"/>
              </w:rPr>
              <w:t>Year Ended December 31, 2020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Year Ended December 31, 2019</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24"/>
                <w:szCs w:val="24"/>
                <w:color w:val="auto"/>
              </w:rPr>
            </w:pPr>
          </w:p>
        </w:tc>
        <w:tc>
          <w:tcPr>
            <w:tcW w:w="190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 Subsidiaries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7"/>
              </w:rPr>
              <w:t>Parent Company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4"/>
              </w:rPr>
              <w:t>Guarantor Subsidiaries</w:t>
            </w: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1,947,893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2,122,212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1,441,889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1,454,540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80" w:type="dxa"/>
            <w:vAlign w:val="bottom"/>
            <w:vMerge w:val="continue"/>
          </w:tcPr>
          <w:p>
            <w:pPr>
              <w:spacing w:after="0"/>
              <w:rPr>
                <w:sz w:val="17"/>
                <w:szCs w:val="17"/>
                <w:color w:val="auto"/>
              </w:rPr>
            </w:pPr>
          </w:p>
        </w:tc>
        <w:tc>
          <w:tcPr>
            <w:tcW w:w="2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337,810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486,092</w:t>
            </w:r>
          </w:p>
        </w:tc>
        <w:tc>
          <w:tcPr>
            <w:tcW w:w="100" w:type="dxa"/>
            <w:vAlign w:val="bottom"/>
          </w:tcPr>
          <w:p>
            <w:pPr>
              <w:spacing w:after="0"/>
              <w:rPr>
                <w:sz w:val="17"/>
                <w:szCs w:val="17"/>
                <w:color w:val="auto"/>
              </w:rPr>
            </w:pPr>
          </w:p>
        </w:tc>
        <w:tc>
          <w:tcPr>
            <w:tcW w:w="1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Arial" w:cs="Arial" w:eastAsia="Arial" w:hAnsi="Arial"/>
                <w:sz w:val="18"/>
                <w:szCs w:val="18"/>
                <w:color w:val="auto"/>
              </w:rPr>
              <w:t>468,016</w:t>
            </w:r>
          </w:p>
        </w:tc>
        <w:tc>
          <w:tcPr>
            <w:tcW w:w="100" w:type="dxa"/>
            <w:vAlign w:val="bottom"/>
          </w:tcPr>
          <w:p>
            <w:pPr>
              <w:spacing w:after="0"/>
              <w:rPr>
                <w:sz w:val="17"/>
                <w:szCs w:val="17"/>
                <w:color w:val="auto"/>
              </w:rPr>
            </w:pPr>
          </w:p>
        </w:tc>
        <w:tc>
          <w:tcPr>
            <w:tcW w:w="10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633,294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6"/>
                <w:szCs w:val="16"/>
                <w:b w:val="1"/>
                <w:bCs w:val="1"/>
                <w:color w:val="auto"/>
                <w:w w:val="90"/>
              </w:rPr>
              <w:t>December 31, 2020</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275"/>
              <w:spacing w:after="0"/>
              <w:rPr>
                <w:sz w:val="20"/>
                <w:szCs w:val="20"/>
                <w:color w:val="auto"/>
              </w:rPr>
            </w:pPr>
            <w:r>
              <w:rPr>
                <w:rFonts w:ascii="Arial" w:cs="Arial" w:eastAsia="Arial" w:hAnsi="Arial"/>
                <w:sz w:val="16"/>
                <w:szCs w:val="16"/>
                <w:b w:val="1"/>
                <w:bCs w:val="1"/>
                <w:color w:val="auto"/>
              </w:rPr>
              <w:t>December 31, 2019</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ind w:left="18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7"/>
                <w:szCs w:val="17"/>
                <w:color w:val="auto"/>
              </w:rPr>
            </w:pPr>
          </w:p>
        </w:tc>
        <w:tc>
          <w:tcPr>
            <w:tcW w:w="19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9"/>
              </w:rPr>
              <w:t>Guarantor Subsidiaries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Guarantor Subsidiaries</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25,749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74,649</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1,760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100,485</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1,291,630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1,590,932</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3,729.996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3,151,581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4,050,648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3,044,865</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27,091</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124,886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545,105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100,081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470,027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3,023,726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300,449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3,315,314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361,324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as of December 31, 2020 are summarized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Payments due by period</w:t>
            </w: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Year 1</w:t>
            </w:r>
          </w:p>
        </w:tc>
        <w:tc>
          <w:tcPr>
            <w:tcW w:w="2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24"/>
                <w:szCs w:val="24"/>
                <w:color w:val="auto"/>
              </w:rPr>
            </w:pPr>
          </w:p>
        </w:tc>
        <w:tc>
          <w:tcPr>
            <w:tcW w:w="1060" w:type="dxa"/>
            <w:vAlign w:val="bottom"/>
          </w:tcPr>
          <w:p>
            <w:pPr>
              <w:jc w:val="right"/>
              <w:ind w:right="152"/>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2 - 3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4 - 5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100"/>
              <w:spacing w:after="0" w:line="212" w:lineRule="exact"/>
              <w:rPr>
                <w:sz w:val="20"/>
                <w:szCs w:val="20"/>
                <w:color w:val="auto"/>
              </w:rPr>
            </w:pPr>
            <w:r>
              <w:rPr>
                <w:rFonts w:ascii="Arial" w:cs="Arial" w:eastAsia="Arial" w:hAnsi="Arial"/>
                <w:sz w:val="18"/>
                <w:szCs w:val="18"/>
                <w:color w:val="auto"/>
              </w:rPr>
              <w:t>Debt obligations:</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2,875,000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1,011,886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290,915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222,694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118,277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61,745</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100"/>
              <w:spacing w:after="0" w:line="230" w:lineRule="exact"/>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4,588,991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2,092,796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452,412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right="60" w:hanging="329"/>
        <w:spacing w:after="0" w:line="263" w:lineRule="auto"/>
        <w:tabs>
          <w:tab w:leader="none" w:pos="57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Subsequent to December 31, 2020, our Senior Secured Credit Facility was refinanced and we issued new Senior Notes and redeemed certain of our existing Senior Notes, all of which impact the obligations reflected in this table. See Note 11, Long-Term Debt, to our consolidated financial statements for additional information.</w:t>
      </w:r>
    </w:p>
    <w:p>
      <w:pPr>
        <w:spacing w:after="0" w:line="75" w:lineRule="exact"/>
        <w:rPr>
          <w:rFonts w:ascii="Arial" w:cs="Arial" w:eastAsia="Arial" w:hAnsi="Arial"/>
          <w:sz w:val="18"/>
          <w:szCs w:val="18"/>
          <w:color w:val="auto"/>
        </w:rPr>
      </w:pPr>
    </w:p>
    <w:p>
      <w:pPr>
        <w:ind w:left="580" w:right="80" w:hanging="329"/>
        <w:spacing w:after="0" w:line="277" w:lineRule="auto"/>
        <w:tabs>
          <w:tab w:leader="none" w:pos="57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on variable rate debt and the variable portion of interest rate swap contracts is estimated based on a LIBOR yield curve as of December 31, 2020.</w:t>
      </w:r>
    </w:p>
    <w:p>
      <w:pPr>
        <w:spacing w:after="0" w:line="8" w:lineRule="exact"/>
        <w:rPr>
          <w:rFonts w:ascii="Arial" w:cs="Arial" w:eastAsia="Arial" w:hAnsi="Arial"/>
          <w:sz w:val="18"/>
          <w:szCs w:val="18"/>
          <w:color w:val="auto"/>
        </w:rPr>
      </w:pPr>
    </w:p>
    <w:p>
      <w:pPr>
        <w:ind w:left="560" w:hanging="309"/>
        <w:spacing w:after="0"/>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Purchase obligations consist primarily of program rights obligations, participations, residuals, and transmission and marketing commitments.</w:t>
      </w:r>
    </w:p>
    <w:p>
      <w:pPr>
        <w:spacing w:after="0" w:line="74" w:lineRule="exact"/>
        <w:rPr>
          <w:rFonts w:ascii="Arial" w:cs="Arial" w:eastAsia="Arial" w:hAnsi="Arial"/>
          <w:sz w:val="17"/>
          <w:szCs w:val="17"/>
          <w:color w:val="auto"/>
        </w:rPr>
      </w:pPr>
    </w:p>
    <w:p>
      <w:pPr>
        <w:ind w:left="560" w:hanging="309"/>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and finance lease obligation amounts include imputed interest.</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contractual obligations table above does not include any liabilities for uncertain income tax positions due to the fact that we are unable to reasonably predict the ultimate amount or timing of any related payments in settlement of our liabilities for uncertain income tax positions. At December 31, 2020, the liability for uncertain tax positions was $9.7 million, excluding the related accrued interest liability of $2.7 million and deferred tax assets of $2.1 million. See Note 15 to the accompanying consolidated financial statements for further discussion of the Company's income taxes.</w:t>
      </w:r>
    </w:p>
    <w:p>
      <w:pPr>
        <w:spacing w:after="0" w:line="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connection with the 2018 acquisition of RLJE, the terms of the operating agreement provide the noncontrolling member with a right to put all of its noncontrolling interest to a subsidiary of the Company at the greater of the then fair market value or enterprise value of RLJE, in each case pursuant to the operating agreement and applied to the equity interest. The put option is exercisable following the seven year anniversary of the agreement (October 31, 2025), or earlier upon a change of control. The above table does not include any future payments that would be required upon the exercise of these put rights.</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2018 acquisition of Levity, the terms of the operating agreement provide the noncontrolling interest holders with a right to put 50% of their interests to a subsidiary of the Company on the four year anniversary of the agreement (April 20, 2022), and a right to put all of their interests to the Company on the six year anniversary of the agreement (April 20, 2024). The put rights are at fair market value. The above table does not include any future payments that would be required upon the exercise of these put rights.</w:t>
      </w:r>
    </w:p>
    <w:p>
      <w:pPr>
        <w:spacing w:after="0" w:line="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connection with the 2014 acquisition of BBC AMERICA, the terms of the agreement provide the BBC with a right to put all of its 50.1% noncontrolling interest to a subsidiary of the Company at the greater of the then fair value or the fair value of the initial equity interest at the closing date of the acquisition. The put option is exercisable on the fifteen (October 23, 2029) and twenty-five (October 23, 2039) year anniversaries of the agreement. The above table does not include any future payments that would be required upon the exercise of these put rights.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 material off-balance sheet arrangements (as defined in Item 303(a)(4) of Regulation 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preparing our consolidated financial statements, we are required to make certain estimates and assumptions that affect the reported amounts of assets and liabilities at the date of the financial statements and the reported amounts of revenues and expenses during the periods presented. These estimates and assumptions can be subjective and complex and, consequently, actual results could differ materially from our estimates and assumptions. We base our estimates on historical experience, known or expected trends and other assumptions that we believe are reasonable under the circumstances.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8" w:name="page59"/>
    <w:bookmarkEnd w:id="58"/>
    <w:p>
      <w:pPr>
        <w:jc w:val="both"/>
        <w:ind w:right="20" w:firstLine="486"/>
        <w:spacing w:after="0" w:line="277" w:lineRule="auto"/>
        <w:rPr>
          <w:sz w:val="20"/>
          <w:szCs w:val="20"/>
          <w:color w:val="auto"/>
        </w:rPr>
      </w:pPr>
      <w:r>
        <w:rPr>
          <w:rFonts w:ascii="Arial" w:cs="Arial" w:eastAsia="Arial" w:hAnsi="Arial"/>
          <w:sz w:val="18"/>
          <w:szCs w:val="18"/>
          <w:color w:val="auto"/>
        </w:rPr>
        <w:t>We believe the following critical accounting policies comprise the more significant judgments and estimates used in the preparation of our consolidated financial statements: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Program Rights</w:t>
      </w:r>
    </w:p>
    <w:p>
      <w:pPr>
        <w:spacing w:after="0" w:line="15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Licensed rights to programming, including feature films and episodic series, are stated at the lower of amortized cost or fair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when the license period begins. Costs are amortized to technical and operating expense on a straight-line or accelerated basis, based on the expected exploitation strategy of the rights, over a period not to exceed the respective license periods. We periodically review the remaining useful lives of our licensed program rights based on several factors, including expected future revenue generation from airings on our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remaining useful life of such rights is adjusted accordingly, which may result in the accelerated amortization or write-off of such costs to technical and operating expense.</w:t>
      </w:r>
    </w:p>
    <w:p>
      <w:pPr>
        <w:spacing w:after="0" w:line="11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Owned original programming costs, including estimated participation and residual costs qualifying for capitalization as program rights are amortized to technical and operating expense over their estimated useful lives, commencing upon the first airing, based on attributable revenue for airings to date as a percentage of total projected attributable revenue ("ultimate revenue") under the individual-film-forecast-computation method. We base our estimates of projected attributable revenue on distribution and advertising revenues historically generated from similar content in comparable markets, and projected program usage. Projected program usage is based on our current expectation of future exhibitions. We periodically review attributable revenue estimates and projected program usage and revise our assumptions if necessary, which could either accelerate or delay the timing of amortization expense or result in a write-down of the unamortized costs to fair value. For example, a program's strong performance could result in increased usage and increased attributable revenues in a particular period, resulting in accelerated amortization of costs in that period. Poor ratings may result in the reduction of attributable revenue from planned usage or the abandonment of a program, which would require a write-off of any unamortized costs. Actual attributable revenue and exhibitions may vary from our projections due to factors such as market acceptance, levels of distribution and advertising revenue, resulting in changes to our decisions regarding planned program usage. A failure to adjust for a downward change in estimates of ultimate revenues could result in the understatement of program rights amortization expense for the period. Any capitalized development costs for programs that we determine will not be produced are also written off. Historically, other than instances of write-offs associated with our decisions to abandon programming, actual ultimate revenue amounts have not significantly differed from our estimates of ultimate revenue.</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Program rights write-offs of $108.3 million, $40.9 million and $50.5 million were recorded for the years ended December 31, 2020, 2019 and 2018,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Useful Lives of Affiliate Intangible Assets</w:t>
      </w:r>
    </w:p>
    <w:p>
      <w:pPr>
        <w:spacing w:after="0" w:line="11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The carrying amount of our intangible assets as of December 31, 2020 is $410.7 million, of which $294.3 million is comprised of affiliate relationships acquired in business combinations. Useful lives of affiliate relationships (ranging from 6 to 25 years) are initially determined based upon weighted average remaining terms of agreements in place with major distributors when purchase accounting is applied, plus an assumption for expected renewals. We periodically update our assumption for expected renewals based on recent experience and known or expected trends. We have historically been successful in renewing our major affiliation agreements and expect to renew such agreements in the future. However, if renewal trends deteriorate in the future (e.g., failure to renew, or renewals with significantly shorter terms), we may revise the remaining useful lives of affiliate intangible assets, resulting in higher amortization expense in future periods. In June 2020, we recognized impairment charges associated with certain intangible assets. See Note 9 to the accompanying consolidated financial statements included in this Annual Report on Form 10-K for additional details.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Goodwill is not amortized, but instead is tested for impairment at the reporting unit level annually as of December 1, or more frequently upon the occurrence of certain events or substantive changes in circumstances. The annual goodwill impairment test allows for the option to first assess qualitative factors to determine whether it is more likely than not that the fair value of a reporting unit is less than its carrying amount. If it is determined, on the basis of qualitative factors, that the fair value of a reporting unit is, more likely than not, less than its carrying value, the quantitative impairment test is required. In accordance with Accounting Standards Update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Company recognizes goodwill impairment as the difference between the carrying amount of a reporting unit and its fair value, but not to exceed the carrying amount of goodwill.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235,760</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and Other</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450,647</w:t>
            </w:r>
          </w:p>
        </w:tc>
      </w:tr>
      <w:tr>
        <w:trPr>
          <w:trHeight w:val="248"/>
        </w:trPr>
        <w:tc>
          <w:tcPr>
            <w:tcW w:w="9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686,407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Based on our annual and interim impairment tests for goodwill during 2020 and 2019, we recognized impairment charges of $25.1 million and $98.0 million for the years ended December 31, 2020 and 2019, respectively. See Note 9 to the accompanying consolidated financial statements included in this Annual Report on Form 10-K for additional details.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regarding recently issued accounting pronouncements is discussed in Note 2 to the accompanying consolidated financial statements included in this Annual Report on Form 10-K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Based on the level of interest rates prevailing at December 31, 2020, the fair value of our fixed rate debt of $2.24 billion was higher than its carrying value of $2.18 billion by $62.2 million. The fair value of these financial instruments is estimated based on reference to quoted market prices for these or comparable securities. A hypothetical 100 basis point decrease in interest rates prevailing at December 31, 2020 would increase the estimated fair value of our fixed rate debt by approximately $24.9 million to approximately $2.27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6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December 31, 2020, we have $2.8 billion principal amount of debt outstanding (excluding finance leases), of which $675.0 million principal amount outstanding under the Credit Facility is subject to variable interest rates. A hypothetical 100 basis point increase in interest rates prevailing at December 31, 2020 would increase our annual interest expense by approximately $6.7 million.</w:t>
      </w:r>
    </w:p>
    <w:p>
      <w:pPr>
        <w:spacing w:after="0" w:line="7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As of December 31, 2020, we have interest rate swap contracts outstanding with notional amounts aggregating $100.0 million that are designated as cash flow hedges. The aggregate fair values of interest rate swap contracts at December 31, 2020 was a net liability of $2.4 million. The interest rate paid on approximately 80% of our debt (excluding finance leases) as of December 31, 2020 is effectively fixed (76% being fixed rate obligations and 4% effectively fixed through utilization of these interest rate swap contracts). Cumulative unrealized losses, net of tax on the portion of floating-to-fixed interest rate swaps designated as cash flow hedges was $1.8 million and is included in accumulated other comprehensive loss.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w:t>
      </w:r>
    </w:p>
    <w:p>
      <w:pPr>
        <w:spacing w:after="0" w:line="6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our international expansion in recent years, we expect the exposure to foreign currency fluctuations will have a more significant impact on our financial position and results of operations.</w:t>
      </w:r>
    </w:p>
    <w:p>
      <w:pPr>
        <w:spacing w:after="0" w:line="6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0" w:name="page61"/>
    <w:bookmarkEnd w:id="60"/>
    <w:p>
      <w:pPr>
        <w:jc w:val="both"/>
        <w:ind w:firstLine="405"/>
        <w:spacing w:after="0" w:line="257" w:lineRule="auto"/>
        <w:rPr>
          <w:sz w:val="20"/>
          <w:szCs w:val="20"/>
          <w:color w:val="auto"/>
        </w:rPr>
      </w:pPr>
      <w:r>
        <w:rPr>
          <w:rFonts w:ascii="Arial" w:cs="Arial" w:eastAsia="Arial" w:hAnsi="Arial"/>
          <w:sz w:val="18"/>
          <w:szCs w:val="18"/>
          <w:color w:val="auto"/>
        </w:rPr>
        <w:t>The Company recognized $(4.0) million, $11.1 million and $(6.8) million of foreign currency transaction gains (losses) for the years ended December 31, 2020, 2019 and 2018, respectively, resulting from the translation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Such amount is included in miscellaneous, net in the consolidated statements of income.</w:t>
      </w:r>
    </w:p>
    <w:p>
      <w:pPr>
        <w:spacing w:after="0" w:line="8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Financial Statements required by this Item 8 appear beginning on page 68 of this Annual Report, and are incorporated by reference herein.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December 31, 2020, the Company's Chief Executive Officer and Chief Financial Officer concluded that the Company's disclosure controls and procedures are effective.</w:t>
      </w:r>
    </w:p>
    <w:p>
      <w:pPr>
        <w:spacing w:after="0" w:line="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Report on Internal Control over Financial Reporting</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under the Securities Exchange Act of 1934 Rule 13a-15(f). The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2" w:lineRule="exact"/>
        <w:rPr>
          <w:sz w:val="20"/>
          <w:szCs w:val="20"/>
          <w:color w:val="auto"/>
        </w:rPr>
      </w:pPr>
    </w:p>
    <w:p>
      <w:pPr>
        <w:jc w:val="both"/>
        <w:ind w:firstLine="8"/>
        <w:spacing w:after="0" w:line="253" w:lineRule="auto"/>
        <w:tabs>
          <w:tab w:leader="none" w:pos="2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the Company's Chief Executive Officer and Chief Financial Officer, we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2020.</w:t>
      </w:r>
    </w:p>
    <w:p>
      <w:pPr>
        <w:spacing w:after="0" w:line="7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Attestation Report of Independent Registered Public Accounting Firm</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KPMG LLP, an independent registered public accounting firm, as stated in their attestation report appearing on page F-1.</w:t>
      </w:r>
    </w:p>
    <w:p>
      <w:pPr>
        <w:spacing w:after="0" w:line="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1" w:name="page62"/>
    <w:bookmarkEnd w:id="61"/>
    <w:p>
      <w:pPr>
        <w:ind w:firstLine="405"/>
        <w:spacing w:after="0" w:line="277" w:lineRule="auto"/>
        <w:rPr>
          <w:sz w:val="20"/>
          <w:szCs w:val="20"/>
          <w:color w:val="auto"/>
        </w:rPr>
      </w:pPr>
      <w:r>
        <w:rPr>
          <w:rFonts w:ascii="Arial" w:cs="Arial" w:eastAsia="Arial" w:hAnsi="Arial"/>
          <w:sz w:val="18"/>
          <w:szCs w:val="18"/>
          <w:color w:val="auto"/>
        </w:rPr>
        <w:t>During the three months ended December 31, 2020, there were no changes in the Company's internal control over financial reporting that have materially affected, or are reasonably likely to materially affect, the Company's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Information relating to our directors, executive officers and corporate governance will be included in our definitive Proxy Statement for our 2021 Annual Meeting of Stockholders, which will be filed within 120 days of the year ended December 31, 2020 (the "2021 Proxy Statement"), which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relating to executive compensation will be included in the 2021 Proxy Statement, which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Information relating to the beneficial ownership of our common stock and related stockholder matters will be included in the 2021 Proxy Statement, which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Information relating to certain relationships and related transactions and director independence will be included in the 2021 Proxy Statement, which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Information relating to principal accountant fees and services will be included in the 2021 Proxy Statement,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3" w:name="page64"/>
    <w:bookmarkEnd w:id="63"/>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Documents filed as part of the Form 10-K: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are filed as part of this Annual Report:</w:t>
      </w:r>
    </w:p>
    <w:p>
      <w:pPr>
        <w:spacing w:after="0" w:line="117" w:lineRule="exact"/>
        <w:rPr>
          <w:sz w:val="20"/>
          <w:szCs w:val="20"/>
          <w:color w:val="auto"/>
        </w:rPr>
      </w:pPr>
    </w:p>
    <w:p>
      <w:pPr>
        <w:ind w:left="560" w:hanging="309"/>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statements as indicated in the index set forth on page 68.</w:t>
      </w:r>
    </w:p>
    <w:p>
      <w:pPr>
        <w:spacing w:after="0" w:line="117" w:lineRule="exact"/>
        <w:rPr>
          <w:rFonts w:ascii="Arial" w:cs="Arial" w:eastAsia="Arial" w:hAnsi="Arial"/>
          <w:sz w:val="18"/>
          <w:szCs w:val="18"/>
          <w:color w:val="auto"/>
        </w:rPr>
      </w:pPr>
    </w:p>
    <w:p>
      <w:pPr>
        <w:ind w:left="560" w:hanging="309"/>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Schedule II—Valuation and Qualifying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Schedules other than that listed above have been omitted, since they are either not applicable, not required or the information is included elsewhere herein.</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INDEX TO EXHIBITS</w:t>
            </w:r>
          </w:p>
        </w:tc>
        <w:tc>
          <w:tcPr>
            <w:tcW w:w="48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40" w:type="dxa"/>
            <w:vAlign w:val="bottom"/>
            <w:gridSpan w:val="25"/>
            <w:vMerge w:val="restart"/>
          </w:tcPr>
          <w:p>
            <w:pPr>
              <w:ind w:left="58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86"/>
        </w:trPr>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4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3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920" w:type="dxa"/>
            <w:vAlign w:val="bottom"/>
            <w:tcBorders>
              <w:top w:val="single" w:sz="8" w:color="auto"/>
            </w:tcBorders>
            <w:gridSpan w:val="31"/>
          </w:tcPr>
          <w:p>
            <w:pPr>
              <w:spacing w:after="0"/>
              <w:rPr>
                <w:rFonts w:ascii="Arial" w:cs="Arial" w:eastAsia="Arial" w:hAnsi="Arial"/>
                <w:sz w:val="18"/>
                <w:szCs w:val="18"/>
                <w:color w:val="0000FF"/>
                <w:w w:val="92"/>
              </w:rPr>
            </w:pPr>
            <w:hyperlink r:id="rId98">
              <w:r>
                <w:rPr>
                  <w:rFonts w:ascii="Arial" w:cs="Arial" w:eastAsia="Arial" w:hAnsi="Arial"/>
                  <w:sz w:val="18"/>
                  <w:szCs w:val="18"/>
                  <w:color w:val="0000FF"/>
                  <w:w w:val="92"/>
                </w:rPr>
                <w:t>Agreement and Plan of Merger, dated as of July 29, 2018, by and among RLJE, the Company (solely for the purposes of Section 10.7</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thereof), DEH and Merger Sub (incorporated by reference to Exhibit 2.1 to the Company's Current Report on Form 8-K filed July 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98">
              <w:r>
                <w:rPr>
                  <w:rFonts w:ascii="Arial" w:cs="Arial" w:eastAsia="Arial" w:hAnsi="Arial"/>
                  <w:sz w:val="18"/>
                  <w:szCs w:val="18"/>
                  <w:color w:val="0000FF"/>
                  <w:w w:val="86"/>
                </w:rPr>
                <w:t>2018).</w:t>
              </w:r>
            </w:hyperlink>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3.1(i)</w:t>
            </w:r>
          </w:p>
        </w:tc>
        <w:tc>
          <w:tcPr>
            <w:tcW w:w="2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3"/>
              </w:rPr>
            </w:pPr>
            <w:hyperlink r:id="rId99">
              <w:r>
                <w:rPr>
                  <w:rFonts w:ascii="Arial" w:cs="Arial" w:eastAsia="Arial" w:hAnsi="Arial"/>
                  <w:sz w:val="18"/>
                  <w:szCs w:val="18"/>
                  <w:color w:val="0000FF"/>
                  <w:w w:val="93"/>
                </w:rPr>
                <w:t>Amended and Restated Certificate of Incorporation of AMC Networks Inc. (incorporated by reference to Exhibit 99.4 to the Company's</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Current Report on Form 8-K filed on July 1,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3.1(ii)</w:t>
            </w:r>
          </w:p>
        </w:tc>
        <w:tc>
          <w:tcPr>
            <w:tcW w:w="2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2"/>
              </w:rPr>
            </w:pPr>
            <w:hyperlink r:id="rId100">
              <w:r>
                <w:rPr>
                  <w:rFonts w:ascii="Arial" w:cs="Arial" w:eastAsia="Arial" w:hAnsi="Arial"/>
                  <w:sz w:val="18"/>
                  <w:szCs w:val="18"/>
                  <w:color w:val="0000FF"/>
                  <w:w w:val="92"/>
                </w:rPr>
                <w:t>Amended and Restated By-Laws of AMC Networks Inc. (incorporated by reference to Exhibit 99.5 to the Company's Current Report on</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Form 8-K filed on July 1, 2011).</w:t>
              </w:r>
            </w:hyperlink>
          </w:p>
        </w:tc>
        <w:tc>
          <w:tcPr>
            <w:tcW w:w="74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7"/>
              </w:rPr>
            </w:pPr>
            <w:hyperlink r:id="rId101">
              <w:r>
                <w:rPr>
                  <w:rFonts w:ascii="Arial" w:cs="Arial" w:eastAsia="Arial" w:hAnsi="Arial"/>
                  <w:sz w:val="18"/>
                  <w:szCs w:val="18"/>
                  <w:color w:val="0000FF"/>
                  <w:w w:val="97"/>
                </w:rPr>
                <w:t>Form of Registration Rights Agreement between AMC Networks Inc. and The Charles F. Dolan Children Trusts (incorporated by</w:t>
              </w:r>
            </w:hyperlink>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tcBorders>
              <w:top w:val="single" w:sz="8" w:color="0000FF"/>
            </w:tcBorders>
            <w:gridSpan w:val="13"/>
          </w:tcPr>
          <w:p>
            <w:pPr>
              <w:spacing w:after="0"/>
              <w:rPr>
                <w:rFonts w:ascii="Arial" w:cs="Arial" w:eastAsia="Arial" w:hAnsi="Arial"/>
                <w:sz w:val="18"/>
                <w:szCs w:val="18"/>
                <w:u w:val="single" w:color="auto"/>
                <w:color w:val="0000FF"/>
                <w:w w:val="95"/>
              </w:rPr>
            </w:pPr>
            <w:hyperlink r:id="rId101">
              <w:r>
                <w:rPr>
                  <w:rFonts w:ascii="Arial" w:cs="Arial" w:eastAsia="Arial" w:hAnsi="Arial"/>
                  <w:sz w:val="18"/>
                  <w:szCs w:val="18"/>
                  <w:u w:val="single" w:color="auto"/>
                  <w:color w:val="0000FF"/>
                  <w:w w:val="95"/>
                </w:rPr>
                <w:t>reference to Exhibit 3.5 to the Company's Amendment No. 5 to Registration Statement on Form 10 filed on June 6, 2011).</w:t>
              </w:r>
            </w:hyperlink>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1"/>
          </w:tcPr>
          <w:p>
            <w:pPr>
              <w:spacing w:after="0"/>
              <w:rPr>
                <w:rFonts w:ascii="Arial" w:cs="Arial" w:eastAsia="Arial" w:hAnsi="Arial"/>
                <w:sz w:val="18"/>
                <w:szCs w:val="18"/>
                <w:color w:val="0000FF"/>
                <w:w w:val="95"/>
              </w:rPr>
            </w:pPr>
            <w:hyperlink r:id="rId102">
              <w:r>
                <w:rPr>
                  <w:rFonts w:ascii="Arial" w:cs="Arial" w:eastAsia="Arial" w:hAnsi="Arial"/>
                  <w:sz w:val="18"/>
                  <w:szCs w:val="18"/>
                  <w:color w:val="0000FF"/>
                  <w:w w:val="95"/>
                </w:rPr>
                <w:t>Form of Registration Rights Agreement between AMC Networks Inc. and The Dolan Family Affiliates (incorporated by reference to</w:t>
              </w:r>
            </w:hyperlink>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4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Exhibit 3.6 to the Company's Amendment No. 5 to Registration Statement on Form 10 filed on June 6, 2011).</w:t>
              </w:r>
            </w:hyperlink>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1"/>
          </w:tcPr>
          <w:p>
            <w:pPr>
              <w:spacing w:after="0"/>
              <w:rPr>
                <w:rFonts w:ascii="Arial" w:cs="Arial" w:eastAsia="Arial" w:hAnsi="Arial"/>
                <w:sz w:val="18"/>
                <w:szCs w:val="18"/>
                <w:color w:val="0000FF"/>
                <w:w w:val="91"/>
              </w:rPr>
            </w:pPr>
            <w:hyperlink r:id="rId103">
              <w:r>
                <w:rPr>
                  <w:rFonts w:ascii="Arial" w:cs="Arial" w:eastAsia="Arial" w:hAnsi="Arial"/>
                  <w:sz w:val="18"/>
                  <w:szCs w:val="18"/>
                  <w:color w:val="0000FF"/>
                  <w:w w:val="91"/>
                </w:rPr>
                <w:t>Registration Rights Agreement, dated as of June 30, 2011, among AMC Networks Inc., the subsidiary guarantors named therein, Merrill</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9"/>
          </w:tcPr>
          <w:p>
            <w:pPr>
              <w:spacing w:after="0" w:line="156" w:lineRule="exact"/>
              <w:rPr>
                <w:rFonts w:ascii="Arial" w:cs="Arial" w:eastAsia="Arial" w:hAnsi="Arial"/>
                <w:sz w:val="18"/>
                <w:szCs w:val="18"/>
                <w:color w:val="0000FF"/>
                <w:w w:val="96"/>
              </w:rPr>
            </w:pPr>
            <w:hyperlink r:id="rId103">
              <w:r>
                <w:rPr>
                  <w:rFonts w:ascii="Arial" w:cs="Arial" w:eastAsia="Arial" w:hAnsi="Arial"/>
                  <w:sz w:val="18"/>
                  <w:szCs w:val="18"/>
                  <w:color w:val="0000FF"/>
                  <w:w w:val="96"/>
                </w:rPr>
                <w:t>Lynch, Pierce, Fenner &amp; Smith Incorporated and J.P. Morgan Securities LLC, as representatives of the several initial purchasers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8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(incorporated by reference to Exhibit 99.2 to the Company's Current Report on Form 8-K filed on July 1, 2011).</w:t>
              </w:r>
            </w:hyperlink>
          </w:p>
        </w:tc>
        <w:tc>
          <w:tcPr>
            <w:tcW w:w="2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1"/>
          </w:tcPr>
          <w:p>
            <w:pPr>
              <w:spacing w:after="0"/>
              <w:rPr>
                <w:rFonts w:ascii="Arial" w:cs="Arial" w:eastAsia="Arial" w:hAnsi="Arial"/>
                <w:sz w:val="18"/>
                <w:szCs w:val="18"/>
                <w:color w:val="0000FF"/>
                <w:w w:val="94"/>
              </w:rPr>
            </w:pPr>
            <w:hyperlink r:id="rId104">
              <w:r>
                <w:rPr>
                  <w:rFonts w:ascii="Arial" w:cs="Arial" w:eastAsia="Arial" w:hAnsi="Arial"/>
                  <w:sz w:val="18"/>
                  <w:szCs w:val="18"/>
                  <w:color w:val="0000FF"/>
                  <w:w w:val="94"/>
                </w:rPr>
                <w:t>Indenture by and among AMC Networks Inc., as Issuer, each of the guarantors party thereto and U.S. Bank National Association, as</w:t>
              </w:r>
            </w:hyperlink>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tcBorders>
              <w:top w:val="single" w:sz="8" w:color="0000FF"/>
            </w:tcBorders>
            <w:gridSpan w:val="15"/>
          </w:tcPr>
          <w:p>
            <w:pPr>
              <w:spacing w:after="0"/>
              <w:rPr>
                <w:rFonts w:ascii="Arial" w:cs="Arial" w:eastAsia="Arial" w:hAnsi="Arial"/>
                <w:sz w:val="18"/>
                <w:szCs w:val="18"/>
                <w:u w:val="single" w:color="auto"/>
                <w:color w:val="0000FF"/>
                <w:w w:val="89"/>
              </w:rPr>
            </w:pPr>
            <w:hyperlink r:id="rId104">
              <w:r>
                <w:rPr>
                  <w:rFonts w:ascii="Arial" w:cs="Arial" w:eastAsia="Arial" w:hAnsi="Arial"/>
                  <w:sz w:val="18"/>
                  <w:szCs w:val="18"/>
                  <w:u w:val="single" w:color="auto"/>
                  <w:color w:val="0000FF"/>
                  <w:w w:val="89"/>
                </w:rPr>
                <w:t>Trustee (incorporated by reference to Exhibit 4.1 to the Company's Registration Statement on Form S-3 filed on December 10, 2012)</w:t>
              </w:r>
            </w:hyperlink>
          </w:p>
        </w:tc>
        <w:tc>
          <w:tcPr>
            <w:tcW w:w="120" w:type="dxa"/>
            <w:vAlign w:val="bottom"/>
            <w:gridSpan w:val="3"/>
          </w:tcPr>
          <w:p>
            <w:pPr>
              <w:jc w:val="center"/>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1"/>
          </w:tcPr>
          <w:p>
            <w:pPr>
              <w:spacing w:after="0"/>
              <w:rPr>
                <w:rFonts w:ascii="Arial" w:cs="Arial" w:eastAsia="Arial" w:hAnsi="Arial"/>
                <w:sz w:val="18"/>
                <w:szCs w:val="18"/>
                <w:color w:val="0000FF"/>
                <w:w w:val="90"/>
              </w:rPr>
            </w:pPr>
            <w:hyperlink r:id="rId105">
              <w:r>
                <w:rPr>
                  <w:rFonts w:ascii="Arial" w:cs="Arial" w:eastAsia="Arial" w:hAnsi="Arial"/>
                  <w:sz w:val="18"/>
                  <w:szCs w:val="18"/>
                  <w:color w:val="0000FF"/>
                  <w:w w:val="90"/>
                </w:rPr>
                <w:t>First Supplemental Indenture dated as of December 17, 2012, by and among AMC Networks Inc., as Issuer, each of the guarantors party</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thereto and U.S. Bank National Association, as Trustee, relating to the AMC Networks Inc. 4.75% Senior Notes due December 15, 2022</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30"/>
          </w:tcPr>
          <w:p>
            <w:pPr>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(incorporated by reference to Exhibit 4.1 to the Company's Current Report on Form 8-K filed on December 17, 2012).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1"/>
          </w:tcPr>
          <w:p>
            <w:pPr>
              <w:spacing w:after="0"/>
              <w:rPr>
                <w:rFonts w:ascii="Arial" w:cs="Arial" w:eastAsia="Arial" w:hAnsi="Arial"/>
                <w:sz w:val="18"/>
                <w:szCs w:val="18"/>
                <w:color w:val="0000FF"/>
                <w:w w:val="91"/>
              </w:rPr>
            </w:pPr>
            <w:hyperlink r:id="rId106">
              <w:r>
                <w:rPr>
                  <w:rFonts w:ascii="Arial" w:cs="Arial" w:eastAsia="Arial" w:hAnsi="Arial"/>
                  <w:sz w:val="18"/>
                  <w:szCs w:val="18"/>
                  <w:color w:val="0000FF"/>
                  <w:w w:val="91"/>
                </w:rPr>
                <w:t>Indenture dated as of March 30, 2016, by and among AMC Networks Inc., as Issuer, each of the guarantors party thereto and U.S. Bank</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National Association, as Trustee (incorporated by reference to Exhibit 4.1 to the Company's Current Report on Form 8-K filed on July</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06">
              <w:r>
                <w:rPr>
                  <w:rFonts w:ascii="Arial" w:cs="Arial" w:eastAsia="Arial" w:hAnsi="Arial"/>
                  <w:sz w:val="18"/>
                  <w:szCs w:val="18"/>
                  <w:color w:val="0000FF"/>
                  <w:w w:val="86"/>
                </w:rPr>
                <w:t>28, 2017).</w:t>
              </w:r>
            </w:hyperlink>
          </w:p>
        </w:tc>
        <w:tc>
          <w:tcPr>
            <w:tcW w:w="5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2"/>
              </w:rPr>
            </w:pPr>
            <w:hyperlink r:id="rId107">
              <w:r>
                <w:rPr>
                  <w:rFonts w:ascii="Arial" w:cs="Arial" w:eastAsia="Arial" w:hAnsi="Arial"/>
                  <w:sz w:val="18"/>
                  <w:szCs w:val="18"/>
                  <w:color w:val="0000FF"/>
                  <w:w w:val="92"/>
                </w:rPr>
                <w:t>First Supplemental Indenture, dated as of March 30, 2016, to the Indenture, dated as of March 30, 2016, by and among AMC Networks</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Inc., as Issuer, each of the guarantors party thereto and U.S. Bank National Association, as Trustee, relating to the AMC Networks Inc.</w:t>
              </w:r>
            </w:hyperlink>
          </w:p>
        </w:tc>
        <w:tc>
          <w:tcPr>
            <w:tcW w:w="60" w:type="dxa"/>
            <w:vAlign w:val="bottom"/>
            <w:tcBorders>
              <w:top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gridSpan w:val="31"/>
          </w:tcPr>
          <w:p>
            <w:pPr>
              <w:spacing w:after="0" w:line="156" w:lineRule="exact"/>
              <w:rPr>
                <w:rFonts w:ascii="Arial" w:cs="Arial" w:eastAsia="Arial" w:hAnsi="Arial"/>
                <w:sz w:val="18"/>
                <w:szCs w:val="18"/>
                <w:color w:val="0000FF"/>
                <w:w w:val="93"/>
              </w:rPr>
            </w:pPr>
            <w:hyperlink r:id="rId107">
              <w:r>
                <w:rPr>
                  <w:rFonts w:ascii="Arial" w:cs="Arial" w:eastAsia="Arial" w:hAnsi="Arial"/>
                  <w:sz w:val="18"/>
                  <w:szCs w:val="18"/>
                  <w:color w:val="0000FF"/>
                  <w:w w:val="93"/>
                </w:rPr>
                <w:t>5.</w:t>
              </w:r>
              <w:r>
                <w:rPr>
                  <w:rFonts w:ascii="Arial" w:cs="Arial" w:eastAsia="Arial" w:hAnsi="Arial"/>
                  <w:sz w:val="18"/>
                  <w:szCs w:val="18"/>
                  <w:u w:val="single" w:color="auto"/>
                  <w:color w:val="0000FF"/>
                  <w:w w:val="93"/>
                </w:rPr>
                <w:t>00%</w:t>
              </w:r>
              <w:r>
                <w:rPr>
                  <w:rFonts w:ascii="Arial" w:cs="Arial" w:eastAsia="Arial" w:hAnsi="Arial"/>
                  <w:sz w:val="18"/>
                  <w:szCs w:val="18"/>
                  <w:color w:val="0000FF"/>
                  <w:w w:val="93"/>
                </w:rPr>
                <w:t xml:space="preserve"> Senior Notes due April 1, 2024 (incorporated by reference to Exhibit 4.1 to the Company's Current Report on Form 8-K filed on</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07">
              <w:r>
                <w:rPr>
                  <w:rFonts w:ascii="Arial" w:cs="Arial" w:eastAsia="Arial" w:hAnsi="Arial"/>
                  <w:sz w:val="18"/>
                  <w:szCs w:val="18"/>
                  <w:color w:val="0000FF"/>
                  <w:w w:val="89"/>
                </w:rPr>
                <w:t>March 30, 2016).</w:t>
              </w:r>
            </w:hyperlink>
          </w:p>
        </w:tc>
        <w:tc>
          <w:tcPr>
            <w:tcW w:w="8500" w:type="dxa"/>
            <w:vAlign w:val="bottom"/>
            <w:tcBorders>
              <w:top w:val="single" w:sz="8" w:color="0000FF"/>
            </w:tcBorders>
            <w:gridSpan w:val="19"/>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4"/>
              </w:rPr>
            </w:pPr>
            <w:hyperlink r:id="rId108">
              <w:r>
                <w:rPr>
                  <w:rFonts w:ascii="Arial" w:cs="Arial" w:eastAsia="Arial" w:hAnsi="Arial"/>
                  <w:sz w:val="18"/>
                  <w:szCs w:val="18"/>
                  <w:color w:val="0000FF"/>
                  <w:w w:val="94"/>
                </w:rPr>
                <w:t>Second Supplemental Indenture, dated as of July 28, 2017 to the Indenture, dated as of March 30, 2016, among AMC Networks, as</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4"/>
          </w:tcPr>
          <w:p>
            <w:pPr>
              <w:spacing w:after="0" w:line="15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issuer, the Guarantors and U.S. Bank National Association, as Trustee, and Form of Notes (incorporated by reference to Exhibit 4.2</w:t>
              </w:r>
            </w:hyperlink>
          </w:p>
        </w:tc>
        <w:tc>
          <w:tcPr>
            <w:tcW w:w="480" w:type="dxa"/>
            <w:vAlign w:val="bottom"/>
            <w:gridSpan w:val="17"/>
          </w:tcPr>
          <w:p>
            <w:pPr>
              <w:jc w:val="center"/>
              <w:ind w:right="220"/>
              <w:spacing w:after="0" w:line="15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to</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the Company's Current Report on Form 8-K filed on July 28, 2017).</w:t>
              </w:r>
            </w:hyperlink>
          </w:p>
        </w:tc>
        <w:tc>
          <w:tcPr>
            <w:tcW w:w="4740" w:type="dxa"/>
            <w:vAlign w:val="bottom"/>
            <w:tcBorders>
              <w:top w:val="single" w:sz="8" w:color="0000FF"/>
            </w:tcBorders>
            <w:gridSpan w:val="12"/>
          </w:tcPr>
          <w:p>
            <w:pPr>
              <w:spacing w:after="0"/>
              <w:rPr>
                <w:sz w:val="13"/>
                <w:szCs w:val="13"/>
                <w:color w:val="auto"/>
              </w:rPr>
            </w:pPr>
          </w:p>
        </w:tc>
        <w:tc>
          <w:tcPr>
            <w:tcW w:w="20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3"/>
              </w:rPr>
            </w:pPr>
            <w:hyperlink r:id="rId109">
              <w:r>
                <w:rPr>
                  <w:rFonts w:ascii="Arial" w:cs="Arial" w:eastAsia="Arial" w:hAnsi="Arial"/>
                  <w:sz w:val="18"/>
                  <w:szCs w:val="18"/>
                  <w:color w:val="0000FF"/>
                  <w:w w:val="93"/>
                </w:rPr>
                <w:t>Third Supplemental Indenture, dated as of February 8, 2021, to the Indenture, dated as of March 30, 2016, among AMC Networks, as</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top w:val="single" w:sz="8" w:color="0000FF"/>
            </w:tcBorders>
            <w:gridSpan w:val="18"/>
          </w:tcPr>
          <w:p>
            <w:pPr>
              <w:spacing w:after="0" w:line="182"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issuer, the Guarantors and U.S. Bank National Association, as Trustee, and Form of Notes (incorporated by reference to Exhibit 4.2 to</w:t>
              </w:r>
            </w:hyperlink>
          </w:p>
        </w:tc>
        <w:tc>
          <w:tcPr>
            <w:tcW w:w="220" w:type="dxa"/>
            <w:vAlign w:val="bottom"/>
            <w:gridSpan w:val="9"/>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the Company's Current Report on Form 8-K filed on February 8, 2021)</w:t>
              </w:r>
            </w:hyperlink>
          </w:p>
        </w:tc>
        <w:tc>
          <w:tcPr>
            <w:tcW w:w="200" w:type="dxa"/>
            <w:vAlign w:val="bottom"/>
            <w:gridSpan w:val="8"/>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1"/>
              </w:rPr>
              <w:t>4.10</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00" w:type="dxa"/>
            <w:vAlign w:val="bottom"/>
            <w:gridSpan w:val="8"/>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gridSpan w:val="1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Description of AMC Networks Inc.'s Securities Registered under Section 12 of the Exchange Act.</w:t>
              </w:r>
            </w:hyperlink>
          </w:p>
        </w:tc>
        <w:tc>
          <w:tcPr>
            <w:tcW w:w="0" w:type="dxa"/>
            <w:vAlign w:val="bottom"/>
          </w:tcPr>
          <w:p>
            <w:pPr>
              <w:spacing w:after="0"/>
              <w:rPr>
                <w:sz w:val="1"/>
                <w:szCs w:val="1"/>
                <w:color w:val="auto"/>
              </w:rPr>
            </w:pPr>
          </w:p>
        </w:tc>
      </w:tr>
      <w:tr>
        <w:trPr>
          <w:trHeight w:val="256"/>
        </w:trPr>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1"/>
          </w:tcPr>
          <w:p>
            <w:pPr>
              <w:spacing w:after="0"/>
              <w:rPr>
                <w:rFonts w:ascii="Arial" w:cs="Arial" w:eastAsia="Arial" w:hAnsi="Arial"/>
                <w:sz w:val="18"/>
                <w:szCs w:val="18"/>
                <w:color w:val="0000FF"/>
                <w:w w:val="92"/>
              </w:rPr>
            </w:pPr>
            <w:hyperlink r:id="rId110">
              <w:r>
                <w:rPr>
                  <w:rFonts w:ascii="Arial" w:cs="Arial" w:eastAsia="Arial" w:hAnsi="Arial"/>
                  <w:sz w:val="18"/>
                  <w:szCs w:val="18"/>
                  <w:color w:val="0000FF"/>
                  <w:w w:val="92"/>
                </w:rPr>
                <w:t>Form of Tax Disaffiliation Agreement between Cablevision Systems Corporation and AMC Networks Inc. (incorporated by reference to</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Exhibit 10.2 to the Company's Amendment No. 5 to Registration Statement on Form 10 filed on June 6, 2011).</w:t>
              </w:r>
            </w:hyperlink>
          </w:p>
        </w:tc>
        <w:tc>
          <w:tcPr>
            <w:tcW w:w="1860" w:type="dxa"/>
            <w:vAlign w:val="bottom"/>
            <w:tcBorders>
              <w:top w:val="single" w:sz="8" w:color="0000FF"/>
            </w:tcBorders>
            <w:gridSpan w:val="17"/>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rPr>
            </w:pPr>
            <w:hyperlink r:id="rId111">
              <w:r>
                <w:rPr>
                  <w:rFonts w:ascii="Arial" w:cs="Arial" w:eastAsia="Arial" w:hAnsi="Arial"/>
                  <w:sz w:val="18"/>
                  <w:szCs w:val="18"/>
                  <w:color w:val="0000FF"/>
                </w:rPr>
                <w:t>Form of Standstill Agreement by and among AMC Networks Inc. and The Dolan Family Group (incorporated by reference to</w:t>
              </w:r>
            </w:hyperlink>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tcBorders>
              <w:top w:val="single" w:sz="8" w:color="0000FF"/>
            </w:tcBorders>
            <w:gridSpan w:val="11"/>
          </w:tcPr>
          <w:p>
            <w:pPr>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Exhibit 10.5 to the Company's Amendment No. 5 to Registration Statement on Form 10 filed on June 6, 2011).</w:t>
              </w:r>
            </w:hyperlink>
          </w:p>
        </w:tc>
        <w:tc>
          <w:tcPr>
            <w:tcW w:w="88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91"/>
              </w:rPr>
              <w:t>10.3</w:t>
            </w:r>
          </w:p>
        </w:tc>
        <w:tc>
          <w:tcPr>
            <w:tcW w:w="9900" w:type="dxa"/>
            <w:vAlign w:val="bottom"/>
            <w:gridSpan w:val="31"/>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Second Amended and Restated Credit Agreement, dated as of July 28, 2017, among AMC Networks and its subsidiary, AMC Network</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976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Entertainment LLC, as the initial borrowers, certain of AMC Networks’ subsidiaries, as restricted subsidiaries, JPMorgan Chase 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9720" w:type="dxa"/>
            <w:vAlign w:val="bottom"/>
            <w:tcBorders>
              <w:top w:val="single" w:sz="8" w:color="0000FF"/>
            </w:tcBorders>
            <w:gridSpan w:val="22"/>
          </w:tcPr>
          <w:p>
            <w:pPr>
              <w:spacing w:after="0" w:line="15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N.A., as Administrative Agent, Collateral Agent and an L/C Issuer and the lenders party thereto (incorporated by reference to Exhibit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on July 28, 2017).</w:t>
              </w:r>
            </w:hyperlink>
          </w:p>
        </w:tc>
        <w:tc>
          <w:tcPr>
            <w:tcW w:w="4160" w:type="dxa"/>
            <w:vAlign w:val="bottom"/>
            <w:tcBorders>
              <w:top w:val="single" w:sz="8" w:color="0000FF"/>
            </w:tcBorders>
            <w:gridSpan w:val="17"/>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91"/>
              </w:rPr>
              <w:t>10.4</w:t>
            </w:r>
          </w:p>
        </w:tc>
        <w:tc>
          <w:tcPr>
            <w:tcW w:w="9900" w:type="dxa"/>
            <w:vAlign w:val="bottom"/>
            <w:gridSpan w:val="31"/>
          </w:tcPr>
          <w:p>
            <w:pPr>
              <w:spacing w:after="0"/>
              <w:rPr>
                <w:rFonts w:ascii="Arial" w:cs="Arial" w:eastAsia="Arial" w:hAnsi="Arial"/>
                <w:sz w:val="18"/>
                <w:szCs w:val="18"/>
                <w:color w:val="0000FF"/>
                <w:w w:val="91"/>
              </w:rPr>
            </w:pPr>
            <w:hyperlink r:id="rId114">
              <w:r>
                <w:rPr>
                  <w:rFonts w:ascii="Arial" w:cs="Arial" w:eastAsia="Arial" w:hAnsi="Arial"/>
                  <w:sz w:val="18"/>
                  <w:szCs w:val="18"/>
                  <w:color w:val="0000FF"/>
                  <w:w w:val="91"/>
                </w:rPr>
                <w:t>Amendment No. 1, dated as of February 8, 2021, to the Second Amended and Restated Credit Agreement, dated as of July 28, 2017, in</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9780" w:type="dxa"/>
            <w:vAlign w:val="bottom"/>
            <w:tcBorders>
              <w:top w:val="single" w:sz="8" w:color="0000FF"/>
            </w:tcBorders>
            <w:gridSpan w:val="25"/>
          </w:tcPr>
          <w:p>
            <w:pPr>
              <w:spacing w:after="0" w:line="182" w:lineRule="exact"/>
              <w:rPr>
                <w:rFonts w:ascii="Arial" w:cs="Arial" w:eastAsia="Arial" w:hAnsi="Arial"/>
                <w:sz w:val="18"/>
                <w:szCs w:val="18"/>
                <w:color w:val="0000FF"/>
                <w:w w:val="96"/>
              </w:rPr>
            </w:pPr>
            <w:hyperlink r:id="rId114">
              <w:r>
                <w:rPr>
                  <w:rFonts w:ascii="Arial" w:cs="Arial" w:eastAsia="Arial" w:hAnsi="Arial"/>
                  <w:sz w:val="18"/>
                  <w:szCs w:val="18"/>
                  <w:color w:val="0000FF"/>
                  <w:w w:val="96"/>
                </w:rPr>
                <w:t>each case, among AMC Networks and its subsidiary, AMC Network Entertainment LLC, as the initial borrowers, certain of AMC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936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89"/>
              </w:rPr>
            </w:pPr>
            <w:hyperlink r:id="rId114">
              <w:r>
                <w:rPr>
                  <w:rFonts w:ascii="Arial" w:cs="Arial" w:eastAsia="Arial" w:hAnsi="Arial"/>
                  <w:sz w:val="18"/>
                  <w:szCs w:val="18"/>
                  <w:color w:val="0000FF"/>
                  <w:w w:val="89"/>
                </w:rPr>
                <w:t>Networks’ subsidiaries, as restricted subsidiaries, Bank of America, N.A., as an L/C Issuer, the lenders party thereto and JPMorgan</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9440" w:type="dxa"/>
            <w:vAlign w:val="bottom"/>
            <w:gridSpan w:val="17"/>
          </w:tcPr>
          <w:p>
            <w:pPr>
              <w:spacing w:after="0" w:line="195" w:lineRule="exact"/>
              <w:rPr>
                <w:rFonts w:ascii="Arial" w:cs="Arial" w:eastAsia="Arial" w:hAnsi="Arial"/>
                <w:sz w:val="18"/>
                <w:szCs w:val="18"/>
                <w:u w:val="single" w:color="auto"/>
                <w:color w:val="0000FF"/>
                <w:w w:val="93"/>
              </w:rPr>
            </w:pPr>
            <w:hyperlink r:id="rId114">
              <w:r>
                <w:rPr>
                  <w:rFonts w:ascii="Arial" w:cs="Arial" w:eastAsia="Arial" w:hAnsi="Arial"/>
                  <w:sz w:val="18"/>
                  <w:szCs w:val="18"/>
                  <w:u w:val="single" w:color="auto"/>
                  <w:color w:val="0000FF"/>
                  <w:w w:val="93"/>
                </w:rPr>
                <w:t>Chase Bank, N.A., as Administrative Agent, Collateral Agent and an L/C Issuer (incorporated by reference to Exhibit 10.1 to the</w:t>
              </w:r>
            </w:hyperlink>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9900" w:type="dxa"/>
            <w:vAlign w:val="bottom"/>
            <w:gridSpan w:val="31"/>
          </w:tcPr>
          <w:p>
            <w:pPr>
              <w:spacing w:after="0"/>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Company’s Current Report on Form 8-K filed on February 8, 2021)</w:t>
              </w:r>
            </w:hyperlink>
          </w:p>
        </w:tc>
        <w:tc>
          <w:tcPr>
            <w:tcW w:w="0" w:type="dxa"/>
            <w:vAlign w:val="bottom"/>
          </w:tcPr>
          <w:p>
            <w:pPr>
              <w:spacing w:after="0"/>
              <w:rPr>
                <w:sz w:val="1"/>
                <w:szCs w:val="1"/>
                <w:color w:val="auto"/>
              </w:rPr>
            </w:pPr>
          </w:p>
        </w:tc>
      </w:tr>
      <w:tr>
        <w:trPr>
          <w:trHeight w:val="310"/>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91"/>
              </w:rPr>
              <w:t>10.5</w:t>
            </w:r>
          </w:p>
        </w:tc>
        <w:tc>
          <w:tcPr>
            <w:tcW w:w="9900" w:type="dxa"/>
            <w:vAlign w:val="bottom"/>
            <w:gridSpan w:val="31"/>
          </w:tcPr>
          <w:p>
            <w:pPr>
              <w:spacing w:after="0"/>
              <w:rPr>
                <w:rFonts w:ascii="Arial" w:cs="Arial" w:eastAsia="Arial" w:hAnsi="Arial"/>
                <w:sz w:val="18"/>
                <w:szCs w:val="18"/>
                <w:color w:val="0000FF"/>
                <w:w w:val="92"/>
              </w:rPr>
            </w:pPr>
            <w:hyperlink r:id="rId115">
              <w:r>
                <w:rPr>
                  <w:rFonts w:ascii="Arial" w:cs="Arial" w:eastAsia="Arial" w:hAnsi="Arial"/>
                  <w:sz w:val="18"/>
                  <w:szCs w:val="18"/>
                  <w:u w:val="single" w:color="auto"/>
                  <w:color w:val="0000FF"/>
                  <w:w w:val="92"/>
                </w:rPr>
                <w:t>AMC Networks Inc. Amended and Restated 2011 Stock Plan For Non-Employee Directors</w:t>
              </w:r>
              <w:r>
                <w:rPr>
                  <w:rFonts w:ascii="Arial" w:cs="Arial" w:eastAsia="Arial" w:hAnsi="Arial"/>
                  <w:sz w:val="18"/>
                  <w:szCs w:val="18"/>
                  <w:color w:val="0000FF"/>
                  <w:w w:val="92"/>
                </w:rPr>
                <w:t xml:space="preserve"> (incorporated by reference to Exhibit 10.2 to</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6620" w:type="dxa"/>
            <w:vAlign w:val="bottom"/>
            <w:gridSpan w:val="7"/>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the Company’s Quarterly Report on Form 10-Q filed on August 5, 2020)</w:t>
              </w:r>
            </w:hyperlink>
          </w:p>
        </w:tc>
        <w:tc>
          <w:tcPr>
            <w:tcW w:w="4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7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gridSpan w:val="2"/>
          </w:tcPr>
          <w:p>
            <w:pPr>
              <w:spacing w:after="0"/>
              <w:rPr>
                <w:sz w:val="15"/>
                <w:szCs w:val="15"/>
                <w:color w:val="auto"/>
              </w:rPr>
            </w:pPr>
          </w:p>
        </w:tc>
        <w:tc>
          <w:tcPr>
            <w:tcW w:w="180" w:type="dxa"/>
            <w:vAlign w:val="bottom"/>
            <w:tcBorders>
              <w:top w:val="single" w:sz="8" w:color="0000FF"/>
            </w:tcBorders>
            <w:gridSpan w:val="2"/>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gridSpan w:val="2"/>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60" w:type="dxa"/>
            <w:vAlign w:val="bottom"/>
            <w:tcBorders>
              <w:top w:val="single" w:sz="8" w:color="0000FF"/>
            </w:tcBorders>
            <w:gridSpan w:val="3"/>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91"/>
              </w:rPr>
              <w:t>10.6</w:t>
            </w:r>
          </w:p>
        </w:tc>
        <w:tc>
          <w:tcPr>
            <w:tcW w:w="9900" w:type="dxa"/>
            <w:vAlign w:val="bottom"/>
            <w:gridSpan w:val="31"/>
          </w:tcPr>
          <w:p>
            <w:pPr>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Form of Employment Agreement by and between AMC Networks Inc. and Charles F. Dolan (incorporated by reference to Exhibit 10.13</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16">
              <w:r>
                <w:rPr>
                  <w:rFonts w:ascii="Arial" w:cs="Arial" w:eastAsia="Arial" w:hAnsi="Arial"/>
                  <w:sz w:val="18"/>
                  <w:szCs w:val="18"/>
                  <w:color w:val="0000FF"/>
                  <w:w w:val="90"/>
                </w:rPr>
                <w:t>to the Company's Amendment No. 5 to Registration Statement on Form 10 filed on June 6, 2011).</w:t>
              </w:r>
            </w:hyperlink>
          </w:p>
        </w:tc>
        <w:tc>
          <w:tcPr>
            <w:tcW w:w="28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91"/>
              </w:rPr>
              <w:t>10.7</w:t>
            </w:r>
          </w:p>
        </w:tc>
        <w:tc>
          <w:tcPr>
            <w:tcW w:w="9900" w:type="dxa"/>
            <w:vAlign w:val="bottom"/>
            <w:gridSpan w:val="31"/>
          </w:tcPr>
          <w:p>
            <w:pPr>
              <w:spacing w:after="0"/>
              <w:rPr>
                <w:rFonts w:ascii="Arial" w:cs="Arial" w:eastAsia="Arial" w:hAnsi="Arial"/>
                <w:sz w:val="18"/>
                <w:szCs w:val="18"/>
                <w:color w:val="0000FF"/>
                <w:w w:val="93"/>
              </w:rPr>
            </w:pPr>
            <w:hyperlink r:id="rId117">
              <w:r>
                <w:rPr>
                  <w:rFonts w:ascii="Arial" w:cs="Arial" w:eastAsia="Arial" w:hAnsi="Arial"/>
                  <w:sz w:val="18"/>
                  <w:szCs w:val="18"/>
                  <w:color w:val="0000FF"/>
                  <w:w w:val="93"/>
                </w:rPr>
                <w:t>Amendment to Employment Agreement, dated as of September 15, 2020, by and between AMC Networks Inc. and Charles F. Dolan</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9560" w:type="dxa"/>
            <w:vAlign w:val="bottom"/>
            <w:tcBorders>
              <w:top w:val="single" w:sz="8" w:color="0000FF"/>
            </w:tcBorders>
            <w:gridSpan w:val="18"/>
          </w:tcPr>
          <w:p>
            <w:pPr>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(incorporated by reference to Exhibit 10.1 to the Company's Current Report on Form 8-K filed on September 15, 2020).</w:t>
              </w:r>
            </w:hyperlink>
          </w:p>
        </w:tc>
        <w:tc>
          <w:tcPr>
            <w:tcW w:w="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91"/>
              </w:rPr>
              <w:t>10.8</w:t>
            </w:r>
          </w:p>
        </w:tc>
        <w:tc>
          <w:tcPr>
            <w:tcW w:w="9900" w:type="dxa"/>
            <w:vAlign w:val="bottom"/>
            <w:gridSpan w:val="31"/>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Amended and Restated Employment Agreement dated April 24, 2014, between AMC Networks Inc. and Joshua W. Sapan (incorporated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by reference to Exhibit 10.1 to the Company's Current Report on Form 8-K filed April 29, 2014).</w:t>
              </w:r>
            </w:hyperlink>
          </w:p>
        </w:tc>
        <w:tc>
          <w:tcPr>
            <w:tcW w:w="280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91"/>
              </w:rPr>
              <w:t>10.9</w:t>
            </w:r>
          </w:p>
        </w:tc>
        <w:tc>
          <w:tcPr>
            <w:tcW w:w="9900" w:type="dxa"/>
            <w:vAlign w:val="bottom"/>
            <w:gridSpan w:val="31"/>
          </w:tcPr>
          <w:p>
            <w:pPr>
              <w:spacing w:after="0"/>
              <w:rPr>
                <w:rFonts w:ascii="Arial" w:cs="Arial" w:eastAsia="Arial" w:hAnsi="Arial"/>
                <w:sz w:val="18"/>
                <w:szCs w:val="18"/>
                <w:u w:val="single" w:color="auto"/>
                <w:color w:val="0000FF"/>
                <w:w w:val="96"/>
              </w:rPr>
            </w:pPr>
            <w:hyperlink w:anchor="page121">
              <w:r>
                <w:rPr>
                  <w:rFonts w:ascii="Arial" w:cs="Arial" w:eastAsia="Arial" w:hAnsi="Arial"/>
                  <w:sz w:val="18"/>
                  <w:szCs w:val="18"/>
                  <w:u w:val="single" w:color="auto"/>
                  <w:color w:val="0000FF"/>
                  <w:w w:val="96"/>
                </w:rPr>
                <w:t>Amended and Restated Employment Agreement dated December 11, 2020, between AMC Networks Inc. and Joshua W. Sapan</w:t>
              </w:r>
            </w:hyperlink>
          </w:p>
        </w:tc>
        <w:tc>
          <w:tcPr>
            <w:tcW w:w="0" w:type="dxa"/>
            <w:vAlign w:val="bottom"/>
          </w:tcPr>
          <w:p>
            <w:pPr>
              <w:spacing w:after="0"/>
              <w:rPr>
                <w:sz w:val="1"/>
                <w:szCs w:val="1"/>
                <w:color w:val="auto"/>
              </w:rPr>
            </w:pPr>
          </w:p>
        </w:tc>
      </w:tr>
      <w:tr>
        <w:trPr>
          <w:trHeight w:val="283"/>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88"/>
              </w:rPr>
              <w:t>10.10</w:t>
            </w:r>
          </w:p>
        </w:tc>
        <w:tc>
          <w:tcPr>
            <w:tcW w:w="9900" w:type="dxa"/>
            <w:vAlign w:val="bottom"/>
            <w:gridSpan w:val="31"/>
          </w:tcPr>
          <w:p>
            <w:pPr>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Amended and Restated Employment Agreement dated October 13, 2016 by and between AMC Networks Inc. and Edward A. Carroll</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960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(incorporated by reference to Exhibit 10.1 to the Company's Current Report on Form 8-K filed on October 14, 2016).</w:t>
              </w:r>
            </w:hyperlink>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88"/>
              </w:rPr>
              <w:t>10.11</w:t>
            </w:r>
          </w:p>
        </w:tc>
        <w:tc>
          <w:tcPr>
            <w:tcW w:w="9900" w:type="dxa"/>
            <w:vAlign w:val="bottom"/>
            <w:gridSpan w:val="31"/>
          </w:tcPr>
          <w:p>
            <w:pPr>
              <w:spacing w:after="0"/>
              <w:rPr>
                <w:rFonts w:ascii="Arial" w:cs="Arial" w:eastAsia="Arial" w:hAnsi="Arial"/>
                <w:sz w:val="18"/>
                <w:szCs w:val="18"/>
                <w:color w:val="0000FF"/>
                <w:w w:val="92"/>
              </w:rPr>
            </w:pPr>
            <w:hyperlink r:id="rId120">
              <w:r>
                <w:rPr>
                  <w:rFonts w:ascii="Arial" w:cs="Arial" w:eastAsia="Arial" w:hAnsi="Arial"/>
                  <w:sz w:val="18"/>
                  <w:szCs w:val="18"/>
                  <w:color w:val="0000FF"/>
                  <w:w w:val="92"/>
                </w:rPr>
                <w:t>Employment Agreement dated October 12, 2018 by and between AMC Networks Inc. and Sean S. Sullivan (incorporated by reference</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to Exhibit 10.1 to the Company’s Current Report on Form 8-K filed on October 12, 2018).</w:t>
              </w:r>
            </w:hyperlink>
          </w:p>
        </w:tc>
        <w:tc>
          <w:tcPr>
            <w:tcW w:w="318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88"/>
              </w:rPr>
              <w:t>10.12</w:t>
            </w:r>
          </w:p>
        </w:tc>
        <w:tc>
          <w:tcPr>
            <w:tcW w:w="9900" w:type="dxa"/>
            <w:vAlign w:val="bottom"/>
            <w:gridSpan w:val="31"/>
          </w:tcPr>
          <w:p>
            <w:pPr>
              <w:spacing w:after="0"/>
              <w:rPr>
                <w:rFonts w:ascii="Arial" w:cs="Arial" w:eastAsia="Arial" w:hAnsi="Arial"/>
                <w:sz w:val="18"/>
                <w:szCs w:val="18"/>
                <w:color w:val="0000FF"/>
                <w:w w:val="97"/>
              </w:rPr>
            </w:pPr>
            <w:hyperlink r:id="rId121">
              <w:r>
                <w:rPr>
                  <w:rFonts w:ascii="Arial" w:cs="Arial" w:eastAsia="Arial" w:hAnsi="Arial"/>
                  <w:sz w:val="18"/>
                  <w:szCs w:val="18"/>
                  <w:color w:val="0000FF"/>
                  <w:w w:val="97"/>
                </w:rPr>
                <w:t>Employment Agreement dated October 12, 2018 by and between AMC Networks Inc. and James G. Gallagher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92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reference to Exhibit 10.2 to the Company’s Current Report on Form 8-K filed on October 12, 2018).</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6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88"/>
              </w:rPr>
              <w:t>10.13</w:t>
            </w:r>
          </w:p>
        </w:tc>
        <w:tc>
          <w:tcPr>
            <w:tcW w:w="9900" w:type="dxa"/>
            <w:vAlign w:val="bottom"/>
            <w:gridSpan w:val="31"/>
          </w:tcPr>
          <w:p>
            <w:pPr>
              <w:spacing w:after="0"/>
              <w:rPr>
                <w:rFonts w:ascii="Arial" w:cs="Arial" w:eastAsia="Arial" w:hAnsi="Arial"/>
                <w:sz w:val="18"/>
                <w:szCs w:val="18"/>
                <w:color w:val="0E32E1"/>
                <w:w w:val="92"/>
              </w:rPr>
            </w:pPr>
            <w:hyperlink r:id="rId122">
              <w:r>
                <w:rPr>
                  <w:rFonts w:ascii="Arial" w:cs="Arial" w:eastAsia="Arial" w:hAnsi="Arial"/>
                  <w:sz w:val="18"/>
                  <w:szCs w:val="18"/>
                  <w:color w:val="0E32E1"/>
                  <w:w w:val="92"/>
                </w:rPr>
                <w:t>Employment Agreement dated March 8, 2019 by and between AMC Networks Inc. and Christian B. Wymbs (incorporated by reference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9800" w:type="dxa"/>
            <w:vAlign w:val="bottom"/>
            <w:tcBorders>
              <w:top w:val="single" w:sz="8" w:color="0E32E1"/>
            </w:tcBorders>
            <w:gridSpan w:val="26"/>
          </w:tcPr>
          <w:p>
            <w:pPr>
              <w:spacing w:after="0" w:line="156" w:lineRule="exact"/>
              <w:rPr>
                <w:rFonts w:ascii="Arial" w:cs="Arial" w:eastAsia="Arial" w:hAnsi="Arial"/>
                <w:sz w:val="18"/>
                <w:szCs w:val="18"/>
                <w:color w:val="0E32E1"/>
              </w:rPr>
            </w:pPr>
            <w:hyperlink r:id="rId122">
              <w:r>
                <w:rPr>
                  <w:rFonts w:ascii="Arial" w:cs="Arial" w:eastAsia="Arial" w:hAnsi="Arial"/>
                  <w:sz w:val="18"/>
                  <w:szCs w:val="18"/>
                  <w:color w:val="0E32E1"/>
                </w:rPr>
                <w:t>to Exhibit 10.2 to the Company's Quarterly Report on Form 10-Q for the quarter ended March 31, 2019)</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ind w:right="550"/>
              <w:spacing w:after="0"/>
              <w:rPr>
                <w:sz w:val="20"/>
                <w:szCs w:val="20"/>
                <w:color w:val="auto"/>
              </w:rPr>
            </w:pPr>
            <w:r>
              <w:rPr>
                <w:rFonts w:ascii="Arial" w:cs="Arial" w:eastAsia="Arial" w:hAnsi="Arial"/>
                <w:sz w:val="18"/>
                <w:szCs w:val="18"/>
                <w:color w:val="auto"/>
                <w:w w:val="88"/>
              </w:rPr>
              <w:t>10.14</w:t>
            </w:r>
          </w:p>
        </w:tc>
        <w:tc>
          <w:tcPr>
            <w:tcW w:w="4280" w:type="dxa"/>
            <w:vAlign w:val="bottom"/>
            <w:shd w:val="clear" w:color="auto" w:fill="0E32E1"/>
          </w:tcPr>
          <w:p>
            <w:pPr>
              <w:spacing w:after="0" w:line="20" w:lineRule="exact"/>
              <w:rPr>
                <w:sz w:val="1"/>
                <w:szCs w:val="1"/>
                <w:color w:val="auto"/>
              </w:rPr>
            </w:pPr>
          </w:p>
        </w:tc>
        <w:tc>
          <w:tcPr>
            <w:tcW w:w="1480" w:type="dxa"/>
            <w:vAlign w:val="bottom"/>
            <w:gridSpan w:val="3"/>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960" w:type="dxa"/>
            <w:vAlign w:val="bottom"/>
            <w:gridSpan w:val="5"/>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vMerge w:val="continue"/>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FF"/>
                <w:w w:val="95"/>
              </w:rPr>
            </w:pPr>
            <w:hyperlink r:id="rId123">
              <w:r>
                <w:rPr>
                  <w:rFonts w:ascii="Arial" w:cs="Arial" w:eastAsia="Arial" w:hAnsi="Arial"/>
                  <w:sz w:val="18"/>
                  <w:szCs w:val="18"/>
                  <w:color w:val="0000FF"/>
                  <w:w w:val="95"/>
                </w:rPr>
                <w:t>Employment Agreement between AMC Networks Inc. and Donna Coleman, dated October 16, 2020 (incorporated by reference to</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938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Exhibit 10.1 to the Company's Current Report on Form 8-K filed on October 16, 2020)</w:t>
              </w:r>
            </w:hyperlink>
          </w:p>
        </w:tc>
        <w:tc>
          <w:tcPr>
            <w:tcW w:w="360" w:type="dxa"/>
            <w:vAlign w:val="bottom"/>
            <w:gridSpan w:val="7"/>
          </w:tcPr>
          <w:p>
            <w:pPr>
              <w:spacing w:after="0"/>
              <w:rPr>
                <w:sz w:val="15"/>
                <w:szCs w:val="15"/>
                <w:color w:val="auto"/>
              </w:rPr>
            </w:pPr>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ind w:right="550"/>
              <w:spacing w:after="0"/>
              <w:rPr>
                <w:sz w:val="20"/>
                <w:szCs w:val="20"/>
                <w:color w:val="auto"/>
              </w:rPr>
            </w:pPr>
            <w:r>
              <w:rPr>
                <w:rFonts w:ascii="Arial" w:cs="Arial" w:eastAsia="Arial" w:hAnsi="Arial"/>
                <w:sz w:val="18"/>
                <w:szCs w:val="18"/>
                <w:color w:val="auto"/>
                <w:w w:val="88"/>
              </w:rPr>
              <w:t>10.15</w:t>
            </w:r>
          </w:p>
        </w:tc>
        <w:tc>
          <w:tcPr>
            <w:tcW w:w="428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vMerge w:val="continue"/>
          </w:tcPr>
          <w:p>
            <w:pPr>
              <w:spacing w:after="0"/>
              <w:rPr>
                <w:sz w:val="24"/>
                <w:szCs w:val="24"/>
                <w:color w:val="auto"/>
              </w:rPr>
            </w:pPr>
          </w:p>
        </w:tc>
        <w:tc>
          <w:tcPr>
            <w:tcW w:w="9900" w:type="dxa"/>
            <w:vAlign w:val="bottom"/>
            <w:gridSpan w:val="31"/>
          </w:tcPr>
          <w:p>
            <w:pPr>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Employment Agreement dated January 12, 2021, between AMC Networks Inc. and Christina Spade</w:t>
              </w:r>
            </w:hyperlink>
          </w:p>
        </w:tc>
        <w:tc>
          <w:tcPr>
            <w:tcW w:w="0" w:type="dxa"/>
            <w:vAlign w:val="bottom"/>
          </w:tcPr>
          <w:p>
            <w:pPr>
              <w:spacing w:after="0"/>
              <w:rPr>
                <w:sz w:val="1"/>
                <w:szCs w:val="1"/>
                <w:color w:val="auto"/>
              </w:rPr>
            </w:pPr>
          </w:p>
        </w:tc>
      </w:tr>
      <w:tr>
        <w:trPr>
          <w:trHeight w:val="256"/>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88"/>
              </w:rPr>
              <w:t>10.16</w:t>
            </w:r>
          </w:p>
        </w:tc>
        <w:tc>
          <w:tcPr>
            <w:tcW w:w="9900" w:type="dxa"/>
            <w:vAlign w:val="bottom"/>
            <w:gridSpan w:val="31"/>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Form of AMC Networks Inc. Non-Employee Director Award Agreement (incorporated by reference to Exhibit 10.22 to the Company's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Amendment No. 5 to Registration Statement on Form 10 filed on June 6, 2011).</w:t>
              </w:r>
            </w:hyperlink>
          </w:p>
        </w:tc>
        <w:tc>
          <w:tcPr>
            <w:tcW w:w="3980" w:type="dxa"/>
            <w:vAlign w:val="bottom"/>
            <w:tcBorders>
              <w:top w:val="single" w:sz="8" w:color="0000FF"/>
            </w:tcBorders>
            <w:gridSpan w:val="19"/>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88"/>
              </w:rPr>
              <w:t>10.17</w:t>
            </w:r>
          </w:p>
        </w:tc>
        <w:tc>
          <w:tcPr>
            <w:tcW w:w="9900" w:type="dxa"/>
            <w:vAlign w:val="bottom"/>
            <w:gridSpan w:val="31"/>
          </w:tcPr>
          <w:p>
            <w:pPr>
              <w:spacing w:after="0"/>
              <w:rPr>
                <w:rFonts w:ascii="Arial" w:cs="Arial" w:eastAsia="Arial" w:hAnsi="Arial"/>
                <w:sz w:val="18"/>
                <w:szCs w:val="18"/>
                <w:color w:val="0000FF"/>
                <w:w w:val="92"/>
              </w:rPr>
            </w:pPr>
            <w:hyperlink r:id="rId125">
              <w:r>
                <w:rPr>
                  <w:rFonts w:ascii="Arial" w:cs="Arial" w:eastAsia="Arial" w:hAnsi="Arial"/>
                  <w:sz w:val="18"/>
                  <w:szCs w:val="18"/>
                  <w:color w:val="0000FF"/>
                  <w:w w:val="92"/>
                </w:rPr>
                <w:t>Form of AMC Networks Inc. Non-Employee Director Agreement (incorporated by reference to Exhibit 10.4 to the Company's Quarterly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25">
              <w:r>
                <w:rPr>
                  <w:rFonts w:ascii="Arial" w:cs="Arial" w:eastAsia="Arial" w:hAnsi="Arial"/>
                  <w:sz w:val="18"/>
                  <w:szCs w:val="18"/>
                  <w:color w:val="0000FF"/>
                  <w:w w:val="89"/>
                </w:rPr>
                <w:t>Report on Form 10-Q for the quarter ended June 30, 2012).</w:t>
              </w:r>
            </w:hyperlink>
          </w:p>
        </w:tc>
        <w:tc>
          <w:tcPr>
            <w:tcW w:w="560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88"/>
              </w:rPr>
              <w:t>10.18</w:t>
            </w:r>
          </w:p>
        </w:tc>
        <w:tc>
          <w:tcPr>
            <w:tcW w:w="9900" w:type="dxa"/>
            <w:vAlign w:val="bottom"/>
            <w:gridSpan w:val="31"/>
          </w:tcPr>
          <w:p>
            <w:pPr>
              <w:spacing w:after="0"/>
              <w:rPr>
                <w:rFonts w:ascii="Arial" w:cs="Arial" w:eastAsia="Arial" w:hAnsi="Arial"/>
                <w:sz w:val="18"/>
                <w:szCs w:val="18"/>
                <w:color w:val="0000FF"/>
                <w:w w:val="97"/>
              </w:rPr>
            </w:pPr>
            <w:hyperlink r:id="rId126">
              <w:r>
                <w:rPr>
                  <w:rFonts w:ascii="Arial" w:cs="Arial" w:eastAsia="Arial" w:hAnsi="Arial"/>
                  <w:sz w:val="18"/>
                  <w:szCs w:val="18"/>
                  <w:color w:val="0000FF"/>
                  <w:w w:val="97"/>
                </w:rPr>
                <w:t>Form of Restricted Stock Unit Award Agreement under the Amended and Restated 2011 Employee Stock Plan (incorporated by</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924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reference to Exhibit 10.32 to the Company's Annual Report on Form 10-K for the year ended December 31, 2015).</w:t>
              </w:r>
            </w:hyperlink>
          </w:p>
        </w:tc>
        <w:tc>
          <w:tcPr>
            <w:tcW w:w="80" w:type="dxa"/>
            <w:vAlign w:val="bottom"/>
          </w:tcPr>
          <w:p>
            <w:pPr>
              <w:spacing w:after="0"/>
              <w:rPr>
                <w:sz w:val="19"/>
                <w:szCs w:val="19"/>
                <w:color w:val="auto"/>
              </w:rPr>
            </w:pPr>
          </w:p>
        </w:tc>
        <w:tc>
          <w:tcPr>
            <w:tcW w:w="58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40" w:type="dxa"/>
            <w:vAlign w:val="bottom"/>
          </w:tcPr>
          <w:p>
            <w:pPr>
              <w:jc w:val="center"/>
              <w:ind w:right="550"/>
              <w:spacing w:after="0"/>
              <w:rPr>
                <w:sz w:val="20"/>
                <w:szCs w:val="20"/>
                <w:color w:val="auto"/>
              </w:rPr>
            </w:pPr>
            <w:r>
              <w:rPr>
                <w:rFonts w:ascii="Arial" w:cs="Arial" w:eastAsia="Arial" w:hAnsi="Arial"/>
                <w:sz w:val="18"/>
                <w:szCs w:val="18"/>
                <w:color w:val="auto"/>
                <w:w w:val="88"/>
              </w:rPr>
              <w:t>10.19</w:t>
            </w:r>
          </w:p>
        </w:tc>
        <w:tc>
          <w:tcPr>
            <w:tcW w:w="9900" w:type="dxa"/>
            <w:vAlign w:val="bottom"/>
            <w:gridSpan w:val="31"/>
          </w:tcPr>
          <w:p>
            <w:pPr>
              <w:spacing w:after="0"/>
              <w:rPr>
                <w:rFonts w:ascii="Arial" w:cs="Arial" w:eastAsia="Arial" w:hAnsi="Arial"/>
                <w:sz w:val="18"/>
                <w:szCs w:val="18"/>
                <w:color w:val="0000FF"/>
                <w:w w:val="97"/>
              </w:rPr>
            </w:pPr>
            <w:hyperlink r:id="rId127">
              <w:r>
                <w:rPr>
                  <w:rFonts w:ascii="Arial" w:cs="Arial" w:eastAsia="Arial" w:hAnsi="Arial"/>
                  <w:sz w:val="18"/>
                  <w:szCs w:val="18"/>
                  <w:color w:val="0000FF"/>
                  <w:w w:val="97"/>
                </w:rPr>
                <w:t>Restricted Stock Unit Agreement dated October 13, 2016, between AMC Networks Inc. and Edward A,. Carroll (incorporated by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reference to Exhibit 10.2 to the Company's Current Report on Form 8-K filed on October 14, 2016).</w:t>
              </w:r>
            </w:hyperlink>
          </w:p>
        </w:tc>
        <w:tc>
          <w:tcPr>
            <w:tcW w:w="2100" w:type="dxa"/>
            <w:vAlign w:val="bottom"/>
            <w:tcBorders>
              <w:top w:val="single" w:sz="8" w:color="0000FF"/>
            </w:tcBorders>
            <w:gridSpan w:val="4"/>
          </w:tcPr>
          <w:p>
            <w:pPr>
              <w:spacing w:after="0"/>
              <w:rPr>
                <w:sz w:val="13"/>
                <w:szCs w:val="13"/>
                <w:color w:val="auto"/>
              </w:rPr>
            </w:pPr>
          </w:p>
        </w:tc>
        <w:tc>
          <w:tcPr>
            <w:tcW w:w="5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20" w:top="918" w:right="399" w:bottom="1440" w:gutter="0" w:footer="0" w:header="0"/>
        </w:sectPr>
      </w:pPr>
    </w:p>
    <w:bookmarkStart w:id="66" w:name="page67"/>
    <w:bookmarkEnd w:id="66"/>
    <w:tbl>
      <w:tblPr>
        <w:tblLayout w:type="fixed"/>
        <w:tblInd w:w="300" w:type="dxa"/>
        <w:tblCellMar>
          <w:top w:w="0" w:type="dxa"/>
          <w:left w:w="0" w:type="dxa"/>
          <w:bottom w:w="0" w:type="dxa"/>
          <w:right w:w="0" w:type="dxa"/>
        </w:tblCellMar>
      </w:tblPr>
      <w:tr>
        <w:trPr>
          <w:trHeight w:val="207"/>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10.20</w:t>
            </w:r>
          </w:p>
        </w:tc>
        <w:tc>
          <w:tcPr>
            <w:tcW w:w="9760" w:type="dxa"/>
            <w:vAlign w:val="bottom"/>
            <w:gridSpan w:val="16"/>
          </w:tcPr>
          <w:p>
            <w:pPr>
              <w:spacing w:after="0"/>
              <w:rPr>
                <w:rFonts w:ascii="Arial" w:cs="Arial" w:eastAsia="Arial" w:hAnsi="Arial"/>
                <w:sz w:val="18"/>
                <w:szCs w:val="18"/>
                <w:color w:val="0000FF"/>
                <w:w w:val="92"/>
              </w:rPr>
            </w:pPr>
            <w:hyperlink r:id="rId129">
              <w:r>
                <w:rPr>
                  <w:rFonts w:ascii="Arial" w:cs="Arial" w:eastAsia="Arial" w:hAnsi="Arial"/>
                  <w:sz w:val="18"/>
                  <w:szCs w:val="18"/>
                  <w:color w:val="0000FF"/>
                  <w:w w:val="92"/>
                </w:rPr>
                <w:t>AMC Networks Inc. Amended and Restated 2016 Employee Stock Plan (incorporated by reference to Exhibit 10.1 to the Company’s</w:t>
              </w:r>
            </w:hyperlink>
          </w:p>
        </w:tc>
      </w:tr>
      <w:tr>
        <w:trPr>
          <w:trHeight w:val="183"/>
        </w:trPr>
        <w:tc>
          <w:tcPr>
            <w:tcW w:w="1040" w:type="dxa"/>
            <w:vAlign w:val="bottom"/>
          </w:tcPr>
          <w:p>
            <w:pPr>
              <w:spacing w:after="0"/>
              <w:rPr>
                <w:sz w:val="15"/>
                <w:szCs w:val="15"/>
                <w:color w:val="auto"/>
              </w:rPr>
            </w:pPr>
          </w:p>
        </w:tc>
        <w:tc>
          <w:tcPr>
            <w:tcW w:w="41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Quarterly Report on Form 10-Q filed on August 5, 2020)</w:t>
              </w:r>
            </w:hyperlink>
          </w:p>
        </w:tc>
        <w:tc>
          <w:tcPr>
            <w:tcW w:w="54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10.21</w:t>
            </w:r>
          </w:p>
        </w:tc>
        <w:tc>
          <w:tcPr>
            <w:tcW w:w="9760" w:type="dxa"/>
            <w:vAlign w:val="bottom"/>
            <w:gridSpan w:val="16"/>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AMC Networks Inc. 2016 Executive Cash Incentive Plan (incorporated by reference to Appendix B to the Company's Definitive Proxy</w:t>
              </w:r>
            </w:hyperlink>
          </w:p>
        </w:tc>
      </w:tr>
      <w:tr>
        <w:trPr>
          <w:trHeight w:val="155"/>
        </w:trPr>
        <w:tc>
          <w:tcPr>
            <w:tcW w:w="104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Statement filed on April 28, 2016).</w:t>
              </w:r>
            </w:hyperlink>
          </w:p>
        </w:tc>
        <w:tc>
          <w:tcPr>
            <w:tcW w:w="72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10.22</w:t>
            </w:r>
          </w:p>
        </w:tc>
        <w:tc>
          <w:tcPr>
            <w:tcW w:w="9760" w:type="dxa"/>
            <w:vAlign w:val="bottom"/>
            <w:gridSpan w:val="16"/>
          </w:tcPr>
          <w:p>
            <w:pPr>
              <w:spacing w:after="0"/>
              <w:rPr>
                <w:rFonts w:ascii="Arial" w:cs="Arial" w:eastAsia="Arial" w:hAnsi="Arial"/>
                <w:sz w:val="18"/>
                <w:szCs w:val="18"/>
                <w:color w:val="0000FF"/>
                <w:w w:val="92"/>
              </w:rPr>
            </w:pPr>
            <w:hyperlink r:id="rId131">
              <w:r>
                <w:rPr>
                  <w:rFonts w:ascii="Arial" w:cs="Arial" w:eastAsia="Arial" w:hAnsi="Arial"/>
                  <w:sz w:val="18"/>
                  <w:szCs w:val="18"/>
                  <w:color w:val="0000FF"/>
                  <w:w w:val="92"/>
                </w:rPr>
                <w:t>Shared Executive Space Cost Sharing Arrangement (incorporated by reference to Exhibit 10.1 to the Company's Quarterly Report on</w:t>
              </w:r>
            </w:hyperlink>
          </w:p>
        </w:tc>
      </w:tr>
      <w:tr>
        <w:trPr>
          <w:trHeight w:val="156"/>
        </w:trPr>
        <w:tc>
          <w:tcPr>
            <w:tcW w:w="104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31">
              <w:r>
                <w:rPr>
                  <w:rFonts w:ascii="Arial" w:cs="Arial" w:eastAsia="Arial" w:hAnsi="Arial"/>
                  <w:sz w:val="18"/>
                  <w:szCs w:val="18"/>
                  <w:color w:val="0000FF"/>
                  <w:w w:val="89"/>
                </w:rPr>
                <w:t>Form 10-Q for the quarter ended June 30, 2016).</w:t>
              </w:r>
            </w:hyperlink>
          </w:p>
        </w:tc>
        <w:tc>
          <w:tcPr>
            <w:tcW w:w="60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04"/>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10.23</w:t>
            </w:r>
          </w:p>
        </w:tc>
        <w:tc>
          <w:tcPr>
            <w:tcW w:w="9760" w:type="dxa"/>
            <w:vAlign w:val="bottom"/>
            <w:gridSpan w:val="16"/>
          </w:tcPr>
          <w:p>
            <w:pPr>
              <w:spacing w:after="0"/>
              <w:rPr>
                <w:rFonts w:ascii="Arial" w:cs="Arial" w:eastAsia="Arial" w:hAnsi="Arial"/>
                <w:sz w:val="18"/>
                <w:szCs w:val="18"/>
                <w:color w:val="0000FF"/>
                <w:w w:val="92"/>
              </w:rPr>
            </w:pPr>
            <w:hyperlink r:id="rId132">
              <w:r>
                <w:rPr>
                  <w:rFonts w:ascii="Arial" w:cs="Arial" w:eastAsia="Arial" w:hAnsi="Arial"/>
                  <w:sz w:val="18"/>
                  <w:szCs w:val="18"/>
                  <w:u w:val="single" w:color="auto"/>
                  <w:color w:val="0000FF"/>
                  <w:w w:val="92"/>
                </w:rPr>
                <w:t>Form of Performance Restricted Stock Unit Award Agreement</w:t>
              </w:r>
              <w:r>
                <w:rPr>
                  <w:rFonts w:ascii="Arial" w:cs="Arial" w:eastAsia="Arial" w:hAnsi="Arial"/>
                  <w:sz w:val="18"/>
                  <w:szCs w:val="18"/>
                  <w:color w:val="0000FF"/>
                  <w:w w:val="92"/>
                </w:rPr>
                <w:t xml:space="preserve"> (incorporated by reference to Exhibit 10.21 on Form 10-K for the year</w:t>
              </w:r>
            </w:hyperlink>
          </w:p>
        </w:tc>
      </w:tr>
      <w:tr>
        <w:trPr>
          <w:trHeight w:val="156"/>
        </w:trPr>
        <w:tc>
          <w:tcPr>
            <w:tcW w:w="1040" w:type="dxa"/>
            <w:vAlign w:val="bottom"/>
          </w:tcPr>
          <w:p>
            <w:pPr>
              <w:spacing w:after="0"/>
              <w:rPr>
                <w:sz w:val="13"/>
                <w:szCs w:val="13"/>
                <w:color w:val="auto"/>
              </w:rPr>
            </w:pPr>
          </w:p>
        </w:tc>
        <w:tc>
          <w:tcPr>
            <w:tcW w:w="4560" w:type="dxa"/>
            <w:vAlign w:val="bottom"/>
            <w:gridSpan w:val="8"/>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ended December 31, 2017).</w:t>
              </w:r>
            </w:hyperlink>
          </w:p>
        </w:tc>
        <w:tc>
          <w:tcPr>
            <w:tcW w:w="45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58"/>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10.24</w:t>
            </w:r>
          </w:p>
        </w:tc>
        <w:tc>
          <w:tcPr>
            <w:tcW w:w="9760" w:type="dxa"/>
            <w:vAlign w:val="bottom"/>
            <w:gridSpan w:val="16"/>
          </w:tcPr>
          <w:p>
            <w:pPr>
              <w:spacing w:after="0"/>
              <w:rPr>
                <w:rFonts w:ascii="Arial" w:cs="Arial" w:eastAsia="Arial" w:hAnsi="Arial"/>
                <w:sz w:val="18"/>
                <w:szCs w:val="18"/>
                <w:color w:val="0000FF"/>
                <w:w w:val="97"/>
              </w:rPr>
            </w:pPr>
            <w:hyperlink r:id="rId133">
              <w:r>
                <w:rPr>
                  <w:rFonts w:ascii="Arial" w:cs="Arial" w:eastAsia="Arial" w:hAnsi="Arial"/>
                  <w:sz w:val="18"/>
                  <w:szCs w:val="18"/>
                  <w:u w:val="single" w:color="auto"/>
                  <w:color w:val="0000FF"/>
                  <w:w w:val="97"/>
                </w:rPr>
                <w:t>Form of Restricted Stock Unit Award Agreement</w:t>
              </w:r>
              <w:r>
                <w:rPr>
                  <w:rFonts w:ascii="Arial" w:cs="Arial" w:eastAsia="Arial" w:hAnsi="Arial"/>
                  <w:sz w:val="18"/>
                  <w:szCs w:val="18"/>
                  <w:color w:val="0000FF"/>
                  <w:w w:val="97"/>
                </w:rPr>
                <w:t xml:space="preserve"> (incorporated by reference to Exhibit 10.22 on Form 10-K for the year ended</w:t>
              </w:r>
            </w:hyperlink>
          </w:p>
        </w:tc>
      </w:tr>
      <w:tr>
        <w:trPr>
          <w:trHeight w:val="155"/>
        </w:trPr>
        <w:tc>
          <w:tcPr>
            <w:tcW w:w="1040" w:type="dxa"/>
            <w:vAlign w:val="bottom"/>
          </w:tcPr>
          <w:p>
            <w:pPr>
              <w:spacing w:after="0"/>
              <w:rPr>
                <w:sz w:val="13"/>
                <w:szCs w:val="13"/>
                <w:color w:val="auto"/>
              </w:rPr>
            </w:pPr>
          </w:p>
        </w:tc>
        <w:tc>
          <w:tcPr>
            <w:tcW w:w="3600" w:type="dxa"/>
            <w:vAlign w:val="bottom"/>
            <w:gridSpan w:val="6"/>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December 31, 2017).</w:t>
              </w:r>
            </w:hyperlink>
          </w:p>
        </w:tc>
        <w:tc>
          <w:tcPr>
            <w:tcW w:w="5540" w:type="dxa"/>
            <w:vAlign w:val="bottom"/>
            <w:tcBorders>
              <w:top w:val="single" w:sz="8" w:color="0000FF"/>
            </w:tcBorders>
            <w:gridSpan w:val="3"/>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10.25</w:t>
            </w:r>
          </w:p>
        </w:tc>
        <w:tc>
          <w:tcPr>
            <w:tcW w:w="9760" w:type="dxa"/>
            <w:vAlign w:val="bottom"/>
            <w:gridSpan w:val="16"/>
          </w:tcPr>
          <w:p>
            <w:pPr>
              <w:spacing w:after="0"/>
              <w:rPr>
                <w:rFonts w:ascii="Arial" w:cs="Arial" w:eastAsia="Arial" w:hAnsi="Arial"/>
                <w:sz w:val="18"/>
                <w:szCs w:val="18"/>
                <w:color w:val="0000FF"/>
                <w:w w:val="92"/>
              </w:rPr>
            </w:pPr>
            <w:hyperlink r:id="rId134">
              <w:r>
                <w:rPr>
                  <w:rFonts w:ascii="Arial" w:cs="Arial" w:eastAsia="Arial" w:hAnsi="Arial"/>
                  <w:sz w:val="18"/>
                  <w:szCs w:val="18"/>
                  <w:color w:val="0000FF"/>
                  <w:w w:val="92"/>
                </w:rPr>
                <w:t>Form of Performance Cash Award Agreement (incorporated by reference to Exhibit 10.1 to the Company's Quarterly Report on Form</w:t>
              </w:r>
            </w:hyperlink>
          </w:p>
        </w:tc>
      </w:tr>
      <w:tr>
        <w:trPr>
          <w:trHeight w:val="156"/>
        </w:trPr>
        <w:tc>
          <w:tcPr>
            <w:tcW w:w="1040" w:type="dxa"/>
            <w:vAlign w:val="bottom"/>
          </w:tcPr>
          <w:p>
            <w:pPr>
              <w:spacing w:after="0"/>
              <w:rPr>
                <w:sz w:val="13"/>
                <w:szCs w:val="13"/>
                <w:color w:val="auto"/>
              </w:rPr>
            </w:pPr>
          </w:p>
        </w:tc>
        <w:tc>
          <w:tcPr>
            <w:tcW w:w="96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10-Q for the quarter ended March 31, 2020).</w:t>
              </w:r>
            </w:hyperlink>
          </w:p>
        </w:tc>
        <w:tc>
          <w:tcPr>
            <w:tcW w:w="140" w:type="dxa"/>
            <w:vAlign w:val="bottom"/>
            <w:gridSpan w:val="3"/>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263"/>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10.26</w:t>
            </w:r>
          </w:p>
        </w:tc>
        <w:tc>
          <w:tcPr>
            <w:tcW w:w="9760" w:type="dxa"/>
            <w:vAlign w:val="bottom"/>
            <w:gridSpan w:val="16"/>
          </w:tcPr>
          <w:p>
            <w:pPr>
              <w:spacing w:after="0"/>
              <w:rPr>
                <w:rFonts w:ascii="Arial" w:cs="Arial" w:eastAsia="Arial" w:hAnsi="Arial"/>
                <w:sz w:val="18"/>
                <w:szCs w:val="18"/>
                <w:color w:val="0000FF"/>
                <w:w w:val="93"/>
              </w:rPr>
            </w:pPr>
            <w:hyperlink r:id="rId135">
              <w:r>
                <w:rPr>
                  <w:rFonts w:ascii="Arial" w:cs="Arial" w:eastAsia="Arial" w:hAnsi="Arial"/>
                  <w:sz w:val="18"/>
                  <w:szCs w:val="18"/>
                  <w:color w:val="0000FF"/>
                  <w:w w:val="93"/>
                </w:rPr>
                <w:t>Master Services Agreement, dated February 8, 2019, by and between Rainbow Media Holdings LLC and 605 LLC (incorporated by</w:t>
              </w:r>
            </w:hyperlink>
          </w:p>
        </w:tc>
      </w:tr>
      <w:tr>
        <w:trPr>
          <w:trHeight w:val="224"/>
        </w:trPr>
        <w:tc>
          <w:tcPr>
            <w:tcW w:w="1040" w:type="dxa"/>
            <w:vAlign w:val="bottom"/>
          </w:tcPr>
          <w:p>
            <w:pPr>
              <w:spacing w:after="0"/>
              <w:rPr>
                <w:sz w:val="19"/>
                <w:szCs w:val="19"/>
                <w:color w:val="auto"/>
              </w:rPr>
            </w:pPr>
          </w:p>
        </w:tc>
        <w:tc>
          <w:tcPr>
            <w:tcW w:w="952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reference to Exhibit 10.1 to the Company's Quarterly Report on Form 10-Q for the quarter ended March 31, 2019).</w:t>
              </w:r>
            </w:hyperlink>
          </w:p>
        </w:tc>
        <w:tc>
          <w:tcPr>
            <w:tcW w:w="240" w:type="dxa"/>
            <w:vAlign w:val="bottom"/>
            <w:gridSpan w:val="6"/>
          </w:tcPr>
          <w:p>
            <w:pPr>
              <w:spacing w:after="0"/>
              <w:rPr>
                <w:sz w:val="19"/>
                <w:szCs w:val="19"/>
                <w:color w:val="auto"/>
              </w:rPr>
            </w:pPr>
          </w:p>
        </w:tc>
      </w:tr>
    </w:tbl>
    <w:p>
      <w:pPr>
        <w:spacing w:after="0" w:line="66" w:lineRule="exact"/>
        <w:rPr>
          <w:sz w:val="20"/>
          <w:szCs w:val="20"/>
          <w:color w:val="auto"/>
        </w:rPr>
      </w:pPr>
    </w:p>
    <w:p>
      <w:pPr>
        <w:ind w:left="1340" w:hanging="936"/>
        <w:spacing w:after="0"/>
        <w:tabs>
          <w:tab w:leader="none" w:pos="1340" w:val="left"/>
        </w:tabs>
        <w:numPr>
          <w:ilvl w:val="0"/>
          <w:numId w:val="33"/>
        </w:numPr>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Subsidiaries of the Registrant.</w:t>
        </w:r>
      </w:hyperlink>
    </w:p>
    <w:p>
      <w:pPr>
        <w:spacing w:after="0" w:line="130" w:lineRule="exact"/>
        <w:rPr>
          <w:rFonts w:ascii="Arial" w:cs="Arial" w:eastAsia="Arial" w:hAnsi="Arial"/>
          <w:sz w:val="18"/>
          <w:szCs w:val="18"/>
          <w:u w:val="single" w:color="auto"/>
          <w:color w:val="0000FF"/>
        </w:rPr>
      </w:pPr>
    </w:p>
    <w:p>
      <w:pPr>
        <w:ind w:left="1340" w:hanging="936"/>
        <w:spacing w:after="0"/>
        <w:tabs>
          <w:tab w:leader="none" w:pos="1340" w:val="left"/>
        </w:tabs>
        <w:numPr>
          <w:ilvl w:val="0"/>
          <w:numId w:val="33"/>
        </w:numPr>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List of Guarantor Subsidiaries.</w:t>
        </w:r>
      </w:hyperlink>
    </w:p>
    <w:p>
      <w:pPr>
        <w:spacing w:after="0" w:line="90" w:lineRule="exact"/>
        <w:rPr>
          <w:rFonts w:ascii="Arial" w:cs="Arial" w:eastAsia="Arial" w:hAnsi="Arial"/>
          <w:sz w:val="18"/>
          <w:szCs w:val="18"/>
          <w:u w:val="single" w:color="auto"/>
          <w:color w:val="0000FF"/>
        </w:rPr>
      </w:pPr>
    </w:p>
    <w:p>
      <w:pPr>
        <w:ind w:left="1340" w:hanging="936"/>
        <w:spacing w:after="0"/>
        <w:tabs>
          <w:tab w:leader="none" w:pos="1340" w:val="left"/>
        </w:tabs>
        <w:numPr>
          <w:ilvl w:val="0"/>
          <w:numId w:val="33"/>
        </w:numPr>
        <w:rPr>
          <w:rFonts w:ascii="Arial" w:cs="Arial" w:eastAsia="Arial" w:hAnsi="Arial"/>
          <w:sz w:val="18"/>
          <w:szCs w:val="18"/>
          <w:color w:val="0000FF"/>
        </w:rPr>
      </w:pPr>
      <w:hyperlink w:anchor="page153">
        <w:r>
          <w:rPr>
            <w:rFonts w:ascii="Arial" w:cs="Arial" w:eastAsia="Arial" w:hAnsi="Arial"/>
            <w:sz w:val="18"/>
            <w:szCs w:val="18"/>
            <w:u w:val="single" w:color="auto"/>
            <w:color w:val="0000FF"/>
          </w:rPr>
          <w:t>Consent of Independent Registered Public Accounting Firm</w:t>
        </w:r>
        <w:r>
          <w:rPr>
            <w:rFonts w:ascii="Arial" w:cs="Arial" w:eastAsia="Arial" w:hAnsi="Arial"/>
            <w:sz w:val="18"/>
            <w:szCs w:val="18"/>
            <w:color w:val="0000FF"/>
          </w:rPr>
          <w:t>.</w:t>
        </w:r>
      </w:hyperlink>
    </w:p>
    <w:p>
      <w:pPr>
        <w:spacing w:after="0" w:line="117" w:lineRule="exact"/>
        <w:rPr>
          <w:rFonts w:ascii="Arial" w:cs="Arial" w:eastAsia="Arial" w:hAnsi="Arial"/>
          <w:sz w:val="18"/>
          <w:szCs w:val="18"/>
          <w:color w:val="0000FF"/>
        </w:rPr>
      </w:pPr>
    </w:p>
    <w:p>
      <w:pPr>
        <w:ind w:left="1340" w:hanging="936"/>
        <w:spacing w:after="0"/>
        <w:tabs>
          <w:tab w:leader="none" w:pos="1340" w:val="left"/>
        </w:tabs>
        <w:numPr>
          <w:ilvl w:val="0"/>
          <w:numId w:val="33"/>
        </w:numPr>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Power of Attorney (included on the signature page to this Annual Report on Form 10-K).</w:t>
        </w:r>
      </w:hyperlink>
    </w:p>
    <w:p>
      <w:pPr>
        <w:spacing w:after="0" w:line="117" w:lineRule="exact"/>
        <w:rPr>
          <w:rFonts w:ascii="Arial" w:cs="Arial" w:eastAsia="Arial" w:hAnsi="Arial"/>
          <w:sz w:val="18"/>
          <w:szCs w:val="18"/>
          <w:color w:val="auto"/>
        </w:rPr>
      </w:pPr>
    </w:p>
    <w:tbl>
      <w:tblPr>
        <w:tblLayout w:type="fixed"/>
        <w:tblInd w:w="340" w:type="dxa"/>
        <w:tblCellMar>
          <w:top w:w="0" w:type="dxa"/>
          <w:left w:w="0" w:type="dxa"/>
          <w:bottom w:w="0" w:type="dxa"/>
          <w:right w:w="0" w:type="dxa"/>
        </w:tblCellMar>
      </w:tblPr>
      <w:tr>
        <w:trPr>
          <w:trHeight w:val="230"/>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31.1</w:t>
            </w:r>
          </w:p>
        </w:tc>
        <w:tc>
          <w:tcPr>
            <w:tcW w:w="7580" w:type="dxa"/>
            <w:vAlign w:val="bottom"/>
          </w:tcPr>
          <w:p>
            <w:pPr>
              <w:ind w:left="340"/>
              <w:spacing w:after="0"/>
              <w:rPr>
                <w:rFonts w:ascii="Arial" w:cs="Arial" w:eastAsia="Arial" w:hAnsi="Arial"/>
                <w:sz w:val="18"/>
                <w:szCs w:val="18"/>
                <w:u w:val="single" w:color="auto"/>
                <w:color w:val="0000FF"/>
                <w:w w:val="92"/>
              </w:rPr>
            </w:pPr>
            <w:hyperlink w:anchor="page154">
              <w:r>
                <w:rPr>
                  <w:rFonts w:ascii="Arial" w:cs="Arial" w:eastAsia="Arial" w:hAnsi="Arial"/>
                  <w:sz w:val="18"/>
                  <w:szCs w:val="18"/>
                  <w:u w:val="single" w:color="auto"/>
                  <w:color w:val="0000FF"/>
                  <w:w w:val="92"/>
                </w:rPr>
                <w:t>Certification of Chief Executive Officer pursuant to Section 302 of the Sarbanes-Oxley Act of 2002.</w:t>
              </w:r>
            </w:hyperlink>
          </w:p>
        </w:tc>
      </w:tr>
      <w:tr>
        <w:trPr>
          <w:trHeight w:val="324"/>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31.2</w:t>
            </w:r>
          </w:p>
        </w:tc>
        <w:tc>
          <w:tcPr>
            <w:tcW w:w="7580" w:type="dxa"/>
            <w:vAlign w:val="bottom"/>
          </w:tcPr>
          <w:p>
            <w:pPr>
              <w:ind w:left="340"/>
              <w:spacing w:after="0"/>
              <w:rPr>
                <w:rFonts w:ascii="Arial" w:cs="Arial" w:eastAsia="Arial" w:hAnsi="Arial"/>
                <w:sz w:val="18"/>
                <w:szCs w:val="18"/>
                <w:u w:val="single" w:color="auto"/>
                <w:color w:val="0000FF"/>
                <w:w w:val="92"/>
              </w:rPr>
            </w:pPr>
            <w:hyperlink w:anchor="page155">
              <w:r>
                <w:rPr>
                  <w:rFonts w:ascii="Arial" w:cs="Arial" w:eastAsia="Arial" w:hAnsi="Arial"/>
                  <w:sz w:val="18"/>
                  <w:szCs w:val="18"/>
                  <w:u w:val="single" w:color="auto"/>
                  <w:color w:val="0000FF"/>
                  <w:w w:val="92"/>
                </w:rPr>
                <w:t>Certification of Chief Financial Officer pursuant to Section 302 of the Sarbanes-Oxley Act of 2002.</w:t>
              </w:r>
            </w:hyperlink>
          </w:p>
        </w:tc>
      </w:tr>
    </w:tbl>
    <w:p>
      <w:pPr>
        <w:spacing w:after="0" w:line="94" w:lineRule="exact"/>
        <w:rPr>
          <w:sz w:val="20"/>
          <w:szCs w:val="20"/>
          <w:color w:val="auto"/>
        </w:rPr>
      </w:pPr>
    </w:p>
    <w:p>
      <w:pPr>
        <w:ind w:left="1340" w:right="340" w:hanging="936"/>
        <w:spacing w:after="0" w:line="235" w:lineRule="auto"/>
        <w:tabs>
          <w:tab w:leader="none" w:pos="1340" w:val="left"/>
        </w:tabs>
        <w:numPr>
          <w:ilvl w:val="0"/>
          <w:numId w:val="34"/>
        </w:numPr>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Certifications of Chief Executive Officer and Chief Financial Officer pursuant to Section 906 of the Sarbanes-Oxley Act of 2002, 18</w:t>
        </w:r>
      </w:hyperlink>
      <w:r>
        <w:rPr>
          <w:rFonts w:ascii="Arial" w:cs="Arial" w:eastAsia="Arial" w:hAnsi="Arial"/>
          <w:sz w:val="18"/>
          <w:szCs w:val="18"/>
          <w:u w:val="single" w:color="auto"/>
          <w:color w:val="0000FF"/>
        </w:rPr>
        <w:t xml:space="preserve"> </w:t>
      </w:r>
      <w:hyperlink w:anchor="page156">
        <w:r>
          <w:rPr>
            <w:rFonts w:ascii="Arial" w:cs="Arial" w:eastAsia="Arial" w:hAnsi="Arial"/>
            <w:sz w:val="18"/>
            <w:szCs w:val="18"/>
            <w:u w:val="single" w:color="auto"/>
            <w:color w:val="0000FF"/>
          </w:rPr>
          <w:t>U.S.C. Section 1350.</w:t>
        </w:r>
      </w:hyperlink>
    </w:p>
    <w:p>
      <w:pPr>
        <w:spacing w:after="0" w:line="94" w:lineRule="exact"/>
        <w:rPr>
          <w:rFonts w:ascii="Arial" w:cs="Arial" w:eastAsia="Arial" w:hAnsi="Arial"/>
          <w:sz w:val="18"/>
          <w:szCs w:val="18"/>
          <w:color w:val="auto"/>
        </w:rPr>
      </w:pPr>
    </w:p>
    <w:tbl>
      <w:tblPr>
        <w:tblLayout w:type="fixed"/>
        <w:tblInd w:w="160" w:type="dxa"/>
        <w:tblCellMar>
          <w:top w:w="0" w:type="dxa"/>
          <w:left w:w="0" w:type="dxa"/>
          <w:bottom w:w="0" w:type="dxa"/>
          <w:right w:w="0" w:type="dxa"/>
        </w:tblCellMar>
      </w:tblPr>
      <w:tr>
        <w:trPr>
          <w:trHeight w:val="230"/>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2"/>
              </w:rPr>
              <w:t>101.INS</w:t>
            </w:r>
          </w:p>
        </w:tc>
        <w:tc>
          <w:tcPr>
            <w:tcW w:w="47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101.SCH</w:t>
            </w:r>
          </w:p>
        </w:tc>
        <w:tc>
          <w:tcPr>
            <w:tcW w:w="47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7"/>
              </w:rPr>
              <w:t>101.CAL</w:t>
            </w:r>
          </w:p>
        </w:tc>
        <w:tc>
          <w:tcPr>
            <w:tcW w:w="478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2"/>
              </w:rPr>
              <w:t>101.DEF</w:t>
            </w:r>
          </w:p>
        </w:tc>
        <w:tc>
          <w:tcPr>
            <w:tcW w:w="47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8"/>
              </w:rPr>
              <w:t>101.LAB</w:t>
            </w:r>
          </w:p>
        </w:tc>
        <w:tc>
          <w:tcPr>
            <w:tcW w:w="47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88"/>
              </w:rPr>
              <w:t>101.PRE</w:t>
            </w:r>
          </w:p>
        </w:tc>
        <w:tc>
          <w:tcPr>
            <w:tcW w:w="478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rFonts w:ascii="Arial" w:cs="Arial" w:eastAsia="Arial" w:hAnsi="Arial"/>
          <w:sz w:val="18"/>
          <w:szCs w:val="18"/>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00" w:lineRule="exact"/>
        <w:rPr>
          <w:rFonts w:ascii="Arial" w:cs="Arial" w:eastAsia="Arial" w:hAnsi="Arial"/>
          <w:sz w:val="18"/>
          <w:szCs w:val="18"/>
          <w:color w:val="auto"/>
        </w:rPr>
      </w:pPr>
    </w:p>
    <w:p>
      <w:pPr>
        <w:ind w:left="5220"/>
        <w:spacing w:after="0"/>
        <w:rPr>
          <w:sz w:val="20"/>
          <w:szCs w:val="20"/>
          <w:color w:val="auto"/>
        </w:rPr>
      </w:pPr>
      <w:r>
        <w:rPr>
          <w:rFonts w:ascii="Arial" w:cs="Arial" w:eastAsia="Arial" w:hAnsi="Arial"/>
          <w:sz w:val="18"/>
          <w:szCs w:val="18"/>
          <w:color w:val="auto"/>
        </w:rPr>
        <w:t>AMC Networks Inc.</w:t>
      </w:r>
    </w:p>
    <w:p>
      <w:pPr>
        <w:spacing w:after="0" w:line="225" w:lineRule="exact"/>
        <w:rPr>
          <w:rFonts w:ascii="Arial" w:cs="Arial" w:eastAsia="Arial" w:hAnsi="Arial"/>
          <w:sz w:val="18"/>
          <w:szCs w:val="18"/>
          <w:color w:val="auto"/>
        </w:rPr>
      </w:pPr>
    </w:p>
    <w:p>
      <w:pPr>
        <w:ind w:left="20"/>
        <w:spacing w:after="0"/>
        <w:tabs>
          <w:tab w:leader="none" w:pos="660" w:val="left"/>
          <w:tab w:leader="none" w:pos="4740" w:val="left"/>
          <w:tab w:leader="none" w:pos="5200" w:val="left"/>
        </w:tabs>
        <w:rPr>
          <w:sz w:val="20"/>
          <w:szCs w:val="20"/>
          <w:color w:val="auto"/>
        </w:rPr>
      </w:pPr>
      <w:r>
        <w:rPr>
          <w:rFonts w:ascii="Arial" w:cs="Arial" w:eastAsia="Arial" w:hAnsi="Arial"/>
          <w:sz w:val="18"/>
          <w:szCs w:val="18"/>
          <w:color w:val="auto"/>
        </w:rPr>
        <w:t>Date:</w:t>
        <w:tab/>
        <w:t>February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Christina Spade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3305175</wp:posOffset>
            </wp:positionH>
            <wp:positionV relativeFrom="paragraph">
              <wp:posOffset>14605</wp:posOffset>
            </wp:positionV>
            <wp:extent cx="38150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3815080" cy="8255"/>
                    </a:xfrm>
                    <a:prstGeom prst="rect">
                      <a:avLst/>
                    </a:prstGeom>
                    <a:noFill/>
                  </pic:spPr>
                </pic:pic>
              </a:graphicData>
            </a:graphic>
          </wp:anchor>
        </w:drawing>
      </w:r>
    </w:p>
    <w:p>
      <w:pPr>
        <w:spacing w:after="0" w:line="16" w:lineRule="exact"/>
        <w:rPr>
          <w:rFonts w:ascii="Arial" w:cs="Arial" w:eastAsia="Arial" w:hAnsi="Arial"/>
          <w:sz w:val="18"/>
          <w:szCs w:val="18"/>
          <w:color w:val="auto"/>
        </w:rPr>
      </w:pPr>
    </w:p>
    <w:p>
      <w:pPr>
        <w:ind w:left="5220"/>
        <w:spacing w:after="0"/>
        <w:rPr>
          <w:sz w:val="20"/>
          <w:szCs w:val="20"/>
          <w:color w:val="auto"/>
        </w:rPr>
      </w:pPr>
      <w:r>
        <w:rPr>
          <w:rFonts w:ascii="Arial" w:cs="Arial" w:eastAsia="Arial" w:hAnsi="Arial"/>
          <w:sz w:val="18"/>
          <w:szCs w:val="18"/>
          <w:color w:val="auto"/>
        </w:rPr>
        <w:t>Christina Spade</w:t>
      </w:r>
    </w:p>
    <w:p>
      <w:pPr>
        <w:spacing w:after="0" w:line="23" w:lineRule="exact"/>
        <w:rPr>
          <w:rFonts w:ascii="Arial" w:cs="Arial" w:eastAsia="Arial" w:hAnsi="Arial"/>
          <w:sz w:val="18"/>
          <w:szCs w:val="18"/>
          <w:color w:val="auto"/>
        </w:rPr>
      </w:pPr>
    </w:p>
    <w:p>
      <w:pPr>
        <w:ind w:left="52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Joshua W. Sapan and Christina Spade, and each of them, his true and lawful attorneys-in-fact and agents, with full power of substitution and resubstitution, for him in his name, place and stead, in any and all capacities, to sign this report, and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rPr>
              <w:t>Name</w:t>
            </w:r>
          </w:p>
        </w:tc>
        <w:tc>
          <w:tcPr>
            <w:tcW w:w="5400" w:type="dxa"/>
            <w:vAlign w:val="bottom"/>
            <w:gridSpan w:val="3"/>
          </w:tcPr>
          <w:p>
            <w:pPr>
              <w:ind w:left="2900"/>
              <w:spacing w:after="0"/>
              <w:rPr>
                <w:sz w:val="20"/>
                <w:szCs w:val="20"/>
                <w:color w:val="auto"/>
              </w:rPr>
            </w:pPr>
            <w:r>
              <w:rPr>
                <w:rFonts w:ascii="Arial" w:cs="Arial" w:eastAsia="Arial" w:hAnsi="Arial"/>
                <w:sz w:val="14"/>
                <w:szCs w:val="14"/>
                <w:color w:val="auto"/>
              </w:rPr>
              <w:t>Title</w:t>
            </w:r>
          </w:p>
        </w:tc>
        <w:tc>
          <w:tcPr>
            <w:tcW w:w="1480" w:type="dxa"/>
            <w:vAlign w:val="bottom"/>
          </w:tcPr>
          <w:p>
            <w:pPr>
              <w:spacing w:after="0"/>
              <w:rPr>
                <w:sz w:val="14"/>
                <w:szCs w:val="14"/>
                <w:color w:val="auto"/>
              </w:rPr>
            </w:pPr>
          </w:p>
        </w:tc>
        <w:tc>
          <w:tcPr>
            <w:tcW w:w="800" w:type="dxa"/>
            <w:vAlign w:val="bottom"/>
            <w:gridSpan w:val="2"/>
          </w:tcPr>
          <w:p>
            <w:pPr>
              <w:jc w:val="center"/>
              <w:ind w:right="540"/>
              <w:spacing w:after="0"/>
              <w:rPr>
                <w:sz w:val="20"/>
                <w:szCs w:val="20"/>
                <w:color w:val="auto"/>
              </w:rPr>
            </w:pPr>
            <w:r>
              <w:rPr>
                <w:rFonts w:ascii="Arial" w:cs="Arial" w:eastAsia="Arial" w:hAnsi="Arial"/>
                <w:sz w:val="14"/>
                <w:szCs w:val="14"/>
                <w:color w:val="auto"/>
                <w:w w:val="87"/>
              </w:rPr>
              <w:t>Date</w:t>
            </w:r>
          </w:p>
        </w:tc>
      </w:tr>
      <w:tr>
        <w:trPr>
          <w:trHeight w:val="20"/>
        </w:trPr>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20"/>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5"/>
              </w:rPr>
              <w:t>/s/ Joshua W. Sapan</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President and Chief Executive Officer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26, 2021</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Joshua W. Sapan</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(Principal Executive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Christina Spade</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Executive Vice President and Chief Financial Officer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26, 2021</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Christina Spade</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(Principal Financial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Christian B. Wymbs</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Executive Vice President and Chief Accounting Officer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26, 2021</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Christian B. Wymbs</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(Principal Accounting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James L. Dolan</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Chairman of the Board of Directors</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26, 2021</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James L.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Charles F. Dolan</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Chairman Emeritus and Director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26, 2021</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Charles F.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William J. Bell</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26, 2021</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William J. Bell</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Kristin A. Dolan</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26, 2021</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Kristin A.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Marianne Dolan Weber</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26, 2021</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Marianne Dolan Weber</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F. Dolan</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26, 2021</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Patrick F. Dolan</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C. Dolan</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26, 2021</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Thomas C. Dolan</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Sweeney</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26, 2021</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Brian G. Sweeney</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Vincent Tese</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26, 2021</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Vincent Tese</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Leonard Tow</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26, 2021</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Leonard Tow</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E. Van Zandt</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26, 2021</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David E. Van Zandt</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Carl E. Vogel</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26, 2021</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Carl E. Vogel</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935" w:right="639" w:bottom="1440" w:gutter="0" w:footer="0" w:header="0"/>
        </w:sectPr>
      </w:pPr>
    </w:p>
    <w:bookmarkStart w:id="69" w:name="page70"/>
    <w:bookmarkEnd w:id="69"/>
    <w:p>
      <w:pPr>
        <w:jc w:val="center"/>
        <w:ind w:right="-279"/>
        <w:spacing w:after="0"/>
        <w:rPr>
          <w:sz w:val="20"/>
          <w:szCs w:val="20"/>
          <w:color w:val="auto"/>
        </w:rPr>
      </w:pPr>
      <w:r>
        <w:rPr>
          <w:rFonts w:ascii="Arial" w:cs="Arial" w:eastAsia="Arial" w:hAnsi="Arial"/>
          <w:sz w:val="18"/>
          <w:szCs w:val="18"/>
          <w:b w:val="1"/>
          <w:bCs w:val="1"/>
          <w:color w:val="auto"/>
        </w:rPr>
        <w:t>AMC NETWORKS INC.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20" w:type="dxa"/>
            <w:vAlign w:val="bottom"/>
          </w:tcPr>
          <w:p>
            <w:pPr>
              <w:spacing w:after="0"/>
              <w:rPr>
                <w:sz w:val="20"/>
                <w:szCs w:val="20"/>
                <w:color w:val="auto"/>
              </w:rPr>
            </w:pPr>
            <w:r>
              <w:rPr>
                <w:rFonts w:ascii="Arial" w:cs="Arial" w:eastAsia="Arial" w:hAnsi="Arial"/>
                <w:sz w:val="18"/>
                <w:szCs w:val="18"/>
                <w:b w:val="1"/>
                <w:bCs w:val="1"/>
                <w:color w:val="auto"/>
                <w:w w:val="96"/>
              </w:rPr>
              <w:t>Consolidated Financial Statements as of December 31, 2020 and 2019 and for the years ended December 31, 2020, 2019 and 2018</w:t>
            </w:r>
          </w:p>
        </w:tc>
        <w:tc>
          <w:tcPr>
            <w:tcW w:w="260" w:type="dxa"/>
            <w:vAlign w:val="bottom"/>
          </w:tcPr>
          <w:p>
            <w:pPr>
              <w:spacing w:after="0"/>
              <w:rPr>
                <w:sz w:val="20"/>
                <w:szCs w:val="20"/>
                <w:color w:val="auto"/>
              </w:rPr>
            </w:pPr>
          </w:p>
        </w:tc>
      </w:tr>
      <w:tr>
        <w:trPr>
          <w:trHeight w:val="297"/>
        </w:trPr>
        <w:tc>
          <w:tcPr>
            <w:tcW w:w="10620" w:type="dxa"/>
            <w:vAlign w:val="bottom"/>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Reports of Independent Registered Public Accounting Firm</w:t>
              </w:r>
            </w:hyperlink>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70">
              <w:r>
                <w:rPr>
                  <w:rFonts w:ascii="Arial" w:cs="Arial" w:eastAsia="Arial" w:hAnsi="Arial"/>
                  <w:sz w:val="18"/>
                  <w:szCs w:val="18"/>
                  <w:color w:val="0000FF"/>
                  <w:w w:val="88"/>
                </w:rPr>
                <w:t>F-1</w:t>
              </w:r>
            </w:hyperlink>
          </w:p>
        </w:tc>
      </w:tr>
      <w:tr>
        <w:trPr>
          <w:trHeight w:val="209"/>
        </w:trPr>
        <w:tc>
          <w:tcPr>
            <w:tcW w:w="10620" w:type="dxa"/>
            <w:vAlign w:val="bottom"/>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Consolidated Balance Sheets</w:t>
              </w:r>
            </w:hyperlink>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73">
              <w:r>
                <w:rPr>
                  <w:rFonts w:ascii="Arial" w:cs="Arial" w:eastAsia="Arial" w:hAnsi="Arial"/>
                  <w:sz w:val="18"/>
                  <w:szCs w:val="18"/>
                  <w:color w:val="0000FF"/>
                  <w:w w:val="88"/>
                </w:rPr>
                <w:t>F-4</w:t>
              </w:r>
            </w:hyperlink>
          </w:p>
        </w:tc>
      </w:tr>
      <w:tr>
        <w:trPr>
          <w:trHeight w:val="249"/>
        </w:trPr>
        <w:tc>
          <w:tcPr>
            <w:tcW w:w="10620" w:type="dxa"/>
            <w:vAlign w:val="bottom"/>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Statements of Income</w:t>
              </w:r>
            </w:hyperlink>
          </w:p>
        </w:tc>
        <w:tc>
          <w:tcPr>
            <w:tcW w:w="260" w:type="dxa"/>
            <w:vAlign w:val="bottom"/>
          </w:tcPr>
          <w:p>
            <w:pPr>
              <w:spacing w:after="0"/>
              <w:rPr>
                <w:rFonts w:ascii="Arial" w:cs="Arial" w:eastAsia="Arial" w:hAnsi="Arial"/>
                <w:sz w:val="18"/>
                <w:szCs w:val="18"/>
                <w:u w:val="single" w:color="auto"/>
                <w:color w:val="0000FF"/>
                <w:w w:val="88"/>
              </w:rPr>
            </w:pPr>
            <w:hyperlink w:anchor="page74">
              <w:r>
                <w:rPr>
                  <w:rFonts w:ascii="Arial" w:cs="Arial" w:eastAsia="Arial" w:hAnsi="Arial"/>
                  <w:sz w:val="18"/>
                  <w:szCs w:val="18"/>
                  <w:u w:val="single" w:color="auto"/>
                  <w:color w:val="0000FF"/>
                  <w:w w:val="88"/>
                </w:rPr>
                <w:t>F-5</w:t>
              </w:r>
            </w:hyperlink>
          </w:p>
        </w:tc>
      </w:tr>
      <w:tr>
        <w:trPr>
          <w:trHeight w:val="229"/>
        </w:trPr>
        <w:tc>
          <w:tcPr>
            <w:tcW w:w="10620" w:type="dxa"/>
            <w:vAlign w:val="bottom"/>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Statements of Comprehensive Income</w:t>
              </w:r>
            </w:hyperlink>
          </w:p>
        </w:tc>
        <w:tc>
          <w:tcPr>
            <w:tcW w:w="260" w:type="dxa"/>
            <w:vAlign w:val="bottom"/>
          </w:tcPr>
          <w:p>
            <w:pPr>
              <w:spacing w:after="0"/>
              <w:rPr>
                <w:rFonts w:ascii="Arial" w:cs="Arial" w:eastAsia="Arial" w:hAnsi="Arial"/>
                <w:sz w:val="18"/>
                <w:szCs w:val="18"/>
                <w:u w:val="single" w:color="auto"/>
                <w:color w:val="0000FF"/>
                <w:w w:val="88"/>
              </w:rPr>
            </w:pPr>
            <w:hyperlink w:anchor="page75">
              <w:r>
                <w:rPr>
                  <w:rFonts w:ascii="Arial" w:cs="Arial" w:eastAsia="Arial" w:hAnsi="Arial"/>
                  <w:sz w:val="18"/>
                  <w:szCs w:val="18"/>
                  <w:u w:val="single" w:color="auto"/>
                  <w:color w:val="0000FF"/>
                  <w:w w:val="88"/>
                </w:rPr>
                <w:t>F-6</w:t>
              </w:r>
            </w:hyperlink>
          </w:p>
        </w:tc>
      </w:tr>
      <w:tr>
        <w:trPr>
          <w:trHeight w:val="230"/>
        </w:trPr>
        <w:tc>
          <w:tcPr>
            <w:tcW w:w="10620" w:type="dxa"/>
            <w:vAlign w:val="bottom"/>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Stockholders’ Equity</w:t>
              </w:r>
            </w:hyperlink>
          </w:p>
        </w:tc>
        <w:tc>
          <w:tcPr>
            <w:tcW w:w="260" w:type="dxa"/>
            <w:vAlign w:val="bottom"/>
          </w:tcPr>
          <w:p>
            <w:pPr>
              <w:spacing w:after="0"/>
              <w:rPr>
                <w:rFonts w:ascii="Arial" w:cs="Arial" w:eastAsia="Arial" w:hAnsi="Arial"/>
                <w:sz w:val="18"/>
                <w:szCs w:val="18"/>
                <w:u w:val="single" w:color="auto"/>
                <w:color w:val="0000FF"/>
                <w:w w:val="88"/>
              </w:rPr>
            </w:pPr>
            <w:hyperlink w:anchor="page76">
              <w:r>
                <w:rPr>
                  <w:rFonts w:ascii="Arial" w:cs="Arial" w:eastAsia="Arial" w:hAnsi="Arial"/>
                  <w:sz w:val="18"/>
                  <w:szCs w:val="18"/>
                  <w:u w:val="single" w:color="auto"/>
                  <w:color w:val="0000FF"/>
                  <w:w w:val="88"/>
                </w:rPr>
                <w:t>F-7</w:t>
              </w:r>
            </w:hyperlink>
          </w:p>
        </w:tc>
      </w:tr>
      <w:tr>
        <w:trPr>
          <w:trHeight w:val="229"/>
        </w:trPr>
        <w:tc>
          <w:tcPr>
            <w:tcW w:w="10620" w:type="dxa"/>
            <w:vAlign w:val="bottom"/>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Cash Flows</w:t>
              </w:r>
            </w:hyperlink>
          </w:p>
        </w:tc>
        <w:tc>
          <w:tcPr>
            <w:tcW w:w="260" w:type="dxa"/>
            <w:vAlign w:val="bottom"/>
          </w:tcPr>
          <w:p>
            <w:pPr>
              <w:spacing w:after="0"/>
              <w:rPr>
                <w:rFonts w:ascii="Arial" w:cs="Arial" w:eastAsia="Arial" w:hAnsi="Arial"/>
                <w:sz w:val="18"/>
                <w:szCs w:val="18"/>
                <w:u w:val="single" w:color="auto"/>
                <w:color w:val="0000FF"/>
                <w:w w:val="88"/>
              </w:rPr>
            </w:pPr>
            <w:hyperlink w:anchor="page77">
              <w:r>
                <w:rPr>
                  <w:rFonts w:ascii="Arial" w:cs="Arial" w:eastAsia="Arial" w:hAnsi="Arial"/>
                  <w:sz w:val="18"/>
                  <w:szCs w:val="18"/>
                  <w:u w:val="single" w:color="auto"/>
                  <w:color w:val="0000FF"/>
                  <w:w w:val="88"/>
                </w:rPr>
                <w:t>F-8</w:t>
              </w:r>
            </w:hyperlink>
          </w:p>
        </w:tc>
      </w:tr>
      <w:tr>
        <w:trPr>
          <w:trHeight w:val="230"/>
        </w:trPr>
        <w:tc>
          <w:tcPr>
            <w:tcW w:w="10620" w:type="dxa"/>
            <w:vAlign w:val="bottom"/>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Notes to Consolidated Financial Statements</w:t>
              </w:r>
            </w:hyperlink>
          </w:p>
        </w:tc>
        <w:tc>
          <w:tcPr>
            <w:tcW w:w="260" w:type="dxa"/>
            <w:vAlign w:val="bottom"/>
          </w:tcPr>
          <w:p>
            <w:pPr>
              <w:spacing w:after="0"/>
              <w:rPr>
                <w:rFonts w:ascii="Arial" w:cs="Arial" w:eastAsia="Arial" w:hAnsi="Arial"/>
                <w:sz w:val="18"/>
                <w:szCs w:val="18"/>
                <w:u w:val="single" w:color="auto"/>
                <w:color w:val="0000FF"/>
                <w:w w:val="88"/>
              </w:rPr>
            </w:pPr>
            <w:hyperlink w:anchor="page78">
              <w:r>
                <w:rPr>
                  <w:rFonts w:ascii="Arial" w:cs="Arial" w:eastAsia="Arial" w:hAnsi="Arial"/>
                  <w:sz w:val="18"/>
                  <w:szCs w:val="18"/>
                  <w:u w:val="single" w:color="auto"/>
                  <w:color w:val="0000FF"/>
                  <w:w w:val="88"/>
                </w:rPr>
                <w:t>F-9</w:t>
              </w:r>
            </w:hyperlink>
          </w:p>
        </w:tc>
      </w:tr>
      <w:tr>
        <w:trPr>
          <w:trHeight w:val="230"/>
        </w:trPr>
        <w:tc>
          <w:tcPr>
            <w:tcW w:w="10620" w:type="dxa"/>
            <w:vAlign w:val="bottom"/>
          </w:tcPr>
          <w:p>
            <w:pPr>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Schedule II—Valuation and Qualifying Accounts</w:t>
              </w:r>
            </w:hyperlink>
          </w:p>
        </w:tc>
        <w:tc>
          <w:tcPr>
            <w:tcW w:w="260" w:type="dxa"/>
            <w:vAlign w:val="bottom"/>
          </w:tcPr>
          <w:p>
            <w:pPr>
              <w:spacing w:after="0"/>
              <w:rPr>
                <w:rFonts w:ascii="Arial" w:cs="Arial" w:eastAsia="Arial" w:hAnsi="Arial"/>
                <w:sz w:val="18"/>
                <w:szCs w:val="18"/>
                <w:u w:val="single" w:color="auto"/>
                <w:color w:val="0000FF"/>
                <w:w w:val="85"/>
              </w:rPr>
            </w:pPr>
            <w:hyperlink w:anchor="page115">
              <w:r>
                <w:rPr>
                  <w:rFonts w:ascii="Arial" w:cs="Arial" w:eastAsia="Arial" w:hAnsi="Arial"/>
                  <w:sz w:val="18"/>
                  <w:szCs w:val="18"/>
                  <w:u w:val="single" w:color="auto"/>
                  <w:color w:val="0000FF"/>
                  <w:w w:val="85"/>
                </w:rPr>
                <w:t>S-1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60" w:top="891" w:right="659" w:bottom="1440" w:gutter="0" w:footer="0" w:header="0"/>
        </w:sectPr>
      </w:pPr>
    </w:p>
    <w:bookmarkStart w:id="70" w:name="page71"/>
    <w:bookmarkEnd w:id="70"/>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have audited AMC Networks Inc. and subsidiaries’ (the Company)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r>
        <w:rPr>
          <w:rFonts w:ascii="Arial" w:cs="Arial" w:eastAsia="Arial" w:hAnsi="Arial"/>
          <w:sz w:val="16"/>
          <w:szCs w:val="16"/>
          <w:i w:val="1"/>
          <w:iCs w:val="1"/>
          <w:color w:val="auto"/>
        </w:rPr>
        <w:t>.</w:t>
      </w:r>
      <w:r>
        <w:rPr>
          <w:rFonts w:ascii="Arial" w:cs="Arial" w:eastAsia="Arial" w:hAnsi="Arial"/>
          <w:sz w:val="16"/>
          <w:szCs w:val="16"/>
          <w:color w:val="auto"/>
        </w:rPr>
        <w:t xml:space="preserve">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stockholders’ equity, and cash flows for each of the years in the three-year period ended December 31, 2020, and the related notes, and financial statement schedule II (collectively, the “consolidated financial statements”), and our report dated February 26, 2021, expressed an unqualified opinion on those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1" w:name="page72"/>
    <w:bookmarkEnd w:id="71"/>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34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have audited the accompanying consolidated balance sheets of AMC Networks Inc. and subsidiaries (the Company) as of December 31, 2020 and 2019, the related consolidated statements of income, comprehensive income,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and the related notes, and the financial statement schedule II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in conformity with U.S. generally accepted accounting principles.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2021,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discussed in Note 2 to the consolidated financial statements, the Company changed its method of accounting for program rights due to the adoption of Accounting Standards Update (ASU) No. 2019-02, Improvements to Accounting for Costs of Films and License Agreements for Program Materials, as of January 1, 2020, and changed its method of accounting for leases due to the adoption of ASU No. 2016-02, Leases (ASC 842), as of January 1, 2019.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Audit Matters</w:t>
      </w:r>
    </w:p>
    <w:p>
      <w:pPr>
        <w:spacing w:after="0" w:line="117"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the carrying value of goodwill in the AMC Networks International (AMCNI) reporting unit</w:t>
      </w:r>
    </w:p>
    <w:p>
      <w:pPr>
        <w:spacing w:after="0" w:line="11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As discussed in Note 9 to the consolidated financial statements, the Company’s goodwill balance for the International and Other segment was $450.6 million at December 31, 2020, which includes the AMCNI reporting unit. The Company performs goodwill impairment testing on an annual basis during the fourth quarter of each fiscal year as of December 1, and whenever events and changes in circumstances indicate that the carrying value of a reporting unit might exceed its fair value. The Company considered the current and expected future economic and market conditions surrounding the COVID-19 pandemic and its impact on each of its reporting units and determined that a triggering event had occurred with respect to its AMCNI reporting unit. The Company recognized an impairment charge of $25 million for the year ended December 31, 2020 to reduce the carrying value of the AMCNI reporting unit to its fair value.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2" w:name="page73"/>
    <w:bookmarkEnd w:id="72"/>
    <w:p>
      <w:pPr>
        <w:jc w:val="both"/>
        <w:ind w:left="340"/>
        <w:spacing w:after="0" w:line="286" w:lineRule="auto"/>
        <w:rPr>
          <w:sz w:val="20"/>
          <w:szCs w:val="20"/>
          <w:color w:val="auto"/>
        </w:rPr>
      </w:pPr>
      <w:r>
        <w:rPr>
          <w:rFonts w:ascii="Arial" w:cs="Arial" w:eastAsia="Arial" w:hAnsi="Arial"/>
          <w:sz w:val="17"/>
          <w:szCs w:val="17"/>
          <w:color w:val="auto"/>
        </w:rPr>
        <w:t>We identified the assessment of the carrying value of goodwill in the AMCNI reporting unit as a critical audit matter. Revenue growth rates, long-term growth rate and the discount rate used by the Company to estimate the fair value of the reporting unit involved challenging auditor judgment, and have a significant effect on the Company’s assessment of the carrying value of the reporting unit’s goodwill.</w:t>
      </w:r>
    </w:p>
    <w:p>
      <w:pPr>
        <w:spacing w:after="0" w:line="5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impairment process, including controls over the selection of the revenue growth rates, long-term growth rate and the discount rate used to estimate the fair value of the reporting unit. We performed sensitivity analyses over the revenue growth rates, long-term growth rate and discount rate assumptions. We evaluated the Company’s forecasted reporting unit revenue growth rate assumptions by comparing the assumptions to the reporting unit’s historical revenue growth rates, to projected revenue growth rates for guideline companies, and to projected television broadcasting revenue growth rates published by a third-party. We compared the Company’s historical revenue forecasts to actual results to assess the Company’s ability to accurately forecast. We involved a valuation professional with specialized skills and knowledge who assisted in:</w:t>
      </w:r>
    </w:p>
    <w:p>
      <w:pPr>
        <w:spacing w:after="0" w:line="84" w:lineRule="exact"/>
        <w:rPr>
          <w:sz w:val="20"/>
          <w:szCs w:val="20"/>
          <w:color w:val="auto"/>
        </w:rPr>
      </w:pPr>
    </w:p>
    <w:p>
      <w:pPr>
        <w:ind w:left="340" w:hanging="8"/>
        <w:spacing w:after="0" w:line="261" w:lineRule="auto"/>
        <w:tabs>
          <w:tab w:leader="none" w:pos="4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independently developing a discount rate range using publicly available market data for comparable entities and comparing it to the Company’s discount rate;</w:t>
      </w:r>
    </w:p>
    <w:p>
      <w:pPr>
        <w:spacing w:after="0" w:line="8" w:lineRule="exact"/>
        <w:rPr>
          <w:rFonts w:ascii="Arial" w:cs="Arial" w:eastAsia="Arial" w:hAnsi="Arial"/>
          <w:sz w:val="18"/>
          <w:szCs w:val="18"/>
          <w:color w:val="auto"/>
        </w:rPr>
      </w:pPr>
    </w:p>
    <w:p>
      <w:pPr>
        <w:ind w:left="340" w:right="20" w:hanging="8"/>
        <w:spacing w:after="0" w:line="277" w:lineRule="auto"/>
        <w:tabs>
          <w:tab w:leader="none" w:pos="4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independently developing a long-term growth rate range using publicly available market data and comparing it to the Company’s long-term growth rate; and</w:t>
      </w:r>
    </w:p>
    <w:p>
      <w:pPr>
        <w:spacing w:after="0" w:line="8" w:lineRule="exact"/>
        <w:rPr>
          <w:rFonts w:ascii="Arial" w:cs="Arial" w:eastAsia="Arial" w:hAnsi="Arial"/>
          <w:sz w:val="18"/>
          <w:szCs w:val="18"/>
          <w:color w:val="auto"/>
        </w:rPr>
      </w:pPr>
    </w:p>
    <w:p>
      <w:pPr>
        <w:ind w:left="340" w:right="20" w:hanging="8"/>
        <w:spacing w:after="0" w:line="277" w:lineRule="auto"/>
        <w:tabs>
          <w:tab w:leader="none" w:pos="4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developing an estimated range of the reporting unit fair value using the reporting unit’s cash flow projections and the independently developed discount rate range and long-term growth rate range, and compared the result to the Company’s fair value estimate.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amortization of owned original program rights</w:t>
      </w:r>
    </w:p>
    <w:p>
      <w:pPr>
        <w:spacing w:after="0" w:line="104"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As discussed in Note 6 to the consolidated financial statements, the balance of the Company’s owned original program rights, net as of December 31, 2020 was $464.2 million, of which $216.2 million relates to completed productions. Owned original program rights costs are amortized over their estimated useful lives, commencing upon the first airing, based on attributable revenue to-date as a percentage of total projected attributable revenue (ultimate revenues) under the individual-film-forecast-computation method. The Company bases its estimates of ultimate revenues primarily on distribution and advertising revenues historically generated from similar content in comparable markets, and projected program usage. Projected program usage is based on the Company’s expectation of future exhibitions. The Company reviews ultimate revenue estimates and projected program usage and revises assumptions, if necessary, which could either accelerate or delay the timing of amortization expense or result in a write-down of unamortized costs to fair value.</w:t>
      </w:r>
    </w:p>
    <w:p>
      <w:pPr>
        <w:spacing w:after="0" w:line="8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identified the assessment of ultimate revenues used in the amortization of owned original program rights as a critical audit matter. The assumptions used by the Company to determine ultimate revenues involved especially challenging auditor judgment as they involve subjective assessments about future distribution (subscription fee revenues and content licensing revenues) and advertising revenues. Changes in those assumptions could have a significant effect on the carrying amount of the Company’s owned original program rights and associated current period program rights amortization expense.</w:t>
      </w:r>
    </w:p>
    <w:p>
      <w:pPr>
        <w:spacing w:after="0" w:line="80"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development of assumptions used in determining projected attributable distribution revenue and projected attributable advertising revenue. We compared the Company’s historical projections of attributable distribution and advertising revenues to actual results to assess the Company’s ability to accurately project ultimate revenues. For a selection of owned original programming series, we evaluated (1) projected attributable subscription fee revenue, by comparing the Company’s assumptions for projected subscribers and rates to recent actual subscriber and rate trends and terms of existing distribution agreements, (2) projected attributable content licensing revenue, by comparing expected licensing fees to contractual terms of existing agreements and recent historical trends of sales and usage based royalties, (3) projected attributable advertising revenue, by comparing the underlying pricing and ratings assumptions to recent historical trends, and (4) projected program usage by comparing historical projections to actual usage, to assess the company’s ability to accurately project program usage, and compared projected program usage to historical trends.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888,526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816,170</w:t>
            </w:r>
          </w:p>
        </w:tc>
        <w:tc>
          <w:tcPr>
            <w:tcW w:w="0" w:type="dxa"/>
            <w:vAlign w:val="bottom"/>
          </w:tcPr>
          <w:p>
            <w:pPr>
              <w:spacing w:after="0"/>
              <w:rPr>
                <w:sz w:val="1"/>
                <w:szCs w:val="1"/>
                <w:color w:val="auto"/>
              </w:rPr>
            </w:pPr>
          </w:p>
        </w:tc>
      </w:tr>
      <w:tr>
        <w:trPr>
          <w:trHeight w:val="166"/>
        </w:trPr>
        <w:tc>
          <w:tcPr>
            <w:tcW w:w="8240" w:type="dxa"/>
            <w:vAlign w:val="bottom"/>
          </w:tcPr>
          <w:p>
            <w:pPr>
              <w:ind w:left="340"/>
              <w:spacing w:after="0" w:line="166" w:lineRule="exact"/>
              <w:rPr>
                <w:sz w:val="20"/>
                <w:szCs w:val="20"/>
                <w:color w:val="auto"/>
              </w:rPr>
            </w:pPr>
            <w:r>
              <w:rPr>
                <w:rFonts w:ascii="Arial" w:cs="Arial" w:eastAsia="Arial" w:hAnsi="Arial"/>
                <w:sz w:val="16"/>
                <w:szCs w:val="16"/>
                <w:color w:val="auto"/>
                <w:w w:val="96"/>
              </w:rPr>
              <w:t>Accounts receivable, trade (including amounts due from related parties, net, less allowance for doubtful accounts of</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813,587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857,143</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Arial" w:cs="Arial" w:eastAsia="Arial" w:hAnsi="Arial"/>
                <w:sz w:val="16"/>
                <w:szCs w:val="16"/>
                <w:color w:val="auto"/>
              </w:rPr>
              <w:t>$11,234 and $5,733)</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program rights,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426,624</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223,173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230,360</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1,938,766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2,330,297</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Property and equipment, net of accumulated depreciation of $261,082 and $347,302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256,045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283,752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Program rights,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1,269,131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1,038,060</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410,672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524,531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686,407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701,980</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Deferred tax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25,046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51,545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170,056</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513,749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496,465</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5,246,338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5,596,686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36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120,530</w:t>
            </w:r>
          </w:p>
        </w:tc>
        <w:tc>
          <w:tcPr>
            <w:tcW w:w="12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94,306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251,214</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Current portion of program rights obligations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259,449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304,692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63,921</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56,250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33,959</w:t>
            </w:r>
          </w:p>
        </w:tc>
        <w:tc>
          <w:tcPr>
            <w:tcW w:w="0" w:type="dxa"/>
            <w:vAlign w:val="bottom"/>
          </w:tcPr>
          <w:p>
            <w:pPr>
              <w:spacing w:after="0"/>
              <w:rPr>
                <w:sz w:val="1"/>
                <w:szCs w:val="1"/>
                <w:color w:val="auto"/>
              </w:rPr>
            </w:pPr>
          </w:p>
        </w:tc>
      </w:tr>
      <w:tr>
        <w:trPr>
          <w:trHeight w:val="207"/>
        </w:trPr>
        <w:tc>
          <w:tcPr>
            <w:tcW w:w="824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878,467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804,342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Program rights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239,813</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Long-term debt,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2,774,307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3,039,979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Lease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211,047</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Deferred tax liability,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132,009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136,911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163,638</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4,287,588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4,595,730</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315,649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309,451</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40" w:type="dxa"/>
            <w:vAlign w:val="bottom"/>
          </w:tcPr>
          <w:p>
            <w:pPr>
              <w:spacing w:after="0" w:line="166" w:lineRule="exact"/>
              <w:rPr>
                <w:sz w:val="20"/>
                <w:szCs w:val="20"/>
                <w:color w:val="auto"/>
              </w:rPr>
            </w:pPr>
            <w:r>
              <w:rPr>
                <w:rFonts w:ascii="Arial" w:cs="Arial" w:eastAsia="Arial" w:hAnsi="Arial"/>
                <w:sz w:val="16"/>
                <w:szCs w:val="16"/>
                <w:color w:val="auto"/>
                <w:w w:val="91"/>
              </w:rPr>
              <w:t>Class A Common Stock, $0.01 par value, 360,000 shares authorized, 64,568 and 63,886 shares issued and 29,975 and 44,078</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09"/>
        </w:trPr>
        <w:tc>
          <w:tcPr>
            <w:tcW w:w="8240" w:type="dxa"/>
            <w:vAlign w:val="bottom"/>
          </w:tcPr>
          <w:p>
            <w:pPr>
              <w:spacing w:after="0"/>
              <w:rPr>
                <w:sz w:val="20"/>
                <w:szCs w:val="20"/>
                <w:color w:val="auto"/>
              </w:rPr>
            </w:pPr>
            <w:r>
              <w:rPr>
                <w:rFonts w:ascii="Arial" w:cs="Arial" w:eastAsia="Arial" w:hAnsi="Arial"/>
                <w:sz w:val="16"/>
                <w:szCs w:val="16"/>
                <w:color w:val="auto"/>
              </w:rPr>
              <w:t>shares outstanding, respectively</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Preferred stock, $0.01 par value, 45,000 shares authorized; none issued</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Paid-in capital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286,491</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Accumulated earnings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1,847,451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1,609,428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at cost (34,593 and 19,808 shares Class A Common Stock, respectively)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(1,419,882)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(1,063,181)</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(134,950)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(167,711)</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AMC Networks stockholders' equity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665,781</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Non-redeemable 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25,724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643,101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691,505</w:t>
            </w:r>
          </w:p>
        </w:tc>
        <w:tc>
          <w:tcPr>
            <w:tcW w:w="0" w:type="dxa"/>
            <w:vAlign w:val="bottom"/>
          </w:tcPr>
          <w:p>
            <w:pPr>
              <w:spacing w:after="0"/>
              <w:rPr>
                <w:sz w:val="1"/>
                <w:szCs w:val="1"/>
                <w:color w:val="auto"/>
              </w:rPr>
            </w:pPr>
          </w:p>
        </w:tc>
      </w:tr>
      <w:tr>
        <w:trPr>
          <w:trHeight w:val="213"/>
        </w:trPr>
        <w:tc>
          <w:tcPr>
            <w:tcW w:w="8240" w:type="dxa"/>
            <w:vAlign w:val="bottom"/>
          </w:tcPr>
          <w:p>
            <w:pPr>
              <w:ind w:left="66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5,246,338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5,596,686</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774" w:right="35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2018</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2,814,956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2,971,929</w:t>
            </w:r>
          </w:p>
        </w:tc>
      </w:tr>
      <w:tr>
        <w:trPr>
          <w:trHeight w:val="210"/>
        </w:trPr>
        <w:tc>
          <w:tcPr>
            <w:tcW w:w="6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Technical and operating (excluding 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1,506,985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1,445,949</w:t>
            </w:r>
          </w:p>
        </w:tc>
      </w:tr>
      <w:tr>
        <w:trPr>
          <w:trHeight w:val="229"/>
        </w:trPr>
        <w:tc>
          <w:tcPr>
            <w:tcW w:w="65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708,820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679,444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657,457</w:t>
            </w:r>
          </w:p>
        </w:tc>
      </w:tr>
      <w:tr>
        <w:trPr>
          <w:trHeight w:val="230"/>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91,281</w:t>
            </w:r>
          </w:p>
        </w:tc>
      </w:tr>
      <w:tr>
        <w:trPr>
          <w:trHeight w:val="229"/>
        </w:trPr>
        <w:tc>
          <w:tcPr>
            <w:tcW w:w="6500" w:type="dxa"/>
            <w:vAlign w:val="bottom"/>
          </w:tcPr>
          <w:p>
            <w:pPr>
              <w:ind w:left="340"/>
              <w:spacing w:after="0"/>
              <w:rPr>
                <w:sz w:val="20"/>
                <w:szCs w:val="20"/>
                <w:color w:val="auto"/>
              </w:rPr>
            </w:pPr>
            <w:r>
              <w:rPr>
                <w:rFonts w:ascii="Arial" w:cs="Arial" w:eastAsia="Arial" w:hAnsi="Arial"/>
                <w:sz w:val="18"/>
                <w:szCs w:val="18"/>
                <w:color w:val="auto"/>
              </w:rPr>
              <w:t>Impairment charges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106,603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4,486</w:t>
            </w: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45,847</w:t>
            </w:r>
          </w:p>
        </w:tc>
      </w:tr>
      <w:tr>
        <w:trPr>
          <w:trHeight w:val="223"/>
        </w:trPr>
        <w:tc>
          <w:tcPr>
            <w:tcW w:w="65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2,372,312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2,435,044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2,245,020</w:t>
            </w:r>
          </w:p>
        </w:tc>
      </w:tr>
      <w:tr>
        <w:trPr>
          <w:trHeight w:val="223"/>
        </w:trPr>
        <w:tc>
          <w:tcPr>
            <w:tcW w:w="6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726,909</w:t>
            </w: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(154,993)</w:t>
            </w:r>
          </w:p>
        </w:tc>
      </w:tr>
      <w:tr>
        <w:trPr>
          <w:trHeight w:val="230"/>
        </w:trPr>
        <w:tc>
          <w:tcPr>
            <w:tcW w:w="65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19,180</w:t>
            </w: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Miscellaneous,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r>
      <w:tr>
        <w:trPr>
          <w:trHeight w:val="223"/>
        </w:trPr>
        <w:tc>
          <w:tcPr>
            <w:tcW w:w="6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(106,636)</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620,273</w:t>
            </w: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(156,306)</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407,716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463,967</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446,187</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6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162"/>
        </w:trPr>
        <w:tc>
          <w:tcPr>
            <w:tcW w:w="6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58,066</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58,947</w:t>
            </w: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75" w:name="page76"/>
    <w:bookmarkEnd w:id="75"/>
    <w:p>
      <w:pPr>
        <w:ind w:left="39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MC NETWORKS INC. AND SUBSIDIARIES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463,967</w:t>
            </w: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(41,716)</w:t>
            </w:r>
          </w:p>
        </w:tc>
      </w:tr>
      <w:tr>
        <w:trPr>
          <w:trHeight w:val="229"/>
        </w:trPr>
        <w:tc>
          <w:tcPr>
            <w:tcW w:w="6500" w:type="dxa"/>
            <w:vAlign w:val="bottom"/>
          </w:tcPr>
          <w:p>
            <w:pPr>
              <w:ind w:left="680"/>
              <w:spacing w:after="0"/>
              <w:rPr>
                <w:sz w:val="20"/>
                <w:szCs w:val="20"/>
                <w:color w:val="auto"/>
              </w:rPr>
            </w:pPr>
            <w:r>
              <w:rPr>
                <w:rFonts w:ascii="Arial" w:cs="Arial" w:eastAsia="Arial" w:hAnsi="Arial"/>
                <w:sz w:val="18"/>
                <w:szCs w:val="18"/>
                <w:color w:val="auto"/>
              </w:rPr>
              <w:t>Unrealized loss on interest rate swaps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6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Amounts reclassified from accumulated other comprehensive loss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income taxes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33,125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(42,442)</w:t>
            </w:r>
          </w:p>
        </w:tc>
      </w:tr>
      <w:tr>
        <w:trPr>
          <w:trHeight w:val="229"/>
        </w:trPr>
        <w:tc>
          <w:tcPr>
            <w:tcW w:w="6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income (loss), net of income taxes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(42,397)</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421,570</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(16,044)</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405,526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76" w:name="page77"/>
    <w:bookmarkEnd w:id="76"/>
    <w:p>
      <w:pPr>
        <w:jc w:val="center"/>
        <w:spacing w:after="0"/>
        <w:rPr>
          <w:sz w:val="20"/>
          <w:szCs w:val="20"/>
          <w:color w:val="auto"/>
        </w:rPr>
      </w:pPr>
      <w:r>
        <w:rPr>
          <w:rFonts w:ascii="Arial" w:cs="Arial" w:eastAsia="Arial" w:hAnsi="Arial"/>
          <w:sz w:val="15"/>
          <w:szCs w:val="15"/>
          <w:b w:val="1"/>
          <w:bCs w:val="1"/>
          <w:color w:val="auto"/>
        </w:rPr>
        <w:t>AMC NETWORKS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Class A</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7"/>
              </w:rPr>
              <w:t>Class B</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Total AMC</w:t>
            </w: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Non-</w:t>
            </w:r>
          </w:p>
        </w:tc>
        <w:tc>
          <w:tcPr>
            <w:tcW w:w="180" w:type="dxa"/>
            <w:vAlign w:val="bottom"/>
          </w:tcPr>
          <w:p>
            <w:pPr>
              <w:spacing w:after="0"/>
              <w:rPr>
                <w:sz w:val="13"/>
                <w:szCs w:val="13"/>
                <w:color w:val="auto"/>
              </w:rPr>
            </w:pPr>
          </w:p>
        </w:tc>
        <w:tc>
          <w:tcPr>
            <w:tcW w:w="760" w:type="dxa"/>
            <w:vAlign w:val="bottom"/>
            <w:vMerge w:val="restart"/>
          </w:tcPr>
          <w:p>
            <w:pPr>
              <w:jc w:val="center"/>
              <w:ind w:right="10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Paid-in</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w w:val="95"/>
              </w:rPr>
              <w:t>Accumulated</w:t>
            </w: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Networks</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redeemable</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Common</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Common</w:t>
            </w:r>
          </w:p>
        </w:tc>
        <w:tc>
          <w:tcPr>
            <w:tcW w:w="7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Stockholders'</w:t>
            </w:r>
          </w:p>
        </w:tc>
        <w:tc>
          <w:tcPr>
            <w:tcW w:w="9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Noncontrolling</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Stock</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Stock</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Capital</w:t>
            </w: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Earnings</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Interests</w:t>
            </w:r>
          </w:p>
        </w:tc>
        <w:tc>
          <w:tcPr>
            <w:tcW w:w="180" w:type="dxa"/>
            <w:vAlign w:val="bottom"/>
          </w:tcPr>
          <w:p>
            <w:pPr>
              <w:spacing w:after="0"/>
              <w:rPr>
                <w:sz w:val="15"/>
                <w:szCs w:val="15"/>
                <w:color w:val="auto"/>
              </w:rPr>
            </w:pPr>
          </w:p>
        </w:tc>
        <w:tc>
          <w:tcPr>
            <w:tcW w:w="760" w:type="dxa"/>
            <w:vAlign w:val="bottom"/>
          </w:tcPr>
          <w:p>
            <w:pPr>
              <w:jc w:val="center"/>
              <w:ind w:right="10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191,303</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766,725</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(709,440)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(114,386)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134,944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29,001</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163,945</w:t>
            </w: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AMC Networks’</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446,187</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446,187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446,187</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7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Net income attributable to non-redeemable</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Distributions to noncontrolling member</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(2,847)</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acquired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w w:val="93"/>
              </w:rPr>
              <w:t>Cumulative effects of adoption of accounting standards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16,030</w:t>
            </w: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12,619</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not yet settled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Settlement of treasury stock</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995</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(44,133)</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60,979</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60,979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60,979</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4,317</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(283,143)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(283,143)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(283,143)</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(16,842)</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(16,836)</w:t>
            </w:r>
          </w:p>
        </w:tc>
        <w:tc>
          <w:tcPr>
            <w:tcW w:w="0" w:type="dxa"/>
            <w:vAlign w:val="bottom"/>
          </w:tcPr>
          <w:p>
            <w:pPr>
              <w:spacing w:after="0"/>
              <w:rPr>
                <w:sz w:val="1"/>
                <w:szCs w:val="1"/>
                <w:color w:val="auto"/>
              </w:rPr>
            </w:pPr>
          </w:p>
        </w:tc>
      </w:tr>
      <w:tr>
        <w:trPr>
          <w:trHeight w:val="179"/>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239,767</w:t>
            </w:r>
          </w:p>
        </w:tc>
        <w:tc>
          <w:tcPr>
            <w:tcW w:w="80" w:type="dxa"/>
            <w:vAlign w:val="bottom"/>
          </w:tcPr>
          <w:p>
            <w:pPr>
              <w:spacing w:after="0"/>
              <w:rPr>
                <w:sz w:val="15"/>
                <w:szCs w:val="15"/>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1,228,942</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(992,583)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(160,194)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316,680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28,528</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Net income attributable to AMC Networks’</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380,486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380,486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380,486</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76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4,911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4,911</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Non-redeemable noncontrolling interests changes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(4,429)</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treasury stock</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(7,365)</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64,133</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64,133</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4,630</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(70,598)</w:t>
            </w:r>
          </w:p>
        </w:tc>
        <w:tc>
          <w:tcPr>
            <w:tcW w:w="0" w:type="dxa"/>
            <w:vAlign w:val="bottom"/>
          </w:tcPr>
          <w:p>
            <w:pPr>
              <w:spacing w:after="0"/>
              <w:rPr>
                <w:sz w:val="1"/>
                <w:szCs w:val="1"/>
                <w:color w:val="auto"/>
              </w:rPr>
            </w:pPr>
          </w:p>
        </w:tc>
      </w:tr>
      <w:tr>
        <w:trPr>
          <w:trHeight w:val="18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(23,024)</w:t>
            </w: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(23,018)</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(23,018)</w:t>
            </w:r>
          </w:p>
        </w:tc>
        <w:tc>
          <w:tcPr>
            <w:tcW w:w="0" w:type="dxa"/>
            <w:vAlign w:val="bottom"/>
          </w:tcPr>
          <w:p>
            <w:pPr>
              <w:spacing w:after="0"/>
              <w:rPr>
                <w:sz w:val="1"/>
                <w:szCs w:val="1"/>
                <w:color w:val="auto"/>
              </w:rPr>
            </w:pPr>
          </w:p>
        </w:tc>
      </w:tr>
      <w:tr>
        <w:trPr>
          <w:trHeight w:val="186"/>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286,491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1,609,428</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(1,063,181)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25,724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691,505</w:t>
            </w: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AMC Networks’</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239,979</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239,979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239,979</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7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Net income attributable to non-redeemable</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Adoption of ASU 2016-13, credit losses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(1,956)</w:t>
            </w: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32,761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33,239</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52,908</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52,908</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(356,701)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(356,701)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(356,701)</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(15,967)</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$ 323,425</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$ 1,847,451</w:t>
            </w:r>
          </w:p>
        </w:tc>
        <w:tc>
          <w:tcPr>
            <w:tcW w:w="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(1,419,882)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(134,950)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616,805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26,296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643,101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r>
      <w:tr>
        <w:trPr>
          <w:trHeight w:val="19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Net income including noncontrolling interests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256,988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407,716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463,967</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104,606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91,281</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charges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52,908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64,133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60,979</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restructuring and other related charges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7,440</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Amortization and write-off of program rights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923,886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974,835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961,134</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deferred carriage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17,342</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Unrealized foreign currency transaction (gain) loss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2,057</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Unrealized (gain) on derivative contracts, net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(43,476)</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7,715</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extinguishment of debt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Bad debt (recoveries)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7,399</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33,367</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Gains on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(97,617)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Write-down of non-marketable equity securities and note receivable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5,311</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63,337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(43,345)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(52,106)</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Program rights and obligations,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(850,013)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(969,900)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(978,763)</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(17,006)</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(6,392)</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carriage fees,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w:t>
            </w:r>
          </w:p>
        </w:tc>
      </w:tr>
      <w:tr>
        <w:trPr>
          <w:trHeight w:val="230"/>
        </w:trPr>
        <w:tc>
          <w:tcPr>
            <w:tcW w:w="75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 xml:space="preserve">Accounts payable, accrued </w:t>
            </w:r>
            <w:r>
              <w:rPr>
                <w:rFonts w:ascii="Arial" w:cs="Arial" w:eastAsia="Arial" w:hAnsi="Arial"/>
                <w:sz w:val="17"/>
                <w:szCs w:val="17"/>
                <w:color w:val="auto"/>
              </w:rPr>
              <w:t>liabilities</w:t>
            </w:r>
            <w:r>
              <w:rPr>
                <w:rFonts w:ascii="Arial" w:cs="Arial" w:eastAsia="Arial" w:hAnsi="Arial"/>
                <w:sz w:val="16"/>
                <w:szCs w:val="16"/>
                <w:color w:val="auto"/>
              </w:rPr>
              <w:t xml:space="preserve"> and other liabilities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48,851</w:t>
            </w:r>
          </w:p>
        </w:tc>
      </w:tr>
      <w:tr>
        <w:trPr>
          <w:trHeight w:val="210"/>
        </w:trPr>
        <w:tc>
          <w:tcPr>
            <w:tcW w:w="75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748,736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483,748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606,547</w:t>
            </w:r>
          </w:p>
        </w:tc>
      </w:tr>
      <w:tr>
        <w:trPr>
          <w:trHeight w:val="193"/>
        </w:trPr>
        <w:tc>
          <w:tcPr>
            <w:tcW w:w="75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(89,802)</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Return of capital from investees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4,088</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in and loans to investees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(90,081)</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Principal payments received on loans to investees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acquisition of a business, net of cash acquired</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(84,389)</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Proceeds from sale of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(35,163)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(89,707)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(260,184)</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the issuance of long-term debt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Principal payments on long-term debt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(262,250)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Deemed repurchase of restricted stock units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(16,836)</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Purchase of treasury stock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(70,598)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(283,143)</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stock option exercises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4,317</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Principal payments on finance lease obligations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(4,938)</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(14,296)</w:t>
            </w:r>
          </w:p>
        </w:tc>
      </w:tr>
      <w:tr>
        <w:trPr>
          <w:trHeight w:val="206"/>
        </w:trPr>
        <w:tc>
          <w:tcPr>
            <w:tcW w:w="754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(647,998)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(314,607)</w:t>
            </w: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 from operations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262,915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31,756</w:t>
            </w:r>
          </w:p>
        </w:tc>
      </w:tr>
      <w:tr>
        <w:trPr>
          <w:trHeight w:val="206"/>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(35,653)</w:t>
            </w:r>
          </w:p>
        </w:tc>
      </w:tr>
      <w:tr>
        <w:trPr>
          <w:trHeight w:val="210"/>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816,170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554,886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558,783</w:t>
            </w:r>
          </w:p>
        </w:tc>
      </w:tr>
      <w:tr>
        <w:trPr>
          <w:trHeight w:val="212"/>
        </w:trPr>
        <w:tc>
          <w:tcPr>
            <w:tcW w:w="754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888,526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816,170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554,886</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62" w:lineRule="exact"/>
        <w:rPr>
          <w:sz w:val="20"/>
          <w:szCs w:val="20"/>
          <w:color w:val="auto"/>
        </w:rPr>
      </w:pPr>
    </w:p>
    <w:p>
      <w:pPr>
        <w:jc w:val="both"/>
        <w:ind w:left="660" w:hanging="328"/>
        <w:spacing w:after="0" w:line="279" w:lineRule="auto"/>
        <w:tabs>
          <w:tab w:leader="none" w:pos="655"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National Networks: </w:t>
      </w:r>
      <w:r>
        <w:rPr>
          <w:rFonts w:ascii="Arial" w:cs="Arial" w:eastAsia="Arial" w:hAnsi="Arial"/>
          <w:sz w:val="17"/>
          <w:szCs w:val="17"/>
          <w:color w:val="auto"/>
        </w:rPr>
        <w:t>Includes activities of our five national programming networks, AMC Studios operations and AMC Broadcasting &amp;</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Our national programming networks are AMC, WE tv, BBC AMERICA, IFC and SundanceTV. Our AMC Studios operations produce original programming for our programming networks and also license those program rights worldwide. AMC Networks Broadcasting &amp; Technology is our technical services business, which primarily services most of the national programming networks.</w:t>
      </w:r>
    </w:p>
    <w:p>
      <w:pPr>
        <w:spacing w:after="0" w:line="63" w:lineRule="exact"/>
        <w:rPr>
          <w:rFonts w:ascii="Arial" w:cs="Arial" w:eastAsia="Arial" w:hAnsi="Arial"/>
          <w:sz w:val="17"/>
          <w:szCs w:val="17"/>
          <w:i w:val="1"/>
          <w:iCs w:val="1"/>
          <w:color w:val="auto"/>
        </w:rPr>
      </w:pPr>
    </w:p>
    <w:p>
      <w:pPr>
        <w:jc w:val="both"/>
        <w:ind w:left="660" w:hanging="328"/>
        <w:spacing w:after="0" w:line="259" w:lineRule="auto"/>
        <w:tabs>
          <w:tab w:leader="none" w:pos="65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AMC Networks Streaming Services, consisting of our targeted subscription streaming services (Acorn TV, Shudder, Sundance Now, ALLBLK), AMC+ and other streaming initiatives; Levity, our production services and comedy venues business; and IFC Films, our film distribution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were made to the prior period amounts to conform to the current period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primarily earns revenue from (i) the distribution of its programming services, through distributors and directly to consumers, and licensing of its programming and other content, (ii) advertising, and (iii) other services. 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The Company’s revenue recognition policies associated with each major source of revenue from contracts with customers are described in Note 3 Revenue Recognition.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and Operating Expenses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Costs of revenues, including but not limited to programming expense, primarily consisting of amortization or write-offs of programming rights, such as those for original programming, feature films and licensed series, participation and residual costs, distribution and production related costs and program delivery costs, such as transmission, encryption, hosting and formatting are classified as technical and operating expenses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Distribution Expenses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Advertising costs are charged to expense when incurred and are included in selling, general and administrative expenses in the consolidated statements of income. Advertising costs were $246.9 million, $180.3 million and $196.0 million for the years ended December 31, 2020, 2019 and 2018, respectively. Marketing, distribution and general and administrative costs related to the exploitation of owned original programming are expensed as incurred and included in selling, general and administrative expenses in the consolidated statements of income.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measures the cost of employee services received in exchange for an award of equity-based instruments based on the grant date fair value of the portion of awards that are ultimately expected to vest. The cost is recognized in earnings over the period during which an employee is required to provide service in exchange for the award using a straight-line amortization method, except for restricted stock units granted to non-employee directors which vest 100%, and are expensed, at the date of grant. Share-based compensation expense is included in selling, general and administrative expenses in the consolidated statements of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reporting currency of the Company is the U.S. dollar. The functional currency of most of the Company's international subsidiaries is the local currency. Assets and liabilities, including intercompany balances for which settlement is anticipated in the foreseeable future, are translated at exchange rates in effect at the balance sheet date. Foreign currency equity balances are translated at historical rates. Revenues and expenses denominated in foreign currencies are translated at average exchange rates for the respective periods. Foreign currency translation adjustments are recorded as a component of other comprehensive income ("OCI") in the consolidated statements of stockholders' equity.</w:t>
      </w:r>
    </w:p>
    <w:p>
      <w:pPr>
        <w:spacing w:after="0" w:line="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Transactions denominated in currencies other than subsidiaries' functional currencies are recorded based on exchange rates at the time such transactions arise. Changes in exchange rates with respect to amounts recorded in the consolidated balance sheets related to these items will result in unrealized foreign currency transaction gains and losses based upon period-end exchange rates. The Company also records realized foreign currency transaction gains and losses upon settlement of the transactions. The Company recognized realized and unrealized foreign currency transaction gains (losses) of $(4.0) million, $11.1 million and $(6.8) million for the years ended December 31, 2020, 2019 and 2018, respectively, which are included in miscellaneous, net in the consolidated statements of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Company's cash investments are placed with money market funds and financial institutions that are investment grade as rated by Standard &amp; Poor's and Moody's Investors Service. The Company selects money market funds that predominantly invest in marketable, direct obligations issued or guaranteed by the U.S. government or its agencies, commercial paper, fully collateralized repurchase agreements, certificates of deposit, and time deposits.</w:t>
      </w:r>
    </w:p>
    <w:p>
      <w:pPr>
        <w:spacing w:after="0" w:line="4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considers the balance of its investment in funds that hold securities that mature within three months or less from the date the fund purchases these securities to be cash equivalents. The carrying amount of cash and cash equivalents either approximates fair value due to the short-term maturity of these instruments or are at fair value.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Trade</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periodically assesses the adequacy of valuation allowances for uncollectible accounts receivable using a forward looking expected loss model by evaluating the collectability of outstanding receivables and general factors such as length of time individual receivables are past due, historical collection experience, and the economic and competitive environment. As of December 31, 2020 and 2019, the Company had $267.5 million and $273.0 million, respectively, of accounts receivable contractually due in excess of one-year, which are included in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Rights to programming, including feature films and episodic series, acquired under license agreements are stated at the lower of unamortized cost or fair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the license period begins. Costs are amortized to technical and operating expense on a straight-line or accelerated basis, based on the expected exploitation strategy of the rights, over a period not to exceed the respective license periods.</w:t>
      </w:r>
    </w:p>
    <w:p>
      <w:pPr>
        <w:spacing w:after="0" w:line="6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Owned original programming costs, including estimated participation and residual costs, qualifying for capitalization as program rights are amortized to technical and operating expense over their estimated useful lives, commencing upon the first airing, based on attributable revenue for airings to date as a percentage of total projected attributable revenue, or ultimate revenue (individual-film-forecast-computation method). Projected attributable revenue is based on previously generated revenues for similar content in established markets, primarily consisting of distribution and advertising revenues, and projected program usage. Projected program usage is based on the Company's current expectation of future exhibitions taking into account historical usage of similar content. Projected attributable revenue can change based upon programming market acceptance, levels of distribution and advertising revenue and decisions regarding planned program usage. These calculations require management to make assumptions and to apply judgment regarding revenue and planned usage. Accordingly, the Company periodically reviews revenue estimates and planned usage and revises its assumptions if necessary, which could impact the timing of amortization expense or result in a write-down to fair value. Any capitalized development costs for programs that the Company determines will not be produced are written off.</w:t>
      </w:r>
    </w:p>
    <w:p>
      <w:pPr>
        <w:spacing w:after="0" w:line="77"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Company periodically reviews the programming usefulness of its licensed and owned original program rights based on several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useful life is updated, which generally results in a write-off of the unamortized cost to technical and operating expense in the consolidated statements of income. See Note 6 for further discussion regarding program rights write-offs.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Investments in equity securities (excluding equity method investments) with readily determinable fair values are accounted for at fair value. The Company applies the measurement alternative to fair value for equity securities without readily determinable far values, which is to record the investments at cost, less impairment, if any, and subsequently adjust for observable price changes of identical or similar investments of the same issuer. All gains and losses related to equity securities are recorded in earnings as a component of miscellaneous, net, in the consolidated statements of income.</w:t>
      </w:r>
    </w:p>
    <w:p>
      <w:pPr>
        <w:spacing w:after="0" w:line="4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 xml:space="preserve">Investments in which the Company has the ability to exercise significant influence but does not control and is not the primary beneficiary are equity method investments. Significant influence typically exists if the Company has a 20% to 50% ownership interest in a venture unless persuasive evidence to the contrary exists. Under this method of accounting, the Company records its proportionate share of the net earnings or losses of equity method investees and a corresponding increase or decrease to the investment balances. Cash payments to equity method investees such as additional investments, loans and advances and expenses incurred on behalf of investees as well as payments from equity method investees such as dividends, distributions and repayments of loans and advances are recorded as adjustments to investment balances. The Company applies the cumulative earnings approach for determining the cash flow presentation of cash distributions received from equity method investees. Distributions received are included in the consolidated statements of cash flows as operating activities, unless the cumulative distributions exceed the Company's portion of the cumulative equity in the net earnings of the equity method investment, in which case the excess distributions are deemed to be returns of the investment and are classified as investing activities in the consolidated statements of cash flows. The Company evaluates its equity method investments for impairment whenever events or changes in circumstances indicate that the carrying amounts of such investments may not be recoverable. See Note </w:t>
      </w:r>
      <w:r>
        <w:rPr>
          <w:rFonts w:ascii="Arial" w:cs="Arial" w:eastAsia="Arial" w:hAnsi="Arial"/>
          <w:sz w:val="16"/>
          <w:szCs w:val="16"/>
          <w:b w:val="1"/>
          <w:bCs w:val="1"/>
          <w:color w:val="auto"/>
        </w:rPr>
        <w:t>7</w:t>
      </w:r>
      <w:r>
        <w:rPr>
          <w:rFonts w:ascii="Arial" w:cs="Arial" w:eastAsia="Arial" w:hAnsi="Arial"/>
          <w:sz w:val="16"/>
          <w:szCs w:val="16"/>
          <w:color w:val="auto"/>
        </w:rPr>
        <w:t xml:space="preserve"> for further discussion regarding investments.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Amortizable Intangible Assets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Property and equipment are carried at cost. Equipment under finance leases is recorded at the present value of the total minimum lease payments. Depreciation is calculated on a straight-line basis over the estimated useful lives of the assets or, with respect to equipment under finance leases and leasehold improvements, amortized over the shorter of the lease term or the assets' useful lives and reported in depreciation and amortization in the consolidated statements of income.</w:t>
      </w:r>
    </w:p>
    <w:p>
      <w:pPr>
        <w:spacing w:after="0" w:line="79"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Amortizable intangible assets established in connection with business combinations primarily consist of affiliate and customer relationships, advertiser relationships and trade names. Amortizable intangible assets are amortized on a straight-line basis over their respective estimated useful lives.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reviews its long-lived assets (property and equipment, and amortizable intangible assets) for impairment whenever events or circumstances indicate that the carrying amount of an asset may not be recoverable. If the sum of the expected cash flows, undiscounted and without interest, is less than the carrying amount of the asset, an impairment loss is recognized as the amount by which the carrying amount of the asset exceeds its fair value. See Note 9 for further discussion regarding long-lived and amortizable intangible assets impairment.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Goodwill and identifiable intangible assets that have indefinite useful lives are not amortized, but instead are tested annually for impairment and upon the occurrence of certain events or substantive changes in circumstances.</w:t>
      </w:r>
    </w:p>
    <w:p>
      <w:pPr>
        <w:spacing w:after="0" w:line="6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 xml:space="preserve">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calculates any goodwill impairment as the difference between the carrying amount of a reporting unit and its fair value, but not to exceed the carrying amount of goodwill. See Note </w:t>
      </w:r>
      <w:r>
        <w:rPr>
          <w:rFonts w:ascii="Arial" w:cs="Arial" w:eastAsia="Arial" w:hAnsi="Arial"/>
          <w:sz w:val="18"/>
          <w:szCs w:val="18"/>
          <w:b w:val="1"/>
          <w:bCs w:val="1"/>
          <w:color w:val="auto"/>
        </w:rPr>
        <w:t>9</w:t>
      </w:r>
      <w:r>
        <w:rPr>
          <w:rFonts w:ascii="Arial" w:cs="Arial" w:eastAsia="Arial" w:hAnsi="Arial"/>
          <w:sz w:val="18"/>
          <w:szCs w:val="18"/>
          <w:color w:val="auto"/>
        </w:rPr>
        <w:t xml:space="preserve"> for further discussion regarding goodwill impairment.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Indefinite-lived intangible assets established in connection with business combinations consist of trademarks. 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Carriage Fees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Deferred carriage fees, included in other assets in the consolidated balance sheets, represent amounts principally paid to multichannel video programming distributors to obtain additional subscribers and/or guarantee carriage of certain programming services and are amortized as a reduction of revenue over the period of the related affiliation arrangement (up to 10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Company's derivative financial instruments are recorded as either assets or liabilities in the consolidated balance sheet based on their fair values. The Company's embedded derivative financial instruments which are clearly and closely related to the host contracts are not accounted for on a stand-alone basis. Changes in the fair values are reported in earnings or other comprehensive income depending on the use of the derivative and whether it qualifies for hedge accounting. Derivative instruments are designated and accounted for as either a hedge of a recognized asset or liability (fair value hedge) or a hedge of a forecasted transaction (cash flow hedge). For derivatives not designated as hedges, changes in fair values are recognized in earnings and included in interest expense, for interest rate swap contracts and miscellaneous, net, for foreign currency and other derivative contracts. For derivatives designated as effective cash flow hedges, changes in fair values are recognized in other comprehensive income (loss). Changes in fair values related to fair value hedges as well as the ineffective portion of cash flow hedges are recognized in earnings. Changes in the fair value of the underlying hedged item of a fair value hedge are also recognized in earnings. See Note 13 for a further discussion of the Company's derivative financial instruments.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adopted ASU No. 2016-02, Leases (Topic 842) on January 1, 2019, using the modified retrospective approach and effective date method. In addition, the Company elected the package of practical expedients, permitted under the transition guidance within the new standard, which among other things, allowed for the carry forward of the historical classification of leases. The new standard did not materially impact our consolidated net income or cash flows. See Note 14 for further discussion regarding leases.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Company's provision for income taxes is based on current period income, changes in deferred tax assets and liabilities and estimates with regard to the liability for unrecognized tax benefits resulting from uncertain tax positions. Deferred tax assets are evaluated quarterly for expected future realization and reduced by a valuation allowance to the extent management believes it is more likely than not that a portion will not be realized. The Company provides deferred taxes for the outside basis difference for its investment in partnerships and uses the deferral method to recognize the income tax benefit from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tax credits. Global low taxed intangible income (“GILTI”) tax is treated as a period expense. Interest and penalties, if any, associated with uncertain tax positions are included in income tax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of the contingency can be reasonably estimated. See Note 16 for further discussion regarding commitments and contingencies.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 As of December 31, 2020, two customers accounted for 18% and 10%, respectively, of the combined balances of consolidated accounts receivable, trade and receivables due in excess of one-year (included in other assets). As of December 31, 2019, two customers accounted for 16% and 10%, respectively, of the combined balances of consolidated accounts receivable, trade and receivables due in excess of one-year.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Noncontrolling interest with redemption features, such as put options, that are not solely within the Company's control are considered redeemable noncontrolling interests. Redeemable noncontrolling interests are considered to be temporary equity and are reported in the mezzanine section between total liabilities and stockholders' equity in the Company's consolidated balance sheet at the greater of their initial carrying amount, increased or decreased for contributions, distributions and the noncontrolling interest's share of net income or loss, or redemption value.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statements of income present basic and diluted net income per share ("EPS"). Basic EPS is based upon net income divided by the weighted-average number of common shares outstanding during the period. Diluted EPS reflects the dilutive effects of AMC Networks outstanding equity-based awards.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1240" w:type="dxa"/>
            <w:vAlign w:val="bottom"/>
            <w:tcBorders>
              <w:bottom w:val="single" w:sz="8" w:color="auto"/>
            </w:tcBorders>
          </w:tcPr>
          <w:p>
            <w:pPr>
              <w:spacing w:after="0"/>
              <w:rPr>
                <w:sz w:val="18"/>
                <w:szCs w:val="18"/>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740" w:type="dxa"/>
            <w:vAlign w:val="bottom"/>
            <w:gridSpan w:val="3"/>
          </w:tcPr>
          <w:p>
            <w:pPr>
              <w:jc w:val="right"/>
              <w:ind w:right="53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226"/>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58,066</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Effect of dilution:</w:t>
            </w: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260" w:type="dxa"/>
            <w:vAlign w:val="bottom"/>
          </w:tcPr>
          <w:p>
            <w:pPr>
              <w:ind w:left="360"/>
              <w:spacing w:after="0"/>
              <w:rPr>
                <w:sz w:val="20"/>
                <w:szCs w:val="20"/>
                <w:color w:val="auto"/>
              </w:rPr>
            </w:pPr>
            <w:r>
              <w:rPr>
                <w:rFonts w:ascii="Arial" w:cs="Arial" w:eastAsia="Arial" w:hAnsi="Arial"/>
                <w:sz w:val="18"/>
                <w:szCs w:val="18"/>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717</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Approximately 0.3 million, 1.3 million and 1.0 million restricted stock units outstanding as of December 31, 2020, 2019, and 2018, respectively, have been excluded from diluted weighted average common shares outstanding since a performance condition for these awards had not been met in each of the respective periods. As of December 31, 2020 and 2019, 0.3 million and 0.6 million, respectively, of restricted stock units and stock options have been excluded from diluted weighted average common shares outstanding, as their impact would have been anti-dilutive.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 AMC Networks</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Each holder of AMC Networks Class A Common Stock has one vote per share while holders of AMC Networks Class B Common Stock have ten votes per share. AMC Networks Class B shares can be converted to AMC Networks Class A Common Stock at any time with a conversion ratio of one AMC Networks Class A common share for one AMC Networks Class B common share. The AMC Networks Class A stockholders are entitled to elect 25% of the Company's Board of Directors. AMC Networks Class B stockholders have the right to elect the remaining members of the Company's Board of Directors. In addition, AMC Networks Class B stockholders are parties to an agreement which has the effect of causing the voting power of these AMC Networks Class B stockholders to be cast as a block.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year ended December 31, 2020, the Company repurchased 14.8 million shares of its Class A common stock at an average purchase price of $23.91 per share (inclusive of the results of the modified "Dutch auction" tender offer discussed below). As of December 31, 2020, the Company has $135.3 million available for repurchase under the Stock Repurchase Program.</w:t>
      </w:r>
    </w:p>
    <w:p>
      <w:pPr>
        <w:spacing w:after="0" w:line="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On September 16, 2020, the Company commenced a modified "Dutch auction" tender offer (the "Tender Offer") to purchase up to $250 million in value of shares of its Class A Common Stock, plus up to an additional 2% of the outstanding shares of Class A Common Stock, at a price not greater than $26.50 nor less than $22.50 per share. The Tender Offer expired on October 14, 2020. On October 21, 2020, the Company accepted for purchase 10.8 million shares of its Class A Common Stock, at a price of $23.20 per share, for an aggregate cost of $250.6 million. The cost of these shares, and the fees relating to the Tender Offer, are classified in Treasury stock in the consolidated balance sheet.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6"/>
                <w:szCs w:val="16"/>
                <w:b w:val="1"/>
                <w:bCs w:val="1"/>
                <w:color w:val="auto"/>
              </w:rPr>
              <w:t>Shares Outstanding</w:t>
            </w:r>
          </w:p>
        </w:tc>
      </w:tr>
      <w:tr>
        <w:trPr>
          <w:trHeight w:val="158"/>
        </w:trPr>
        <w:tc>
          <w:tcPr>
            <w:tcW w:w="8040" w:type="dxa"/>
            <w:vAlign w:val="bottom"/>
          </w:tcPr>
          <w:p>
            <w:pPr>
              <w:spacing w:after="0"/>
              <w:rPr>
                <w:sz w:val="13"/>
                <w:szCs w:val="13"/>
                <w:color w:val="auto"/>
              </w:rPr>
            </w:pPr>
          </w:p>
        </w:tc>
        <w:tc>
          <w:tcPr>
            <w:tcW w:w="164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88"/>
              </w:rPr>
              <w:t>Class A</w:t>
            </w:r>
          </w:p>
        </w:tc>
        <w:tc>
          <w:tcPr>
            <w:tcW w:w="1520" w:type="dxa"/>
            <w:vAlign w:val="bottom"/>
          </w:tcPr>
          <w:p>
            <w:pPr>
              <w:jc w:val="right"/>
              <w:ind w:right="432"/>
              <w:spacing w:after="0" w:line="158" w:lineRule="exact"/>
              <w:rPr>
                <w:sz w:val="20"/>
                <w:szCs w:val="20"/>
                <w:color w:val="auto"/>
              </w:rPr>
            </w:pPr>
            <w:r>
              <w:rPr>
                <w:rFonts w:ascii="Arial" w:cs="Arial" w:eastAsia="Arial" w:hAnsi="Arial"/>
                <w:sz w:val="16"/>
                <w:szCs w:val="16"/>
                <w:b w:val="1"/>
                <w:bCs w:val="1"/>
                <w:color w:val="auto"/>
              </w:rPr>
              <w:t>Class B</w:t>
            </w:r>
          </w:p>
        </w:tc>
      </w:tr>
      <w:tr>
        <w:trPr>
          <w:trHeight w:val="213"/>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Common Stock</w:t>
            </w:r>
          </w:p>
        </w:tc>
        <w:tc>
          <w:tcPr>
            <w:tcW w:w="1520" w:type="dxa"/>
            <w:vAlign w:val="bottom"/>
          </w:tcPr>
          <w:p>
            <w:pPr>
              <w:jc w:val="right"/>
              <w:ind w:right="132"/>
              <w:spacing w:after="0"/>
              <w:rPr>
                <w:sz w:val="20"/>
                <w:szCs w:val="20"/>
                <w:color w:val="auto"/>
              </w:rPr>
            </w:pPr>
            <w:r>
              <w:rPr>
                <w:rFonts w:ascii="Arial" w:cs="Arial" w:eastAsia="Arial" w:hAnsi="Arial"/>
                <w:sz w:val="16"/>
                <w:szCs w:val="16"/>
                <w:b w:val="1"/>
                <w:bCs w:val="1"/>
                <w:color w:val="auto"/>
              </w:rPr>
              <w:t>Common Stock</w:t>
            </w:r>
          </w:p>
        </w:tc>
      </w:tr>
      <w:tr>
        <w:trPr>
          <w:trHeight w:val="226"/>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Share repurchases</w:t>
            </w:r>
          </w:p>
        </w:tc>
        <w:tc>
          <w:tcPr>
            <w:tcW w:w="1520" w:type="dxa"/>
            <w:vAlign w:val="bottom"/>
          </w:tcPr>
          <w:p>
            <w:pPr>
              <w:jc w:val="right"/>
              <w:spacing w:after="0"/>
              <w:rPr>
                <w:sz w:val="20"/>
                <w:szCs w:val="20"/>
                <w:color w:val="auto"/>
              </w:rPr>
            </w:pPr>
            <w:r>
              <w:rPr>
                <w:rFonts w:ascii="Arial" w:cs="Arial" w:eastAsia="Arial" w:hAnsi="Arial"/>
                <w:sz w:val="18"/>
                <w:szCs w:val="18"/>
                <w:color w:val="auto"/>
              </w:rPr>
              <w:t>(5,386)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520" w:type="dxa"/>
            <w:vAlign w:val="bottom"/>
          </w:tcPr>
          <w:p>
            <w:pPr>
              <w:jc w:val="right"/>
              <w:spacing w:after="0"/>
              <w:rPr>
                <w:sz w:val="20"/>
                <w:szCs w:val="20"/>
                <w:color w:val="auto"/>
              </w:rPr>
            </w:pPr>
            <w:r>
              <w:rPr>
                <w:rFonts w:ascii="Arial" w:cs="Arial" w:eastAsia="Arial" w:hAnsi="Arial"/>
                <w:sz w:val="18"/>
                <w:szCs w:val="18"/>
                <w:color w:val="auto"/>
              </w:rPr>
              <w:t>44,749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11,484</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11,484</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Share repurchases</w:t>
            </w:r>
          </w:p>
        </w:tc>
        <w:tc>
          <w:tcPr>
            <w:tcW w:w="1520" w:type="dxa"/>
            <w:vAlign w:val="bottom"/>
          </w:tcPr>
          <w:p>
            <w:pPr>
              <w:jc w:val="right"/>
              <w:spacing w:after="0"/>
              <w:rPr>
                <w:sz w:val="20"/>
                <w:szCs w:val="20"/>
                <w:color w:val="auto"/>
              </w:rPr>
            </w:pPr>
            <w:r>
              <w:rPr>
                <w:rFonts w:ascii="Arial" w:cs="Arial" w:eastAsia="Arial" w:hAnsi="Arial"/>
                <w:sz w:val="18"/>
                <w:szCs w:val="18"/>
                <w:color w:val="auto"/>
              </w:rPr>
              <w:t>(14,785)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29,975</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11,484</w:t>
            </w: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80" w:firstLine="445"/>
        <w:spacing w:after="0" w:line="248" w:lineRule="auto"/>
        <w:rPr>
          <w:sz w:val="20"/>
          <w:szCs w:val="20"/>
          <w:color w:val="auto"/>
        </w:rPr>
      </w:pPr>
      <w:r>
        <w:rPr>
          <w:rFonts w:ascii="Arial" w:cs="Arial" w:eastAsia="Arial" w:hAnsi="Arial"/>
          <w:sz w:val="18"/>
          <w:szCs w:val="18"/>
          <w:color w:val="auto"/>
        </w:rPr>
        <w:t>*Reflects common stock activity in connection with restricted stock units and stock options granted to employees, as well as in connection with the fulfillment of employees' statutory tax withholding obligations for applicable income and other employment taxes and forfeited employee restricted stock units.</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0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Effective January 1, 2020, the Company adopted Financial Accounting Standard Board (“FASB”) Accounting Standards Update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which changed the impairment model for most financial assets and certain other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trade and other receivables, held-to-maturity debt securities and loans, and requires entities to use a new forward-looking "expected loss" model that would generally result in the earlier recognition of allowances for losses. The Company adopted the standard using the modified retrospective approach and recorded a decrease to opening retained earnings of $2.0 million, after taxes, for the cumulative-effect of the adoption.</w:t>
      </w:r>
    </w:p>
    <w:p>
      <w:pPr>
        <w:spacing w:after="0" w:line="5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 xml:space="preserve">Effective January 1, 2020, the Company adopted FASB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The standard changed the disclosure requirements related to transfers between Level I and II assets, as well as several aspects surrounding the valuation process and unrealized gains and losses related to Level III assets. The adoption of the standard did not have any effect on the Company's consolidated financial statements.</w:t>
      </w:r>
    </w:p>
    <w:p>
      <w:pPr>
        <w:spacing w:after="0" w:line="4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Effective January 1, 2020, the Company adopted FASB ASU No. 2018-15, </w:t>
      </w:r>
      <w:r>
        <w:rPr>
          <w:rFonts w:ascii="Arial" w:cs="Arial" w:eastAsia="Arial" w:hAnsi="Arial"/>
          <w:sz w:val="18"/>
          <w:szCs w:val="18"/>
          <w:i w:val="1"/>
          <w:iCs w:val="1"/>
          <w:color w:val="auto"/>
        </w:rPr>
        <w:t>Customer's Accounting for Implementation Costs Incurred in a Cloud</w:t>
      </w:r>
      <w:r>
        <w:rPr>
          <w:rFonts w:ascii="Arial" w:cs="Arial" w:eastAsia="Arial" w:hAnsi="Arial"/>
          <w:sz w:val="18"/>
          <w:szCs w:val="18"/>
          <w:color w:val="auto"/>
        </w:rPr>
        <w:t xml:space="preserve"> </w:t>
      </w:r>
      <w:r>
        <w:rPr>
          <w:rFonts w:ascii="Arial" w:cs="Arial" w:eastAsia="Arial" w:hAnsi="Arial"/>
          <w:sz w:val="18"/>
          <w:szCs w:val="18"/>
          <w:i w:val="1"/>
          <w:iCs w:val="1"/>
          <w:color w:val="auto"/>
        </w:rPr>
        <w:t>Computing Arrangement that is a Service Contract</w:t>
      </w:r>
      <w:r>
        <w:rPr>
          <w:rFonts w:ascii="Arial" w:cs="Arial" w:eastAsia="Arial" w:hAnsi="Arial"/>
          <w:sz w:val="18"/>
          <w:szCs w:val="18"/>
          <w:color w:val="auto"/>
        </w:rPr>
        <w:t>. The standard amended prior guidance to align the accounting for costs incurred in a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with the requirements for capitalizing costs associated with developing or obtaining internal-use software. Capitalized implementation costs must be expensed over the term of the hosting arrangement and presented in the same line item in the income statement as the fees associated with the hosting element (service) of the arrangement. The adoption of the standard did not have a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 xml:space="preserve">Effective January 1, 2020, the Company adopted FASB ASU No. 2019-02, </w:t>
      </w:r>
      <w:r>
        <w:rPr>
          <w:rFonts w:ascii="Arial" w:cs="Arial" w:eastAsia="Arial" w:hAnsi="Arial"/>
          <w:sz w:val="18"/>
          <w:szCs w:val="18"/>
          <w:i w:val="1"/>
          <w:iCs w:val="1"/>
          <w:color w:val="auto"/>
        </w:rPr>
        <w:t>Improvements to Accounting for Costs of Films and License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Program Materials. </w:t>
      </w:r>
      <w:r>
        <w:rPr>
          <w:rFonts w:ascii="Arial" w:cs="Arial" w:eastAsia="Arial" w:hAnsi="Arial"/>
          <w:sz w:val="18"/>
          <w:szCs w:val="18"/>
          <w:color w:val="auto"/>
        </w:rPr>
        <w:t>The standard aligns the accounting for production costs of episodic television series with the accounting for production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films. In addition, the standard modifies certain aspects of the capitalization, impairment, presentation and disclosure requirements in Accounting Standards Codification (“ASC”) 926-20 and the impairment, presentation and disclosure requirements in ASC 920-350. The Company adopted the standard on a prospective basis. See Note 6 for further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ASU 2019-12 removes certain exceptions to the general principles in Topic 740 - Income Taxes. These changes are effective for the first quarter of 2021, with early adoption permitted. The Company is currently evaluating the impact of the adoption and does not expect it to have material impact on its consolidated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("transaction price"). To the extent the transaction price includes variable consideration, the Company estimates the amount of variable consideration that should be included in the transaction price utilizing the most likely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that is reasonably available. Amounts collected on behalf of others (including taxes), where the Company is an agent, are excluded from revenue.</w:t>
      </w:r>
    </w:p>
    <w:p>
      <w:pPr>
        <w:spacing w:after="0" w:line="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When determining the transaction price of a contract, an adjustment is made if payment from a customer occurs either significantly before or significantly after performance, resulting in a significant financing component. Applying a practical expedient in the guidance, the Company does not assess whether a significant financing component exists if the period between when the Company performs its obligations under the contract and when the customer pays is one year or less.</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 pricing guidelines related to the performance obligations.</w:t>
      </w:r>
    </w:p>
    <w:p>
      <w:pPr>
        <w:spacing w:after="0" w:line="8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primarily earns revenue from (i) the distribution of its programming services, through distributors and directly to consumers, and licensing of its programming and other content, (ii) advertising, and (iii) other services. The Company’s revenue recognition policies summarizing the nature, amount, timing and uncertainty associated with each major source of revenue from contracts with customers are described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majority of the Company’s distribution revenues relate to sales-based and usage-based royalties which are recognized on the later of (i) when the subsequent sale or usage occurs and (ii) when the performance obligation to which some or all of the sales-based or usage-based royalty has been allocated has been satisfied or partially satisfied. Occasionally, the Company incurs costs to obtain a distribution contract and these costs are amortized over the period of the related distribution contract as a reduction of revenue.</w:t>
      </w:r>
    </w:p>
    <w:p>
      <w:pPr>
        <w:spacing w:after="0" w:line="7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Subscription fee revenue: Subscription fees are earned from cable and other multichannel video programming distribution platforms, including direct broadcast satellite ("DBS"), platforms operated by telecommunications providers and virtual multichannel video programming distributors (collectively "distributors"), for the rights to use the Company's network programming under multi-year contracts, commonly referred to as "affiliation agreements." The Company's performance obligation under affiliation agreements is a license of functional intellectual property that is satisfied as the Company provides its programming over the term of the agreement. The transaction price is represented by subscription fees that are generally based upon (i) contractual rates applied to the number of the distributor's subscribers who receive or can receive our programming ("rate-per-subscriber"), or (ii) fixed contractual monthly fees ("fixed fee").</w:t>
      </w:r>
    </w:p>
    <w:p>
      <w:pPr>
        <w:spacing w:after="0" w:line="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rate-per-subscriber agreements, the Company applies the sales-based or usage-based royalty guidance, and accordingly, recognizes revenue in the period of the distributor’s usage, based on the subscription fee earned during the period.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Fixed fee affiliation agreements are generally billed in monthly installments, and such amounts may vary over the term of the contract. In cases where the invoice amount corresponds directly with the value to the affiliate of the performance to-date, the Company recognizes revenue based on the invoiced amount. In cases where changes in fees during the contract term do not correspond directly to the value of the performance to-date (for example, if the fees vary over the contract term due to a significant financing or credit risk component), the Company recognizes the total amount of fixed transaction price over the contract period using a time-based (e.g., straight-line) measure of progress.</w:t>
      </w:r>
    </w:p>
    <w:p>
      <w:pPr>
        <w:spacing w:after="0" w:line="6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Certain of the Company’s fixed fee affiliation agreements contain guaranteed minimum fees that are recoupable during the term of the agreement, and variable fees based on rates-per-subscriber after the guaranteed minimum is recouped. The Company recognizes revenue for the fixed consideration over the minimum guarantee period and recognizes variable fees only when cumulative consideration exceeds the minimum guarantee.</w:t>
      </w:r>
    </w:p>
    <w:p>
      <w:pPr>
        <w:spacing w:after="0" w:line="4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Subscription revenue from our streaming services Acorn TV, Shudder, Sundance Now, ALLBLK, and AMC+ (collectively, AMC Networks Streaming Services) is recognized as the streaming services are provided to customers.</w:t>
      </w:r>
    </w:p>
    <w:p>
      <w:pPr>
        <w:spacing w:after="0" w:line="6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Content licensing revenue: The Company licenses its original programming content to certain distributors, including under streaming, pay-per-view ("PPV") and electronic sell-through ("EST") arrangements. Under these arrangements, our performance obligation is a license to functional intellectual property that provides the distributor the right to use our programming as it exists at a point in time. The satisfaction of the Company’s performance obligation, and related recognition of revenue, occurs when the content is delivered to the licensee and the license period has begun. The Company’s performance obligation in a content license arrangement pertains to each distinct unit of content, which is generally each season of an episodic series or a film. The Company typically delivers all episodes of a season for a series concurrently and the licensee’s rights to exploit the content is the same across all of the episodes.</w:t>
      </w:r>
    </w:p>
    <w:p>
      <w:pPr>
        <w:spacing w:after="0" w:line="8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 streaming arrangements, the Company adjusts the transaction price for the time value of money in cases where license fees are paid over several years. Streaming licensing revenue is recognized at the later of the beginning of the license period, or when we provide the programming to the distributor. The Company recognizes a contract asset for the difference between the revenue recognized and the amount we are permitted to invoice.</w:t>
      </w:r>
    </w:p>
    <w:p>
      <w:pPr>
        <w:spacing w:after="0" w:line="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PPV and EST license fee arrangements, the Company applies the sales-based or usage-based royalty guidance and recognizes revenue in the period of end-customer purchases, based on the fees earned during the period.</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also licenses trademarks, logos, brands, derivative character copyrights, etc. under multi-year arrangements. Under these arrangements, the Company may receive a non-refundable minimum guarantee that is recoupable against a volume-based royalty throughout the term of the agreement. The performance obligation is a license of symbolic intellectual property that provides the customer with a right to access the intellectual property. The Company adjusts the transaction price for the time value of money in cases where license fees are paid over several years. The Company recognizes revenue for the minimum guarantee on a straight-line basis over the term of the agreement, and recognizes variable fees only when cumulative consideration exceeds the minimum guarantee.</w:t>
      </w:r>
    </w:p>
    <w:p>
      <w:pPr>
        <w:spacing w:after="0" w:line="8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payment terms vary by the type and location of customer. Generally, payment terms are 30-45 days after revenue is earned. In certain limited circumstances, agreements with customers have payment terms in excess of one-year after satisfaction of the performance obligation.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generates revenues from the sale of advertising time on its networks. In such arrangements, the Company generally promises to air a certain number of commercials (spots) and to generate guaranteed viewer ratings for an audience demographic (impressions) over a period that generally does not exceed one year. The promise to deliver impressions by airing spots represents the Company’s performance obligation. Advertising revenues are recognized as commercials are aired, to the extent that guaranteed viewer ratings are achieved. A contract liability is recognized to the extent the guaranteed viewer ratings are not met, and is subsequently recognized as revenue either when the Company provides the required additional advertising or the guarantee obligation contractually expires, which is generally within one year. Generally, payment terms are 30 days after revenue is earned.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earns revenue from production and transmission services and live entertainment venues. Such services are recognized as revenue as the services are performed.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guidance requires disclosure of the aggregate amount of transaction price that is allocated to performance obligations that have not yet been satisfied as of December 31, 2020. However, the guidance does not apply to sales-based or usage-based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royalty arrangements and also provides certain practical expedients that allow companies to omit this disclosure requirement for (i) contracts with an original expected length of one year or less, (ii) contracts for which revenue is recognized at the amount to which the Company has the right to invoice for services performed and (iii) variable consideration related to a wholly unsatisfied performance obligation.</w:t>
      </w:r>
    </w:p>
    <w:p>
      <w:pPr>
        <w:spacing w:after="0" w:line="7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2020, other than contracts for which the Company has applied the practical expedients, the aggregate amount of transaction price allocated to remaining performance obligations was not material to our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receivables, contract assets and contract liabilities in the consolidated balance sheet.</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certain types of contracts with customers, the Company may recognize revenue in advance of the contractual right to invoice the customer, resulting in an amount recorded to contract assets. Once the Company has an unconditional right to consideration under a contract, the contract assets are reclassified to account receivables.</w:t>
      </w:r>
    </w:p>
    <w:p>
      <w:pPr>
        <w:spacing w:after="0" w:line="7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When consideration is received, or such consideration is unconditionally due, from a customer prior to transferring goods or services to the customer under the terms of a contract, a contract liability is recorded. Contract liabilities are recognized as revenue when, or as, control of the products or services is transferred to the customer and all revenue recognition criteria have been met. The primary source of the Company’s contract liabilities relates to advertising sales arrangements and content licensing arrangements. As noted above, the Company’s programming networks generally guarantee viewer ratings for its programming. If these guaranteed viewer ratings are not met, the Company is required to provide additional advertising units to the advertiser. For these types of arrangements, a portion of the related revenue is deferred if the guaranteed ratings are not met, representing a contract liability, and is subsequently recognized either when the Company provides the required additional advertising time or the guarantee obligation contractually expires. In certain content licensing arrangements, payment may be received in advance of a distributor's ability to exhibit a program. Such payments are recorded as a contract liability and subsequently recognized when the program becomes available for exhibition.</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 2019</w:t>
            </w:r>
          </w:p>
        </w:tc>
      </w:tr>
      <w:tr>
        <w:trPr>
          <w:trHeight w:val="226"/>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30"/>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Accounts receivable (including long-term, included in Other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1,081,070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1,121,834</w:t>
            </w:r>
          </w:p>
        </w:tc>
      </w:tr>
      <w:tr>
        <w:trPr>
          <w:trHeight w:val="229"/>
        </w:trPr>
        <w:tc>
          <w:tcPr>
            <w:tcW w:w="7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w:t>
            </w:r>
          </w:p>
        </w:tc>
      </w:tr>
      <w:tr>
        <w:trPr>
          <w:trHeight w:val="230"/>
        </w:trPr>
        <w:tc>
          <w:tcPr>
            <w:tcW w:w="714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9,964</w:t>
            </w:r>
          </w:p>
        </w:tc>
      </w:tr>
      <w:tr>
        <w:trPr>
          <w:trHeight w:val="230"/>
        </w:trPr>
        <w:tc>
          <w:tcPr>
            <w:tcW w:w="7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(Deferred revenue)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63,921</w:t>
            </w:r>
          </w:p>
        </w:tc>
      </w:tr>
    </w:tbl>
    <w:p>
      <w:pPr>
        <w:spacing w:after="0" w:line="94" w:lineRule="exact"/>
        <w:rPr>
          <w:sz w:val="20"/>
          <w:szCs w:val="20"/>
          <w:color w:val="auto"/>
        </w:rPr>
      </w:pPr>
    </w:p>
    <w:p>
      <w:pPr>
        <w:ind w:right="600"/>
        <w:spacing w:after="0" w:line="375" w:lineRule="auto"/>
        <w:rPr>
          <w:sz w:val="20"/>
          <w:szCs w:val="20"/>
          <w:color w:val="auto"/>
        </w:rPr>
      </w:pPr>
      <w:r>
        <w:rPr>
          <w:rFonts w:ascii="Arial" w:cs="Arial" w:eastAsia="Arial" w:hAnsi="Arial"/>
          <w:sz w:val="18"/>
          <w:szCs w:val="18"/>
          <w:color w:val="auto"/>
        </w:rPr>
        <w:t xml:space="preserve">(a) Revenue recognized for the twelve months ended December 31, 2020 relating to the contract liability at December 31, 2019 was $47.2 million. </w:t>
      </w:r>
      <w:r>
        <w:rPr>
          <w:rFonts w:ascii="Arial" w:cs="Arial" w:eastAsia="Arial" w:hAnsi="Arial"/>
          <w:sz w:val="18"/>
          <w:szCs w:val="18"/>
          <w:b w:val="1"/>
          <w:bCs w:val="1"/>
          <w:color w:val="auto"/>
        </w:rPr>
        <w:t>Note 4. Impairment Charges</w:t>
      </w:r>
    </w:p>
    <w:p>
      <w:pPr>
        <w:spacing w:after="0" w:line="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2020, as a result of the continuing impact of the COVID-19 pandemic, the Company qualitatively assessed whether it was more likely than not that goodwill and long-lived assets were impaired as of June 30, 2020. As a result of that assessment, the Company incurred impairment charges of $122.2 million, consisting of $25.1 million related to goodwill impairment and $97.1 million primarily related to certain identifiable intangible assets, as well as property and equipment, and operating lease right-of-use assets, all of which were associated with the AMCNI reporting unit.</w:t>
      </w:r>
    </w:p>
    <w:p>
      <w:pPr>
        <w:spacing w:after="0" w:line="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2019, the Company incurred impairment charges of $106.6 million, consisting of $98.0 million related to goodwill impairment associated with the AMCNI reporting unit, and $8.6 million related to impairments of intangibles and property and equipment associated with the sale of a subsidiary. In connection with the preparation of the 2019 fourth quarter financial information, the Company performed its annual goodwill impairment test and concluded that the estimated fair value of the AMCNI reporting unit declined to less than its carrying amount. As a result, the Company recognized an impairment charge of $98.0 million for the year ended December 31, 2019, reflecting a partial write-down of the goodwill associated with the AMCNI reporting unit.</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2018, AMCNI recognized a $4.5 million charge, primarily related to program rights, in connection with the disposition of a business.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Other Related Charges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The Company recorded restructuring and other related charges of $35.1 million for the year ended December 31, 2020. On November 18, 2020, the Company commenced a restructuring plan (the “2020 Plan”) designed to streamline the Company’s operations through a reduction of its domestic workforce. The 2020 Plan is intended to improve the organizational design of the Company through the elimination of certain roles and centralization of certain functional areas of the Company. Restructuring and other related charges associated with the 2020 Plan, recorded in 2020, were primarily for severance and other personnel costs of $21.2 million, of which $11.8 million was attributable to the National Networks segment and $9.4 million was attributable to the International and Other segment. Additional restructuring and other related charges for the year ended December 31, 2020 were $13.9 million, which related to costs associated with the termination of distribution in certain territories, as well as severance and other personnel related costs associated with previously disclosed restructuring activities.</w:t>
      </w:r>
    </w:p>
    <w:p>
      <w:pPr>
        <w:spacing w:after="0" w:line="73"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Restructuring and other related charges of $40.9 million for the year ended December 31, 2019 related to the management restructuring, which commenced in the third quarter of 2019, and the AMC Networks Streaming Services organization restructuring, which commenced in the second quarter of 2019. In connection with each of these restructuring initiatives, a number of roles were eliminated to address redundancy at the management level and improve the effectiveness of management while reducing the cost structure of the Company.</w:t>
      </w:r>
    </w:p>
    <w:p>
      <w:pPr>
        <w:spacing w:after="0" w:line="6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restructuring initiative related to the management team, the Company incurred restructuring charges for severance and other personnel related costs of $26.0 million, of which $13.5 million was attributable to the National Networks segment and $12.5 million was attributable to the International and Other segment.</w:t>
      </w:r>
    </w:p>
    <w:p>
      <w:pPr>
        <w:spacing w:after="0" w:line="7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In connection with the AMC Networks Streaming Services restructuring, management made certain organization changes within the owned subscription streaming services businesses. The restructuring combined the owned subscription streaming services under one management team. As a result, the Company incurred restructuring charges of $1.9 million related to severance and other personnel related costs.</w:t>
      </w:r>
    </w:p>
    <w:p>
      <w:pPr>
        <w:spacing w:after="0" w:line="5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In connection with the organization changes in the AMC Networks Streaming Services business, the Company implemented changes to its strategy for owned subscription streaming services, including programming that will no longer be made available. As a result, the Company incurred other charges of $13.0 million related to the write-off of programming associated with the reorganization and change in strategy.</w:t>
      </w:r>
    </w:p>
    <w:p>
      <w:pPr>
        <w:spacing w:after="0" w:line="5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During the 2018, management commenced a restructuring initiative designed to reduce the cost structure of the Company. The restructuring was intended to improve the organizational design of the Company through the elimination of certain roles, a reduction in the grade of certain roles, an increase in the span of responsibilities of certain senior managers, and the re-alignment of certain senior leaders to new or additional responsibilities. This restructuring resulted in a $36.0 million charge for the year ended December 31, 2018 primarily related to severance. Additionally, AMCNI completed a portfolio rationalization review that resulted in the termination of distribution in certain territories, resulting in a $9.9 million charge.</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Years Ended December 31,</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1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r>
      <w:tr>
        <w:trPr>
          <w:trHeight w:val="22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17,160</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35,189</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45,847</w:t>
            </w:r>
          </w:p>
        </w:tc>
      </w:tr>
      <w:tr>
        <w:trPr>
          <w:trHeight w:val="20"/>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and other related charges recognized for the three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Years Ended December 31,</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related charges</w:t>
            </w:r>
          </w:p>
        </w:tc>
        <w:tc>
          <w:tcPr>
            <w:tcW w:w="11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F-18</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accrued restructuring and other related costs: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94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Severance and Employee-</w:t>
            </w:r>
          </w:p>
        </w:tc>
        <w:tc>
          <w:tcPr>
            <w:tcW w:w="220" w:type="dxa"/>
            <w:vAlign w:val="bottom"/>
          </w:tcPr>
          <w:p>
            <w:pPr>
              <w:spacing w:after="0"/>
              <w:rPr>
                <w:sz w:val="16"/>
                <w:szCs w:val="16"/>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Other Exit Costs</w:t>
            </w:r>
          </w:p>
        </w:tc>
        <w:tc>
          <w:tcPr>
            <w:tcW w:w="420" w:type="dxa"/>
            <w:vAlign w:val="bottom"/>
          </w:tcPr>
          <w:p>
            <w:pPr>
              <w:spacing w:after="0"/>
              <w:rPr>
                <w:sz w:val="16"/>
                <w:szCs w:val="16"/>
                <w:color w:val="auto"/>
              </w:rPr>
            </w:pPr>
          </w:p>
        </w:tc>
        <w:tc>
          <w:tcPr>
            <w:tcW w:w="1400" w:type="dxa"/>
            <w:vAlign w:val="bottom"/>
            <w:vMerge w:val="restart"/>
          </w:tcPr>
          <w:p>
            <w:pPr>
              <w:jc w:val="right"/>
              <w:ind w:right="6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Related Costs</w:t>
            </w:r>
          </w:p>
        </w:tc>
        <w:tc>
          <w:tcPr>
            <w:tcW w:w="2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35,189</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26,132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27,897</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(31,897)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(32,311)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adjustments</w:t>
            </w: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27,628</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35,068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(31,736)</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Non-cash adjustments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Accrued restructuring and other related costs of $25.6 million are included in accrued liabilities in the consolidated balance sheet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Program Rights and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Effective January 1, 2020, the Company adopted FASB ASU No. 2019-02, </w:t>
      </w:r>
      <w:r>
        <w:rPr>
          <w:rFonts w:ascii="Arial" w:cs="Arial" w:eastAsia="Arial" w:hAnsi="Arial"/>
          <w:sz w:val="18"/>
          <w:szCs w:val="18"/>
          <w:i w:val="1"/>
          <w:iCs w:val="1"/>
          <w:color w:val="auto"/>
        </w:rPr>
        <w:t>Improvements to Accounting for Costs of Films and License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Program Materials</w:t>
      </w:r>
      <w:r>
        <w:rPr>
          <w:rFonts w:ascii="Arial" w:cs="Arial" w:eastAsia="Arial" w:hAnsi="Arial"/>
          <w:sz w:val="18"/>
          <w:szCs w:val="18"/>
          <w:color w:val="auto"/>
        </w:rPr>
        <w:t>. The new guidance impacts the Company as follows:</w:t>
      </w:r>
    </w:p>
    <w:p>
      <w:pPr>
        <w:spacing w:after="0" w:line="62" w:lineRule="exact"/>
        <w:rPr>
          <w:sz w:val="20"/>
          <w:szCs w:val="20"/>
          <w:color w:val="auto"/>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Allows for the classification of acquired/licensed program rights as long-term assets. Previously, the Company reported a portion of these rights in current assets. Advances for live programming rights made prior to the live event and acquired/licensed program rights with license terms of less than one year continue to be reported in current assets.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Aligns the capitalization of production costs for episodic television programs with the capitalization of production costs for theatrical content. Previously, theatrical content production costs could be fully capitalized while episodic television production costs were generally limited to the amount of contracted revenues.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Introduces the concept of “predominant monetization strategy” to classify capitalized program rights for purposes of amortization and impairment as follows:</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31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Individual program rights - programming value is predominantly derived from third-party revenues that are directly attributable to the specific film or television title (e.g., theatrical revenues, significant in-show advertising on the Company’s programming networks or specific content licensing revenues).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10" w:val="left"/>
        </w:tabs>
        <w:numPr>
          <w:ilvl w:val="1"/>
          <w:numId w:val="37"/>
        </w:numPr>
        <w:rPr>
          <w:rFonts w:ascii="Arial" w:cs="Arial" w:eastAsia="Arial" w:hAnsi="Arial"/>
          <w:sz w:val="18"/>
          <w:szCs w:val="18"/>
          <w:color w:val="auto"/>
        </w:rPr>
      </w:pPr>
      <w:r>
        <w:rPr>
          <w:rFonts w:ascii="Arial" w:cs="Arial" w:eastAsia="Arial" w:hAnsi="Arial"/>
          <w:sz w:val="18"/>
          <w:szCs w:val="18"/>
          <w:color w:val="auto"/>
        </w:rPr>
        <w:t>Group program rights - programming value is predominantly derived from third-party revenues that are not directly attributable to a specific film or television title (e.g., library of program rights for purpose of the Company’s programming networks or subscription revenue for AMC Networks Streaming Services).</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determination of the predominant monetization strategy is made at commencement of production and is based on the means by which the Company derives third-party revenues from use of the programming. The classification of program rights as individual or group only changes if there is a significant change to the title’s monetization strategy relative to its initial assessment.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2020</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203,388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12,808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216,196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247,971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464,167</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201,992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201,992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210,253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608,191</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818,444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640,257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1,282,611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1,269,131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1,282,611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including write-offs, of owned and licensed program rights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90"/>
              </w:rPr>
              <w:t>Year Ended December 31, 2020</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Predominantly</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2"/>
              </w:rPr>
              <w:t>Predominantly</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76" w:lineRule="exact"/>
              <w:rPr>
                <w:sz w:val="20"/>
                <w:szCs w:val="20"/>
                <w:color w:val="auto"/>
              </w:rPr>
            </w:pPr>
            <w:r>
              <w:rPr>
                <w:rFonts w:ascii="Arial" w:cs="Arial" w:eastAsia="Arial" w:hAnsi="Arial"/>
                <w:sz w:val="18"/>
                <w:szCs w:val="18"/>
                <w:color w:val="auto"/>
                <w:w w:val="93"/>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vMerge w:val="restart"/>
          </w:tcPr>
          <w:p>
            <w:pPr>
              <w:jc w:val="right"/>
              <w:ind w:right="5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6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Individually</w:t>
            </w:r>
          </w:p>
        </w:tc>
        <w:tc>
          <w:tcPr>
            <w:tcW w:w="1780" w:type="dxa"/>
            <w:vAlign w:val="bottom"/>
            <w:gridSpan w:val="3"/>
          </w:tcPr>
          <w:p>
            <w:pPr>
              <w:ind w:left="20"/>
              <w:spacing w:after="0"/>
              <w:rPr>
                <w:sz w:val="20"/>
                <w:szCs w:val="20"/>
                <w:color w:val="auto"/>
              </w:rPr>
            </w:pPr>
            <w:r>
              <w:rPr>
                <w:rFonts w:ascii="Arial" w:cs="Arial" w:eastAsia="Arial" w:hAnsi="Arial"/>
                <w:sz w:val="18"/>
                <w:szCs w:val="18"/>
                <w:color w:val="auto"/>
                <w:w w:val="98"/>
              </w:rPr>
              <w:t>Monetized as a Group</w:t>
            </w:r>
          </w:p>
        </w:tc>
        <w:tc>
          <w:tcPr>
            <w:tcW w:w="4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Owned original program rights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349,078</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61,108</w:t>
            </w:r>
          </w:p>
        </w:tc>
        <w:tc>
          <w:tcPr>
            <w:tcW w:w="1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410,186</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Licensed program rights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94,534</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419,166</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513,700</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Program rights amortization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443,612</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480,274</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923,886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estimates amortization within the next three years will be approximately 88% and 93% of unamortized owned original programming costs and unamortized licensed program costs, respectively, as of December 31, 2020. The Company expects to amortize approximately $115.1 million of unamortized owned original programming costs during the next twelve months. Program rights write-offs of $108.3 million, $40.9 million and $50.5 million were recorded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payable subsequent to December 31, 2020 related to program rights obligations included in the consolidated balance sheet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259,449</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103,986</w:t>
            </w: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49,529</w:t>
            </w: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26,233</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r>
      <w:tr>
        <w:trPr>
          <w:trHeight w:val="229"/>
        </w:trPr>
        <w:tc>
          <w:tcPr>
            <w:tcW w:w="20" w:type="dxa"/>
            <w:vAlign w:val="bottom"/>
            <w:tcBorders>
              <w:bottom w:val="single" w:sz="8" w:color="CCEEFF"/>
            </w:tcBorders>
          </w:tcPr>
          <w:p>
            <w:pPr>
              <w:spacing w:after="0"/>
              <w:rPr>
                <w:sz w:val="19"/>
                <w:szCs w:val="19"/>
                <w:color w:val="auto"/>
              </w:rPr>
            </w:pPr>
          </w:p>
        </w:tc>
        <w:tc>
          <w:tcPr>
            <w:tcW w:w="9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method investments were $69.5 million and $69.1 million at December 31, 2020 and 2019, respectively, and are included in Other assets in the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consolidated statements of income. In April 2020, one of our investments with a cost of $25.0 million, previously classified as a non-marketable equity security, became a publicly traded company. Accordingly, the investment then became classified within marketable equity securities. During 2019, the Company purchased an additional interest in one of its marketable equity securities of $3.5 million. Investments in marketable equity securities were $62.4 million at December 31, 2020 and $4.4 million at December 31, 2019, and are included in Other assets in the consolidated balance sheets. In December 2020, the Company sold a portion of one of its marketable securities, resulting in a realized gain of $37.4 million, included in miscellaneous, net in the consolidated statement of income. For the year ended December 31, 2020, unrealized gains on marketable equity securities were $45.4 million, included in miscellaneous, net in the consolidated statement of income.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miscellaneous, net in the consolidated statements of income.</w:t>
      </w:r>
    </w:p>
    <w:p>
      <w:pPr>
        <w:spacing w:after="0" w:line="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Investments in non-marketable equity securities were $35.8 million at December 31, 2020 and $61.8 million at December 31, 2019 and are included in Other assets in the consolidated balance sheets. The Company recognized impairment charges of $20.0 million and $20.2 million for the years ended December 31, 2020 and 2019, respectively, related to the partial write-down of certain non-marketable equity securities, included in miscellaneous, net in the consolidated statements of income. Additionally, in September 2020, an observable price change occurred with respect to one of the Company's non-marketable equity securities, resulting in an unrealized gain of $14.9 million, included in miscellaneous, net in the condensed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(including equipment under capital leases)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vMerge w:val="restart"/>
          </w:tcPr>
          <w:p>
            <w:pPr>
              <w:jc w:val="right"/>
              <w:ind w:right="713"/>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Useful Lives</w:t>
            </w:r>
          </w:p>
        </w:tc>
        <w:tc>
          <w:tcPr>
            <w:tcW w:w="0" w:type="dxa"/>
            <w:vAlign w:val="bottom"/>
          </w:tcPr>
          <w:p>
            <w:pPr>
              <w:spacing w:after="0"/>
              <w:rPr>
                <w:sz w:val="1"/>
                <w:szCs w:val="1"/>
                <w:color w:val="auto"/>
              </w:rPr>
            </w:pPr>
          </w:p>
        </w:tc>
      </w:tr>
      <w:tr>
        <w:trPr>
          <w:trHeight w:val="22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 service and test equipment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296,680</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Satellite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41,228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46,871</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Term of lease</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29,811</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8 years</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Transmission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76,604</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172,411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181,088</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Term of lease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517,127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631,054</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(347,302)</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256,045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283,752</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Depreciation and amortization expense on property and equipment (including capital leases) amounted to $62.4 million, $54.9 million and $48.3 million, for the years ended December 31, 2020, 2019 and 2018, respectively.</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the year ended December 31, 2020, impairment charges were recorded related to certain property and equipment at the AMCNI business. See Note 9 for additional details regarding the impairment test of long-lived assets.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At December 31, 2020 and 2019, the gross amount of equipment and related accumulated amortization recorded under finance leases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Satellite equipment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812"/>
              <w:spacing w:after="0"/>
              <w:rPr>
                <w:sz w:val="20"/>
                <w:szCs w:val="20"/>
                <w:color w:val="auto"/>
              </w:rPr>
            </w:pPr>
            <w:r>
              <w:rPr>
                <w:rFonts w:ascii="Arial" w:cs="Arial" w:eastAsia="Arial" w:hAnsi="Arial"/>
                <w:sz w:val="18"/>
                <w:szCs w:val="18"/>
                <w:color w:val="auto"/>
                <w:w w:val="90"/>
              </w:rPr>
              <w:t>41,228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90"/>
              </w:rPr>
              <w:t>46,871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left="712"/>
              <w:spacing w:after="0"/>
              <w:rPr>
                <w:sz w:val="20"/>
                <w:szCs w:val="20"/>
                <w:color w:val="auto"/>
              </w:rPr>
            </w:pPr>
            <w:r>
              <w:rPr>
                <w:rFonts w:ascii="Arial" w:cs="Arial" w:eastAsia="Arial" w:hAnsi="Arial"/>
                <w:sz w:val="18"/>
                <w:szCs w:val="18"/>
                <w:color w:val="auto"/>
                <w:w w:val="92"/>
              </w:rPr>
              <w:t>(28,049)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left="391"/>
              <w:spacing w:after="0"/>
              <w:rPr>
                <w:sz w:val="20"/>
                <w:szCs w:val="20"/>
                <w:color w:val="auto"/>
              </w:rPr>
            </w:pPr>
            <w:r>
              <w:rPr>
                <w:rFonts w:ascii="Arial" w:cs="Arial" w:eastAsia="Arial" w:hAnsi="Arial"/>
                <w:sz w:val="18"/>
                <w:szCs w:val="18"/>
                <w:color w:val="auto"/>
                <w:w w:val="89"/>
              </w:rPr>
              <w:t>(31,158)</w:t>
            </w:r>
          </w:p>
        </w:tc>
        <w:tc>
          <w:tcPr>
            <w:tcW w:w="0" w:type="dxa"/>
            <w:vAlign w:val="bottom"/>
          </w:tcPr>
          <w:p>
            <w:pPr>
              <w:spacing w:after="0"/>
              <w:rPr>
                <w:sz w:val="1"/>
                <w:szCs w:val="1"/>
                <w:color w:val="auto"/>
              </w:rPr>
            </w:pPr>
          </w:p>
        </w:tc>
      </w:tr>
      <w:tr>
        <w:trPr>
          <w:trHeight w:val="248"/>
        </w:trPr>
        <w:tc>
          <w:tcPr>
            <w:tcW w:w="10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center"/>
              <w:ind w:left="812"/>
              <w:spacing w:after="0"/>
              <w:rPr>
                <w:sz w:val="20"/>
                <w:szCs w:val="20"/>
                <w:color w:val="auto"/>
              </w:rPr>
            </w:pPr>
            <w:r>
              <w:rPr>
                <w:rFonts w:ascii="Arial" w:cs="Arial" w:eastAsia="Arial" w:hAnsi="Arial"/>
                <w:sz w:val="18"/>
                <w:szCs w:val="18"/>
                <w:color w:val="auto"/>
                <w:w w:val="90"/>
              </w:rPr>
              <w:t>13,179</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491"/>
              <w:spacing w:after="0"/>
              <w:rPr>
                <w:sz w:val="20"/>
                <w:szCs w:val="20"/>
                <w:color w:val="auto"/>
              </w:rPr>
            </w:pPr>
            <w:r>
              <w:rPr>
                <w:rFonts w:ascii="Arial" w:cs="Arial" w:eastAsia="Arial" w:hAnsi="Arial"/>
                <w:sz w:val="18"/>
                <w:szCs w:val="18"/>
                <w:color w:val="auto"/>
                <w:w w:val="90"/>
              </w:rPr>
              <w:t>15,713</w:t>
            </w:r>
          </w:p>
        </w:tc>
        <w:tc>
          <w:tcPr>
            <w:tcW w:w="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9. Goodwill and Other Intangible Assets</w:t>
            </w: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59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5840" w:type="dxa"/>
            <w:vAlign w:val="bottom"/>
          </w:tcPr>
          <w:p>
            <w:pPr>
              <w:ind w:left="360"/>
              <w:spacing w:after="0"/>
              <w:rPr>
                <w:sz w:val="20"/>
                <w:szCs w:val="20"/>
                <w:color w:val="auto"/>
              </w:rPr>
            </w:pPr>
            <w:r>
              <w:rPr>
                <w:rFonts w:ascii="Arial" w:cs="Arial" w:eastAsia="Arial" w:hAnsi="Arial"/>
                <w:sz w:val="18"/>
                <w:szCs w:val="18"/>
                <w:color w:val="auto"/>
              </w:rPr>
              <w:t>The carrying amount of goodwill, by operating segment is as follows:</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National Networks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238,431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559,606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798,037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Impairment charge</w:t>
            </w: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(97,996)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(97,996)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adjustments</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Amortization of "second component" goodwill</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237,103</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464,877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701,980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Amortization of "second component" goodwill</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235,760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450,647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and 2019, the accumulated impairment charges totaled $123.1 million and $98.0 million, respectively.</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reduction of $1.3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Company's tax returns.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Goodwill is not amortized, but instead is tested for impairment at the reporting unit level annually as of December 1, or more frequently upon the occurrence of certain events or substantive changes in circumstances. The annual goodwill impairment test allows for the option to first assess qualitative factors to determine whether it is more likely than not that the fair value of a reporting unit is less than its carrying amount. If it is determined, on the basis of qualitative factors, that the fair value of a reporting unit is, more likely than not, less than its carrying value, the quantitative impairment test is required. In accordance with Accounting Standards Update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Company recognizes goodwill impairment as the difference between the carrying amount of a reporting unit and its fair value, but not to exceed the carrying amount of goodwill.</w:t>
      </w:r>
    </w:p>
    <w:p>
      <w:pPr>
        <w:spacing w:after="0" w:line="8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addition to the annual impairment test, the Company is required to regularly assess whether a triggering event has occurred which would require an interim impairment test. As a result of the continuing impact of the COVID-19 pandemic, the Company qualitatively assessed whether it was more likely than not that goodwill and long-lived assets were impaired as of June 30, 2020. The Company considered the current and expected future economic and market conditions surrounding the COVID-19 pandemic and its impact on each of its reporting units. Further, the Company assessed the current forecasts (including significant assumptions about revenue growth rates, long-term growth rates and enterprise specific discount rates) and the amount of excess fair value over carrying value for each of its reporting units in the 2019 impairment test. In connection with the preparation of the second quarter financial information, the Company determined that a triggering event had occurred with respect to its AMCNI reporting unit, which required an interim impairment test to be performed as of June 30, 2020. As such, the Company performed a quantitative assessment for its AMCNI reporting unit. The fair value was determined using a combination of an income approach, using a discounted cash flow (DCF) model, and a market comparables approach. The DCF model includes significant assumptions about revenue growth rates, long-term growth rates and enterprise specific discount rates. Additionally, the market comparables approach is determined using guideline company financial multiples. Given the uncertainty in determining assumptions underlying the DCF approach, actual results may differ from those used in the valuations.</w:t>
      </w:r>
    </w:p>
    <w:p>
      <w:pPr>
        <w:spacing w:after="0" w:line="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Based on the valuations performed, in response to current and expected trends across the International television broadcasting markets, the fair value of the Company's AMCNI reporting unit declined below its carrying amount. As a result, in June 2020, the Company recognized an impairment charge of $25.1 million related to the AMCNI reporting unit, included in impairment charges in the consolidated income statement.</w:t>
      </w:r>
    </w:p>
    <w:p>
      <w:pPr>
        <w:spacing w:after="0" w:line="5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As of December 1, 2020, the Company performed a quantitative assessment for all of its reporting units. The fair values were determined using a combination of an income approach, using a discounted cash flow model (DCF), and a market comparables approach. The DCF model includes significant assumptions about revenue growth rates, long-term growth rates and enterprise specific discount rates. Additionally, the market comparables approach is determined using guideline company financial multiples. Given the uncertainty in determining assumptions underlying the DCF approach, actual results may differ from those used in the valuations. No additional impairment charges were required for any of the Company's reporting units.</w:t>
      </w:r>
    </w:p>
    <w:p>
      <w:pPr>
        <w:spacing w:after="0" w:line="5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determination of fair value of the Company's reporting units represents a Level 3 fair value measurement in the fair value hierarchy due to its use of internal projections and unobservable measurement inputs. Changes in significant judgments and estimates could significantly impact the concluded fair value of the reporting unit or the valuation of intangible assets. Changes to assumptions that would decrease the fair value of the reporting unit would result in corresponding increases to the impairment of goodwill at the reporting unit.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relating to the Company's identifiable intangible assets:</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2020</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6"/>
                <w:szCs w:val="16"/>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540" w:type="dxa"/>
            <w:vAlign w:val="bottom"/>
          </w:tcPr>
          <w:p>
            <w:pPr>
              <w:jc w:val="right"/>
              <w:ind w:right="334"/>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4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254"/>
              <w:spacing w:after="0"/>
              <w:rPr>
                <w:sz w:val="20"/>
                <w:szCs w:val="20"/>
                <w:color w:val="auto"/>
              </w:rPr>
            </w:pPr>
            <w:r>
              <w:rPr>
                <w:rFonts w:ascii="Arial" w:cs="Arial" w:eastAsia="Arial" w:hAnsi="Arial"/>
                <w:sz w:val="16"/>
                <w:szCs w:val="16"/>
                <w:b w:val="1"/>
                <w:bCs w:val="1"/>
                <w:color w:val="auto"/>
              </w:rPr>
              <w:t>Useful Lives</w:t>
            </w:r>
          </w:p>
        </w:tc>
        <w:tc>
          <w:tcPr>
            <w:tcW w:w="0" w:type="dxa"/>
            <w:vAlign w:val="bottom"/>
          </w:tcPr>
          <w:p>
            <w:pPr>
              <w:spacing w:after="0"/>
              <w:rPr>
                <w:sz w:val="1"/>
                <w:szCs w:val="1"/>
                <w:color w:val="auto"/>
              </w:rPr>
            </w:pPr>
          </w:p>
        </w:tc>
      </w:tr>
      <w:tr>
        <w:trPr>
          <w:trHeight w:val="212"/>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34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624,699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(330,350)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294,349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 to 25 years</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4"/>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76,169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to 20 years</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787,507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390,772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807,407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(396,735)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410,672</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4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2019</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6"/>
                <w:szCs w:val="16"/>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4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34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616,197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(232,193)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384,004</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4"/>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96,165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778,352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798,252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(273,721)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524,531</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Aggregate amortization expense for amortizable intangible assets for the years ended December 31, 2020, 2019 and 2018 was $42.2 million, $46.2 million and $43.0 million, respectively. Estimated aggregate amortization expense for intangible assets subject to amortization for each of the following five years 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38,074</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38,027</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37,951</w:t>
            </w: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37,882</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Long-Lived Assets</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June 2020, given the continuing and expected future economic and market conditions surrounding the COVID-19 pandemic and its impact, the Company revised its outlook for the AMCNI business, resulting in lower expected future cash flows. As a result, the Company determined that sufficient indicators of potential impairment of long-lived assets existed and the Company performed a recoverability test of the long-lived asset groups within the AMCNI business. Based on the recoverability tests performed, the Company determined that certain long-lived assets were not recoverable and recognized an impairment charge of $97.1 million related primarily to certain identifiable intangible assets, as well as property and equipment, and operating lease right-of-use assets, which is included in impairment charges in the consolidated statement of income. Fair values used to determine the impairment charges were determined using an income approach, using a discounted cash flow model (DCF). The DCF model includes significant assumptions about revenue growth rates, long-term growth rates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enterprise specific discount rates. Given the uncertainty in determining assumptions underlying the DCF approach, actual results may differ from those used in the valuations.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Identifiable Indefinite-Lived Intangible Assets</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Based on the Company's 2020 annual impairment test for identifiable indefinite-lived intangible assets, no impairment charge was required. The Company's indefinite-lived intangible assets relate to SundanceTV trademarks, which were valued using a relief-from-royalty method in which the expected benefits are valued by discounting estimated royalty revenue over projected revenues covered by the trademarks. In order to evaluate the sensitivity of the fair value calculations for the Company's identifiable indefinite-lived intangible assets, the Company applied a hypothetical 20% decrease to the estimated fair value of the identifiable indefinite-lived intangible assets. This hypothetical decrease in estimated fair value would not result in an impairment.</w:t>
      </w:r>
    </w:p>
    <w:p>
      <w:pPr>
        <w:spacing w:after="0" w:line="84"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Significant judgments inherent in estimating the fair value of indefinite-lived intangible assets include the selection of appropriate discount and royalty rates, estimating the amount and timing of estimated future cash flows and identification of appropriate continuing growth rate assumptions. The discount rates used in the analysis are intended to reflect the risk inherent in the projected future cash flows generated by the respective intangible assets.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8"/>
                <w:szCs w:val="18"/>
                <w:color w:val="auto"/>
              </w:rPr>
            </w:pPr>
          </w:p>
        </w:tc>
        <w:tc>
          <w:tcPr>
            <w:tcW w:w="17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w w:val="94"/>
              </w:rPr>
              <w:t>December 31, 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89,753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Participations and residuals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106,785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70,682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Long-term Debt</w:t>
            </w: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7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The Company's long-term debt consists of:</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w w:val="94"/>
              </w:rPr>
              <w:t>December 31,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21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Term Loan A Facility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675,000</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731,250</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4.75% Notes due December 2022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5.00% Notes due April 2024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4.75% Notes due August 2025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800,000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2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2,875,000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3,131,250</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Unamortized discount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(18,337)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(24,351)</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costs</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2,849,307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3,096,229</w:t>
            </w:r>
          </w:p>
        </w:tc>
        <w:tc>
          <w:tcPr>
            <w:tcW w:w="0" w:type="dxa"/>
            <w:vAlign w:val="bottom"/>
          </w:tcPr>
          <w:p>
            <w:pPr>
              <w:spacing w:after="0"/>
              <w:rPr>
                <w:sz w:val="1"/>
                <w:szCs w:val="1"/>
                <w:color w:val="auto"/>
              </w:rPr>
            </w:pPr>
          </w:p>
        </w:tc>
      </w:tr>
      <w:tr>
        <w:trPr>
          <w:trHeight w:val="22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Noncurrent portion of long-term debt</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2,774,307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3,039,979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February 8, 2021, AMC Networks entered into Amendment No. 1 (“Amendment No. 1”) to the Second Amended and Restated Credit Agreement, dated as of July 28, 2017 (as amended by Amendment No. 1, the "Credit Agreement"), among AMC Networks and its subsidiary, AMC Network Entertainment LLC, as the Initial Borrowers, certain of AMC Networks' subsidiaries, as restricted subsidiaries, JPMorgan Chase Bank, N.A., as Administrative Agent, Collateral Agent and L/C Issuer, Bank of America, as an L/C Issuer, and the lenders party thereto. Amendment No. 1 extends the maturity dates of the $675 million Term Loan A Facility and $500 million Revolving Facility (each as defined below) under the Credit Agreement to February 8, 2026, and makes certain other amendments to the covenants and other provisions of the Credit Agreement.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Issuance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8, 2021, AMC Networks issued, and certain of AMC Networks’ subsidiaries (hereinafter, the “Guarantors”) guaranteed, $1.0 billion aggregate principal amount of 4.25% senior notes due February 15, 2029 (the “4.25% Notes due 2029”) in a registered public offering and received net proceeds of $982.3 million, after deducting underwriting discounts and commissions and expenses. The Company used such proceeds to redeem (i) the remaining $400 million principal amount of the Company’s 4.75% senior notes due 2022 and (ii) $600 million principal amount of the Company’s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described above, the Credit Agreement provides the Initial Borrowers with senior secured credit facilities consisting of (a) a $675 million Term Loan A (the "Term Loan A Facility") and (b) a $500 million revolving credit facility (the "Revolving Facility" and, together with the Term Loan A Facility, the "Credit Facility"). Under Amendment No. 1, the maturity dates of the Term Loan A Facility and the Revolving Facility were extended to February 8, 2026.</w:t>
      </w:r>
    </w:p>
    <w:p>
      <w:pPr>
        <w:spacing w:after="0" w:line="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Borrowings under the Credit Agreement bear interest at a floating rate, which at the option of the Initial Borrowers may be either (a) a base rate plus an additional rate ranging from 0.25% to 1.25% per annum (determined based on a cash flow ratio) (the "Base Rate"), or (b) a Eurodollar rate plus an additional rate ranging from 1.25% to 2.25% per annum (determined based on a cash flow ratio) (the "Eurodollar Rate").</w:t>
      </w:r>
    </w:p>
    <w:p>
      <w:pPr>
        <w:spacing w:after="0" w:line="5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Credit Agreement requires the Initial Borrowers to pay a commitment fee of between 0.25% and 0.50% (determined based on a cash flow ratio) in respect of the average daily unused commitments under the Revolving Facility. The Initial Borrowers also are required to pay customary letter of credit fees, as well as fronting fees, to banks that issue letters of credit pursuant to the Credit Agreement.</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All obligations under the Credit Agreement are guaranteed by certain of the Initial Borrowers' existing and future domestic restricted subsidiaries in accordance with the Credit Agreement. All obligations under the Credit Agreement, including the guarantees of those obligations, are secured by certain assets of the Initial Borrowers and certain of their subsidiaries (collectively, the "Loan Parties").</w:t>
      </w:r>
    </w:p>
    <w:p>
      <w:pPr>
        <w:spacing w:after="0" w:line="7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Credit Agreement contains certain affirmative and negative covenants applicable to the Loan Parties. These include restrictions on the Loan Parties' ability to incur indebtedness, make investments, place liens on assets, dispose of assets, enter into certain affiliate transactions and make certain restricted payments, including restrictions on AMC Networks' ability to pay dividends on and to repurchase its common stock. The Credit Agreement also requires the Initial Borrowers to comply with the following financial covenants: (i) a maximum ratio of net debt to annual operating cash flow (each defined in the Credit Agreement) of 5.25:1 from January 1, 2021 through December 31, 2021 and decreasing to 5.00:1 on and after January 1, 2022, subject to increase (not to exceed 6.00:1) if AMC Networks consummates any leveraging acquisition; and (ii) a minimum ratio of annual operating cash flow to annual total interest expense (as defined in the Credit Agreement) of 2.50:1.</w:t>
      </w:r>
    </w:p>
    <w:p>
      <w:pPr>
        <w:spacing w:after="0" w:line="6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Revolving Facility was not drawn upon at December 31, 2020. The total undrawn revolver commitment is available to be drawn for our general corporate purposes.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AMC Networks was in compliance with all of its financial covenants under the Credit Facility as of December 31,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terms</w:t>
      </w:r>
    </w:p>
    <w:p>
      <w:pPr>
        <w:spacing w:after="0" w:line="10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senior notes are guaranteed on a senior unsecured basis by the guarantors, in accordance with the related indenture. The guarantees are full and unconditional and joint and several. The indentures governing each of the senior notes contain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4.75% Notes due 2022</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17, 2012, AMC Networks issued $600 million in aggregate principal amount of its 4.75% senior notes, net of an issuance discount of $10.5 million, due December 15, 2022 (the "4.75% Notes due 2022"). AMC Networks used the net proceeds of this offering to repay the outstanding amount under its term loan B facility of approximately $587.6 million, with the remaining proceeds used for general corporate purposes. The 4.75% Notes due 2022 were issued pursuant to an indenture, and first supplemental indenture, each dated as of December 17, 2012.</w:t>
      </w:r>
    </w:p>
    <w:p>
      <w:pPr>
        <w:spacing w:after="0" w:line="6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4.75% Notes due 2022 may be redeemed, in whole or in part, at a redemption price equal to 100.00% of the principal amount thereof (plus accrued and unpaid interest thereon, if any, to the date of such redemption).</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2020 the Company redeemed $200 million principal amount of the outstanding $600 million principal amount of its 4.75% Notes due 2022. In connection with the redemption, the Company incurred a loss on extinguishment of debt for the year ended December 31, 2020 of $2.9 million representing the redemption premium and the write-off of a portion of the unamortized discount and deferred financing costs. As discussed above, subsequent to December 31, 2020, on February 26, 2021, the Company redeemed the remaining $400 million principal amount of its 4.75% Notes due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Notes due 2024</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30, 2016, the Company issued $1.0 billion in aggregate principal amount of 5.00% senior notes due 2024 (the "5.00% Notes due 2024"), net of an issuance discount of $17.5 million. AMC Networks used $703 million of the net proceeds of this offering to make a cash tender ("Tender Offer") for its outstanding 7.75% Notes due 2021 (the "7.75% Notes"). In addition, $45.6 million of the proceeds from the issuance of the 5.00% Notes due 2024 was used for the redemption of the 7.75% Notes not tendered. The remaining proceeds are for general corporate purposes. The 5.00% Notes due 2024 were issued pursuant to an indenture dated as of March 30, 2016.</w:t>
      </w:r>
    </w:p>
    <w:p>
      <w:pPr>
        <w:spacing w:after="0" w:line="8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5.00% Notes due 2024 may be redeemed, in whole or in part, at any time on or after April 1, 2020, at a redemption price equal to 102.5% of the principal amount thereof (plus accrued and unpaid interest thereon, if any, to the date of such redemption), declining annually to 100% of the principal amount thereof (plus accrued and unpaid interest thereon, if any, to the date of such redemption) beginning on April 1, 2022. As discussed above, subsequent to December 31, 2020, on February 26, 2021, the Company redeemed $600 million principal amount of its 5.00% Notes due 2024.</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4.75% Notes due 2025</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July 28, 2017, AMC Networks issued, and certain of AMC Networks' subsidiaries (hereinafter, the "Guarantors") guaranteed $800 million aggregate principal amount of senior notes due August 1, 2025 (the "4.75% Notes due 2025") in a registered public offering. The 4.75% Notes due 2025 were issued net of a $14.0 million underwriting discount. AMC Networks used approximately $400 million of the net proceeds to repay loans under AMC Networks' Term Loan A Facility and to pay fees and expenses related to the issuance. The remaining proceeds are for general corporate purposes. The 4.75% Notes due 2025 were issued pursuant to an indenture, dated as of March 30, 2016, as amended by the Second Supplemental Indenture, dated as of July 28, 2017.</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4.75% Notes due 2025 may be redeemed, at AMC Networks' option, in whole or in part, at any time on or after August 1, 2021, at a redemption price equal to 102.375% of the principal amount thereof (plus accrued and unpaid interest thereon, if any, to the date of such redemption), declining annually to 100% of the principal amount thereof (plus accrued and unpaid interest thereon, if any, to the date of such redemption) beginning on August 1, 2023.</w:t>
      </w:r>
    </w:p>
    <w:p>
      <w:pPr>
        <w:spacing w:after="0" w:line="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to the optional redemption of the 4.75% Notes due 2025 described above, at any time prior to August 1, 2020, AMC Networks may redeem up to 35% of the aggregate principal amount of the 4.75% Notes due 2025 at a redemption price equal to 104.750% of the principal amount thereof, plus accrued and unpaid interest and additional interest, if any, using the net proceeds of certain equity offerings.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Finally, at any time prior to August 1, 2021, AMC Networks may redeem the 4.75% Notes due 2025, at its option in whole or in part, at any time and from time to time, at a redemption price equal to 100% of the principal amount thereof to be redeemed plus the "Applicable Premium" calculated as described in the Second Supplemental Indenture at the rate of T+50 basis points, and accrued and unpaid interest thereon, if any, to, but excluding, the redemption date.</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Other Debt</w:t>
      </w:r>
    </w:p>
    <w:p>
      <w:pPr>
        <w:spacing w:after="0" w:line="12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a result of the acquisition of Levity, the Company has credit facilities totaling $3 million. The facilities bear interest at the greater of 3.5% or the prime rate plus 1% and mature on March 23, 2021. There were no outstanding borrowings on either credit facility as of December 31, 2020.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amounts payable by the Company under its various debt obligations outstanding as of December 31, 2020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3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00" w:type="dxa"/>
            <w:vAlign w:val="bottom"/>
            <w:shd w:val="clear" w:color="auto" w:fill="CCEEFF"/>
          </w:tcPr>
          <w:p>
            <w:pPr>
              <w:spacing w:after="0"/>
              <w:rPr>
                <w:sz w:val="19"/>
                <w:szCs w:val="19"/>
                <w:color w:val="auto"/>
              </w:rPr>
            </w:pPr>
          </w:p>
        </w:tc>
        <w:tc>
          <w:tcPr>
            <w:tcW w:w="4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38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475,000</w:t>
            </w: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38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0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I—Quoted prices for identical instruments in active markets.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II—Quoted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III—Instruments whose significant value drivers are unobservable.</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December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5080" w:type="dxa"/>
            <w:vAlign w:val="bottom"/>
            <w:tcBorders>
              <w:top w:val="single" w:sz="8" w:color="auto"/>
              <w:bottom w:val="single" w:sz="8" w:color="auto"/>
            </w:tcBorders>
            <w:shd w:val="clear" w:color="auto" w:fill="CCEEFF"/>
          </w:tcPr>
          <w:p>
            <w:pPr>
              <w:ind w:left="1760"/>
              <w:spacing w:after="0"/>
              <w:rPr>
                <w:sz w:val="20"/>
                <w:szCs w:val="20"/>
                <w:color w:val="auto"/>
              </w:rPr>
            </w:pPr>
            <w:r>
              <w:rPr>
                <w:rFonts w:ascii="Arial" w:cs="Arial" w:eastAsia="Arial" w:hAnsi="Arial"/>
                <w:sz w:val="16"/>
                <w:szCs w:val="16"/>
                <w:b w:val="1"/>
                <w:bCs w:val="1"/>
                <w:color w:val="auto"/>
              </w:rPr>
              <w:t>At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6"/>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107,494</w:t>
            </w: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62,442</w:t>
            </w:r>
          </w:p>
        </w:tc>
      </w:tr>
      <w:tr>
        <w:trPr>
          <w:trHeight w:val="229"/>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 contracts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3,515</w:t>
            </w:r>
          </w:p>
        </w:tc>
      </w:tr>
      <w:tr>
        <w:trPr>
          <w:trHeight w:val="257"/>
        </w:trPr>
        <w:tc>
          <w:tcPr>
            <w:tcW w:w="5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5080" w:type="dxa"/>
            <w:vAlign w:val="bottom"/>
            <w:tcBorders>
              <w:bottom w:val="single" w:sz="8" w:color="auto"/>
            </w:tcBorders>
          </w:tcPr>
          <w:p>
            <w:pPr>
              <w:ind w:left="1760"/>
              <w:spacing w:after="0"/>
              <w:rPr>
                <w:sz w:val="20"/>
                <w:szCs w:val="20"/>
                <w:color w:val="auto"/>
              </w:rPr>
            </w:pPr>
            <w:r>
              <w:rPr>
                <w:rFonts w:ascii="Arial" w:cs="Arial" w:eastAsia="Arial" w:hAnsi="Arial"/>
                <w:sz w:val="16"/>
                <w:szCs w:val="16"/>
                <w:b w:val="1"/>
                <w:bCs w:val="1"/>
                <w:color w:val="auto"/>
              </w:rPr>
              <w:t>At December 31, 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191,214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191,214</w:t>
            </w:r>
          </w:p>
        </w:tc>
      </w:tr>
      <w:tr>
        <w:trPr>
          <w:trHeight w:val="229"/>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1,884</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1,966</w:t>
            </w:r>
          </w:p>
        </w:tc>
      </w:tr>
      <w:tr>
        <w:trPr>
          <w:trHeight w:val="23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r>
    </w:tbl>
    <w:p>
      <w:pPr>
        <w:spacing w:after="0" w:line="200" w:lineRule="exact"/>
        <w:rPr>
          <w:sz w:val="20"/>
          <w:szCs w:val="20"/>
          <w:color w:val="auto"/>
        </w:rPr>
      </w:pPr>
    </w:p>
    <w:p>
      <w:pPr>
        <w:spacing w:after="0" w:line="24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Company's interest rate swap contracts and foreign currency derivatives are classified within Level II of the fair value hierarchy and their fair values are determined based on a market approach valuation technique that uses readily observable market parameters and the consideration of counterparty risk.</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At December 31, 2020, the Company does not have any other assets or liabilities measured at fair value on a recurring basis that would be considered Level III.</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and impairment testing. These nonrecurring valuations primarily include the valuation of intangible assets and property and equipment. All of our nonrecurring valuations use significant unobservable inputs and therefore fall under Level III of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Debt and Senior Notes</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consolidated balance sheets are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 2020</w:t>
            </w:r>
          </w:p>
        </w:tc>
        <w:tc>
          <w:tcPr>
            <w:tcW w:w="1360" w:type="dxa"/>
            <w:vAlign w:val="bottom"/>
            <w:tcBorders>
              <w:bottom w:val="single" w:sz="8" w:color="auto"/>
            </w:tcBorders>
          </w:tcPr>
          <w:p>
            <w:pPr>
              <w:spacing w:after="0"/>
              <w:rPr>
                <w:sz w:val="18"/>
                <w:szCs w:val="18"/>
                <w:color w:val="auto"/>
              </w:rPr>
            </w:pPr>
          </w:p>
        </w:tc>
      </w:tr>
      <w:tr>
        <w:trPr>
          <w:trHeight w:val="185"/>
        </w:trPr>
        <w:tc>
          <w:tcPr>
            <w:tcW w:w="8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7"/>
              </w:rPr>
              <w:t>Carrying</w:t>
            </w:r>
          </w:p>
        </w:tc>
        <w:tc>
          <w:tcPr>
            <w:tcW w:w="620" w:type="dxa"/>
            <w:vAlign w:val="bottom"/>
          </w:tcPr>
          <w:p>
            <w:pPr>
              <w:spacing w:after="0"/>
              <w:rPr>
                <w:sz w:val="16"/>
                <w:szCs w:val="16"/>
                <w:color w:val="auto"/>
              </w:rPr>
            </w:pPr>
          </w:p>
        </w:tc>
        <w:tc>
          <w:tcPr>
            <w:tcW w:w="1360" w:type="dxa"/>
            <w:vAlign w:val="bottom"/>
          </w:tcPr>
          <w:p>
            <w:pPr>
              <w:jc w:val="right"/>
              <w:ind w:right="553"/>
              <w:spacing w:after="0"/>
              <w:rPr>
                <w:sz w:val="20"/>
                <w:szCs w:val="20"/>
                <w:color w:val="auto"/>
              </w:rPr>
            </w:pPr>
            <w:r>
              <w:rPr>
                <w:rFonts w:ascii="Arial" w:cs="Arial" w:eastAsia="Arial" w:hAnsi="Arial"/>
                <w:sz w:val="16"/>
                <w:szCs w:val="16"/>
                <w:b w:val="1"/>
                <w:bCs w:val="1"/>
                <w:color w:val="auto"/>
                <w:w w:val="91"/>
              </w:rPr>
              <w:t>Estimated</w:t>
            </w: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Amount</w:t>
            </w:r>
          </w:p>
        </w:tc>
        <w:tc>
          <w:tcPr>
            <w:tcW w:w="620" w:type="dxa"/>
            <w:vAlign w:val="bottom"/>
          </w:tcPr>
          <w:p>
            <w:pPr>
              <w:spacing w:after="0"/>
              <w:rPr>
                <w:sz w:val="18"/>
                <w:szCs w:val="18"/>
                <w:color w:val="auto"/>
              </w:rPr>
            </w:pPr>
          </w:p>
        </w:tc>
        <w:tc>
          <w:tcPr>
            <w:tcW w:w="1360" w:type="dxa"/>
            <w:vAlign w:val="bottom"/>
          </w:tcPr>
          <w:p>
            <w:pPr>
              <w:jc w:val="right"/>
              <w:ind w:right="533"/>
              <w:spacing w:after="0"/>
              <w:rPr>
                <w:sz w:val="20"/>
                <w:szCs w:val="20"/>
                <w:color w:val="auto"/>
              </w:rPr>
            </w:pPr>
            <w:r>
              <w:rPr>
                <w:rFonts w:ascii="Arial" w:cs="Arial" w:eastAsia="Arial" w:hAnsi="Arial"/>
                <w:sz w:val="16"/>
                <w:szCs w:val="16"/>
                <w:b w:val="1"/>
                <w:bCs w:val="1"/>
                <w:color w:val="auto"/>
                <w:w w:val="94"/>
              </w:rPr>
              <w:t>Fair Value</w:t>
            </w:r>
          </w:p>
        </w:tc>
      </w:tr>
      <w:tr>
        <w:trPr>
          <w:trHeight w:val="212"/>
        </w:trPr>
        <w:tc>
          <w:tcPr>
            <w:tcW w:w="7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Debt instruments:</w:t>
            </w:r>
          </w:p>
        </w:tc>
        <w:tc>
          <w:tcPr>
            <w:tcW w:w="4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Term Loan A Facility</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669,878</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665,719</w:t>
            </w:r>
          </w:p>
        </w:tc>
      </w:tr>
      <w:tr>
        <w:trPr>
          <w:trHeight w:val="229"/>
        </w:trPr>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398,230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400,500</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w w:val="90"/>
              </w:rPr>
              <w:t>5.00%</w:t>
            </w:r>
          </w:p>
        </w:tc>
        <w:tc>
          <w:tcPr>
            <w:tcW w:w="6300" w:type="dxa"/>
            <w:vAlign w:val="bottom"/>
          </w:tcPr>
          <w:p>
            <w:pPr>
              <w:ind w:left="20"/>
              <w:spacing w:after="0"/>
              <w:rPr>
                <w:sz w:val="20"/>
                <w:szCs w:val="20"/>
                <w:color w:val="auto"/>
              </w:rPr>
            </w:pPr>
            <w:r>
              <w:rPr>
                <w:rFonts w:ascii="Arial" w:cs="Arial" w:eastAsia="Arial" w:hAnsi="Arial"/>
                <w:sz w:val="18"/>
                <w:szCs w:val="18"/>
                <w:color w:val="auto"/>
              </w:rPr>
              <w:t>Notes due April 2024</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991,074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1,015,000</w:t>
            </w:r>
          </w:p>
        </w:tc>
      </w:tr>
      <w:tr>
        <w:trPr>
          <w:trHeight w:val="230"/>
        </w:trPr>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790,125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826,160</w:t>
            </w:r>
          </w:p>
        </w:tc>
      </w:tr>
      <w:tr>
        <w:trPr>
          <w:trHeight w:val="223"/>
        </w:trPr>
        <w:tc>
          <w:tcPr>
            <w:tcW w:w="8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2,849,307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2,907,379</w:t>
            </w:r>
          </w:p>
        </w:tc>
      </w:tr>
      <w:tr>
        <w:trPr>
          <w:trHeight w:val="21"/>
        </w:trPr>
        <w:tc>
          <w:tcPr>
            <w:tcW w:w="8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 2019</w:t>
            </w:r>
          </w:p>
        </w:tc>
        <w:tc>
          <w:tcPr>
            <w:tcW w:w="1360" w:type="dxa"/>
            <w:vAlign w:val="bottom"/>
            <w:tcBorders>
              <w:bottom w:val="single" w:sz="8" w:color="auto"/>
            </w:tcBorders>
          </w:tcPr>
          <w:p>
            <w:pPr>
              <w:spacing w:after="0"/>
              <w:rPr>
                <w:sz w:val="18"/>
                <w:szCs w:val="18"/>
                <w:color w:val="auto"/>
              </w:rPr>
            </w:pPr>
          </w:p>
        </w:tc>
      </w:tr>
      <w:tr>
        <w:trPr>
          <w:trHeight w:val="185"/>
        </w:trPr>
        <w:tc>
          <w:tcPr>
            <w:tcW w:w="8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7"/>
              </w:rPr>
              <w:t>Carrying</w:t>
            </w:r>
          </w:p>
        </w:tc>
        <w:tc>
          <w:tcPr>
            <w:tcW w:w="600" w:type="dxa"/>
            <w:vAlign w:val="bottom"/>
          </w:tcPr>
          <w:p>
            <w:pPr>
              <w:spacing w:after="0"/>
              <w:rPr>
                <w:sz w:val="16"/>
                <w:szCs w:val="16"/>
                <w:color w:val="auto"/>
              </w:rPr>
            </w:pPr>
          </w:p>
        </w:tc>
        <w:tc>
          <w:tcPr>
            <w:tcW w:w="1360" w:type="dxa"/>
            <w:vAlign w:val="bottom"/>
          </w:tcPr>
          <w:p>
            <w:pPr>
              <w:jc w:val="right"/>
              <w:ind w:right="553"/>
              <w:spacing w:after="0"/>
              <w:rPr>
                <w:sz w:val="20"/>
                <w:szCs w:val="20"/>
                <w:color w:val="auto"/>
              </w:rPr>
            </w:pPr>
            <w:r>
              <w:rPr>
                <w:rFonts w:ascii="Arial" w:cs="Arial" w:eastAsia="Arial" w:hAnsi="Arial"/>
                <w:sz w:val="16"/>
                <w:szCs w:val="16"/>
                <w:b w:val="1"/>
                <w:bCs w:val="1"/>
                <w:color w:val="auto"/>
                <w:w w:val="91"/>
              </w:rPr>
              <w:t>Estimated</w:t>
            </w:r>
          </w:p>
        </w:tc>
      </w:tr>
      <w:tr>
        <w:trPr>
          <w:trHeight w:val="213"/>
        </w:trPr>
        <w:tc>
          <w:tcPr>
            <w:tcW w:w="71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Amount</w:t>
            </w:r>
          </w:p>
        </w:tc>
        <w:tc>
          <w:tcPr>
            <w:tcW w:w="600" w:type="dxa"/>
            <w:vAlign w:val="bottom"/>
          </w:tcPr>
          <w:p>
            <w:pPr>
              <w:spacing w:after="0"/>
              <w:rPr>
                <w:sz w:val="18"/>
                <w:szCs w:val="18"/>
                <w:color w:val="auto"/>
              </w:rPr>
            </w:pPr>
          </w:p>
        </w:tc>
        <w:tc>
          <w:tcPr>
            <w:tcW w:w="1360" w:type="dxa"/>
            <w:vAlign w:val="bottom"/>
          </w:tcPr>
          <w:p>
            <w:pPr>
              <w:jc w:val="right"/>
              <w:ind w:right="533"/>
              <w:spacing w:after="0"/>
              <w:rPr>
                <w:sz w:val="20"/>
                <w:szCs w:val="20"/>
                <w:color w:val="auto"/>
              </w:rPr>
            </w:pPr>
            <w:r>
              <w:rPr>
                <w:rFonts w:ascii="Arial" w:cs="Arial" w:eastAsia="Arial" w:hAnsi="Arial"/>
                <w:sz w:val="16"/>
                <w:szCs w:val="16"/>
                <w:b w:val="1"/>
                <w:bCs w:val="1"/>
                <w:color w:val="auto"/>
                <w:w w:val="94"/>
              </w:rPr>
              <w:t>Fair Value</w:t>
            </w:r>
          </w:p>
        </w:tc>
      </w:tr>
      <w:tr>
        <w:trPr>
          <w:trHeight w:val="212"/>
        </w:trPr>
        <w:tc>
          <w:tcPr>
            <w:tcW w:w="7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Debt instruments:</w:t>
            </w:r>
          </w:p>
        </w:tc>
        <w:tc>
          <w:tcPr>
            <w:tcW w:w="3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gridSpan w:val="2"/>
          </w:tcPr>
          <w:p>
            <w:pPr>
              <w:ind w:left="340"/>
              <w:spacing w:after="0"/>
              <w:rPr>
                <w:sz w:val="20"/>
                <w:szCs w:val="20"/>
                <w:color w:val="auto"/>
              </w:rPr>
            </w:pPr>
            <w:r>
              <w:rPr>
                <w:rFonts w:ascii="Arial" w:cs="Arial" w:eastAsia="Arial" w:hAnsi="Arial"/>
                <w:sz w:val="18"/>
                <w:szCs w:val="18"/>
                <w:color w:val="auto"/>
              </w:rPr>
              <w:t>Term Loan A facility</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723,560</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724,303</w:t>
            </w:r>
          </w:p>
        </w:tc>
      </w:tr>
      <w:tr>
        <w:trPr>
          <w:trHeight w:val="230"/>
        </w:trPr>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4.75%</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595,813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605,250</w:t>
            </w:r>
          </w:p>
        </w:tc>
      </w:tr>
      <w:tr>
        <w:trPr>
          <w:trHeight w:val="229"/>
        </w:trPr>
        <w:tc>
          <w:tcPr>
            <w:tcW w:w="820" w:type="dxa"/>
            <w:vAlign w:val="bottom"/>
          </w:tcPr>
          <w:p>
            <w:pPr>
              <w:ind w:left="340"/>
              <w:spacing w:after="0"/>
              <w:rPr>
                <w:sz w:val="20"/>
                <w:szCs w:val="20"/>
                <w:color w:val="auto"/>
              </w:rPr>
            </w:pPr>
            <w:r>
              <w:rPr>
                <w:rFonts w:ascii="Arial" w:cs="Arial" w:eastAsia="Arial" w:hAnsi="Arial"/>
                <w:sz w:val="18"/>
                <w:szCs w:val="18"/>
                <w:color w:val="auto"/>
                <w:w w:val="90"/>
              </w:rPr>
              <w:t>5.00%</w:t>
            </w:r>
          </w:p>
        </w:tc>
        <w:tc>
          <w:tcPr>
            <w:tcW w:w="6320" w:type="dxa"/>
            <w:vAlign w:val="bottom"/>
          </w:tcPr>
          <w:p>
            <w:pPr>
              <w:ind w:left="20"/>
              <w:spacing w:after="0"/>
              <w:rPr>
                <w:sz w:val="20"/>
                <w:szCs w:val="20"/>
                <w:color w:val="auto"/>
              </w:rPr>
            </w:pPr>
            <w:r>
              <w:rPr>
                <w:rFonts w:ascii="Arial" w:cs="Arial" w:eastAsia="Arial" w:hAnsi="Arial"/>
                <w:sz w:val="18"/>
                <w:szCs w:val="18"/>
                <w:color w:val="auto"/>
              </w:rPr>
              <w:t>Notes due April 2024</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988,609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1,020,000</w:t>
            </w:r>
          </w:p>
        </w:tc>
      </w:tr>
      <w:tr>
        <w:trPr>
          <w:trHeight w:val="230"/>
        </w:trPr>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4.75%</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788,247</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803,000</w:t>
            </w:r>
          </w:p>
        </w:tc>
      </w:tr>
      <w:tr>
        <w:trPr>
          <w:trHeight w:val="223"/>
        </w:trPr>
        <w:tc>
          <w:tcPr>
            <w:tcW w:w="8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3,096,229</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3,152,553</w:t>
            </w:r>
          </w:p>
        </w:tc>
      </w:tr>
      <w:tr>
        <w:trPr>
          <w:trHeight w:val="21"/>
        </w:trPr>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 rates. Such contracts effectively fix the borrowing rates on floating rate debt to limit the exposure against the risk of rising interest rates. The Company does not enter into interest rate swap contracts for speculative or trading purposes and it has only entered into interest rate swap contracts with financial institutions that it believes are creditworthy counterparties. The Company monitors the financial institutions that are counterparties to its interest rate swap contracts and to the extent possible diversifies its swap contracts among various counterparties to mitigate exposure to any single financial institution.</w:t>
      </w:r>
    </w:p>
    <w:p>
      <w:pPr>
        <w:spacing w:after="0" w:line="5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Company's risk management objective and strategy with respect to interest rate swap contracts is to protect the Company against adverse fluctuations in interest rates by reducing its exposure to variability in cash flows relating to interest payments on a portion of its outstanding debt. The Company is meeting its objective by hedging the risk of changes in its cash flows (interest payments) attributable to changes in the designated benchmark interest rate being hedged (the "hedged risk"), on an amount of the Company's debt principal equal to the then-outstanding swap notional. The forecasted interest payments are deemed to be probable of occurring.</w:t>
      </w:r>
    </w:p>
    <w:p>
      <w:pPr>
        <w:spacing w:after="0" w:line="8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assesses, both at the hedge's inception and on an ongoing basis, hedge effectiveness based on the overall changes in the fair value of the interest rate swap contracts. Hedge effectiveness of the interest rate swap contracts is based on a hypothetical derivative methodology. Any ineffective portion of an interest rate swap contract which is designated as a hedging instrument is recorded in current-period earnings. Changes in fair value of interest rate swap contracts not designated as hedging instruments are also recognized in earnings and included in interest expense.</w:t>
      </w:r>
    </w:p>
    <w:p>
      <w:pPr>
        <w:spacing w:after="0" w:line="6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As of December 31, 2020, the Company had interest rate swap contracts outstanding with notional amounts aggregating $100.0 million that are designated as cash flow hedges. The Company's outstanding interest rate swap contracts mature in December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w:t>
      </w:r>
    </w:p>
    <w:p>
      <w:pPr>
        <w:spacing w:after="0" w:line="5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 manage foreign currency exchange rate risk, the Company may enter into foreign currency contracts from time to time with financial institutions to limit the exposure to fluctuations in foreign currency exchange rates. The Company does not enter into foreign currency contracts for speculative or trading purposes.</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certain circumstances, the Company enters into contracts that are settled in currencies other than the functional or local currencies of the contracting parties. Accordingly, these contracts consist of the underlying operational contract and an embedded foreign currency derivative element. Hedge accounting is not applied to the embedded foreign currency derivative element and changes in their fair values are included in miscellaneous, net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Derivatives</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During 2018, the Company exercised RLJE Warrants. In addition, the interest on the RLJE Term Loans to be paid in shares of RLJE common stock (prior to the acquisition) is an embedded derivative. Both the RLJE Warrants and the embedded derivative for the future interest to be paid in shares of RLJE common stock were remeasured at the end of each period with changes in fair value recorded in the consolidated statement of income.</w:t>
      </w:r>
    </w:p>
    <w:p>
      <w:pPr>
        <w:spacing w:after="0" w:line="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2018, the Company recorded a gain of $30.2 million related to the RLJE Warrants which is included in miscellaneous, net in the consolidated statement of income.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consolidated balance sheets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36"/>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240" w:type="dxa"/>
            <w:vAlign w:val="bottom"/>
            <w:gridSpan w:val="2"/>
          </w:tcPr>
          <w:p>
            <w:pPr>
              <w:ind w:left="1240"/>
              <w:spacing w:after="0"/>
              <w:rPr>
                <w:sz w:val="20"/>
                <w:szCs w:val="20"/>
                <w:color w:val="auto"/>
              </w:rPr>
            </w:pPr>
            <w:r>
              <w:rPr>
                <w:rFonts w:ascii="Arial" w:cs="Arial" w:eastAsia="Arial" w:hAnsi="Arial"/>
                <w:sz w:val="16"/>
                <w:szCs w:val="16"/>
                <w:b w:val="1"/>
                <w:bCs w:val="1"/>
                <w:color w:val="auto"/>
              </w:rPr>
              <w:t>Balance Sheet Location</w:t>
            </w:r>
          </w:p>
        </w:tc>
        <w:tc>
          <w:tcPr>
            <w:tcW w:w="320" w:type="dxa"/>
            <w:vAlign w:val="bottom"/>
          </w:tcPr>
          <w:p>
            <w:pPr>
              <w:spacing w:after="0"/>
              <w:rPr>
                <w:sz w:val="20"/>
                <w:szCs w:val="20"/>
                <w:color w:val="auto"/>
              </w:rPr>
            </w:pPr>
          </w:p>
        </w:tc>
        <w:tc>
          <w:tcPr>
            <w:tcW w:w="110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13"/>
        </w:trPr>
        <w:tc>
          <w:tcPr>
            <w:tcW w:w="39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6"/>
              </w:rPr>
              <w:t>Derivatives designated as hedging instruments:</w:t>
            </w:r>
          </w:p>
        </w:tc>
        <w:tc>
          <w:tcPr>
            <w:tcW w:w="4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189"/>
        </w:trPr>
        <w:tc>
          <w:tcPr>
            <w:tcW w:w="39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
        </w:trPr>
        <w:tc>
          <w:tcPr>
            <w:tcW w:w="5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29"/>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w w:val="89"/>
              </w:rPr>
              <w:t>Derivatives not designated as hedging instruments:</w:t>
            </w:r>
          </w:p>
        </w:tc>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9"/>
        </w:trPr>
        <w:tc>
          <w:tcPr>
            <w:tcW w:w="39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4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
        </w:trPr>
        <w:tc>
          <w:tcPr>
            <w:tcW w:w="5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398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424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30"/>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189"/>
        </w:trPr>
        <w:tc>
          <w:tcPr>
            <w:tcW w:w="39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
        </w:trPr>
        <w:tc>
          <w:tcPr>
            <w:tcW w:w="5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42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1,202</w:t>
            </w:r>
          </w:p>
        </w:tc>
      </w:tr>
    </w:tbl>
    <w:p>
      <w:pPr>
        <w:spacing w:after="0" w:line="9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amount of the gains and losses related to the Company's derivative financial instruments designated as hedging instruments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vMerge w:val="restart"/>
          </w:tcPr>
          <w:p>
            <w:pPr>
              <w:jc w:val="center"/>
              <w:ind w:right="275"/>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5"/>
                <w:szCs w:val="15"/>
                <w:color w:val="auto"/>
              </w:rPr>
            </w:pPr>
          </w:p>
        </w:tc>
        <w:tc>
          <w:tcPr>
            <w:tcW w:w="19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Location of Gain or</w:t>
            </w:r>
          </w:p>
        </w:tc>
        <w:tc>
          <w:tcPr>
            <w:tcW w:w="380" w:type="dxa"/>
            <w:vAlign w:val="bottom"/>
          </w:tcPr>
          <w:p>
            <w:pPr>
              <w:spacing w:after="0"/>
              <w:rPr>
                <w:sz w:val="15"/>
                <w:szCs w:val="15"/>
                <w:color w:val="auto"/>
              </w:rPr>
            </w:pPr>
          </w:p>
        </w:tc>
        <w:tc>
          <w:tcPr>
            <w:tcW w:w="2860" w:type="dxa"/>
            <w:vAlign w:val="bottom"/>
            <w:gridSpan w:val="4"/>
          </w:tcPr>
          <w:p>
            <w:pPr>
              <w:jc w:val="center"/>
              <w:ind w:right="315"/>
              <w:spacing w:after="0"/>
              <w:rPr>
                <w:sz w:val="20"/>
                <w:szCs w:val="20"/>
                <w:color w:val="auto"/>
              </w:rPr>
            </w:pPr>
            <w:r>
              <w:rPr>
                <w:rFonts w:ascii="Arial" w:cs="Arial" w:eastAsia="Arial" w:hAnsi="Arial"/>
                <w:sz w:val="16"/>
                <w:szCs w:val="16"/>
                <w:b w:val="1"/>
                <w:bCs w:val="1"/>
                <w:color w:val="auto"/>
                <w:w w:val="90"/>
              </w:rPr>
              <w:t>Gain or (Loss) Reclassified</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860" w:type="dxa"/>
            <w:vAlign w:val="bottom"/>
            <w:gridSpan w:val="4"/>
          </w:tcPr>
          <w:p>
            <w:pPr>
              <w:jc w:val="center"/>
              <w:ind w:right="295"/>
              <w:spacing w:after="0" w:line="162" w:lineRule="exact"/>
              <w:rPr>
                <w:sz w:val="20"/>
                <w:szCs w:val="20"/>
                <w:color w:val="auto"/>
              </w:rPr>
            </w:pPr>
            <w:r>
              <w:rPr>
                <w:rFonts w:ascii="Arial" w:cs="Arial" w:eastAsia="Arial" w:hAnsi="Arial"/>
                <w:sz w:val="16"/>
                <w:szCs w:val="16"/>
                <w:b w:val="1"/>
                <w:bCs w:val="1"/>
                <w:color w:val="auto"/>
                <w:w w:val="94"/>
              </w:rPr>
              <w:t>from Accumulated OCI</w:t>
            </w:r>
          </w:p>
        </w:tc>
        <w:tc>
          <w:tcPr>
            <w:tcW w:w="0" w:type="dxa"/>
            <w:vAlign w:val="bottom"/>
          </w:tcPr>
          <w:p>
            <w:pPr>
              <w:spacing w:after="0"/>
              <w:rPr>
                <w:sz w:val="1"/>
                <w:szCs w:val="1"/>
                <w:color w:val="auto"/>
              </w:rPr>
            </w:pPr>
          </w:p>
        </w:tc>
      </w:tr>
      <w:tr>
        <w:trPr>
          <w:trHeight w:val="213"/>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4"/>
          </w:tcPr>
          <w:p>
            <w:pPr>
              <w:jc w:val="center"/>
              <w:ind w:right="235"/>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(Loss) in Earnings</w:t>
            </w:r>
          </w:p>
        </w:tc>
        <w:tc>
          <w:tcPr>
            <w:tcW w:w="3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into Earnings (a)</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4"/>
          </w:tcPr>
          <w:p>
            <w:pPr>
              <w:jc w:val="center"/>
              <w:ind w:right="255"/>
              <w:spacing w:after="0"/>
              <w:rPr>
                <w:sz w:val="20"/>
                <w:szCs w:val="20"/>
                <w:color w:val="auto"/>
              </w:rPr>
            </w:pPr>
            <w:r>
              <w:rPr>
                <w:rFonts w:ascii="Arial" w:cs="Arial" w:eastAsia="Arial" w:hAnsi="Arial"/>
                <w:sz w:val="16"/>
                <w:szCs w:val="16"/>
                <w:b w:val="1"/>
                <w:bCs w:val="1"/>
                <w:color w:val="auto"/>
                <w:w w:val="90"/>
              </w:rPr>
              <w:t>Years Ended December 31,</w:t>
            </w:r>
          </w:p>
        </w:tc>
        <w:tc>
          <w:tcPr>
            <w:tcW w:w="10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2860" w:type="dxa"/>
            <w:vAlign w:val="bottom"/>
            <w:tcBorders>
              <w:top w:val="single" w:sz="8" w:color="auto"/>
              <w:bottom w:val="single" w:sz="8" w:color="auto"/>
            </w:tcBorders>
            <w:gridSpan w:val="4"/>
          </w:tcPr>
          <w:p>
            <w:pPr>
              <w:jc w:val="center"/>
              <w:ind w:right="275"/>
              <w:spacing w:after="0"/>
              <w:rPr>
                <w:sz w:val="20"/>
                <w:szCs w:val="20"/>
                <w:color w:val="auto"/>
              </w:rPr>
            </w:pPr>
            <w:r>
              <w:rPr>
                <w:rFonts w:ascii="Arial" w:cs="Arial" w:eastAsia="Arial" w:hAnsi="Arial"/>
                <w:sz w:val="16"/>
                <w:szCs w:val="16"/>
                <w:b w:val="1"/>
                <w:bCs w:val="1"/>
                <w:color w:val="auto"/>
                <w:w w:val="90"/>
              </w:rPr>
              <w:t>Years Ended December 31,</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159"/>
        </w:trPr>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b w:val="1"/>
                <w:bCs w:val="1"/>
                <w:color w:val="auto"/>
                <w:w w:val="93"/>
              </w:rPr>
              <w:t>Derivatives in cash flow hedging</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hanging="329"/>
        <w:spacing w:after="0" w:line="277" w:lineRule="auto"/>
        <w:tabs>
          <w:tab w:leader="none" w:pos="5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the hedging relationship or related to any amount excluded from the assessment of hedge effectiveness for the years ended December 31, 2020 and 2019.</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of the gains and losses related to the Company's derivative financial instruments not designated as hedging instruments are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Location of Gain (Loss) Recognized</w:t>
            </w:r>
          </w:p>
        </w:tc>
        <w:tc>
          <w:tcPr>
            <w:tcW w:w="360" w:type="dxa"/>
            <w:vAlign w:val="bottom"/>
          </w:tcPr>
          <w:p>
            <w:pPr>
              <w:spacing w:after="0"/>
              <w:rPr>
                <w:sz w:val="16"/>
                <w:szCs w:val="16"/>
                <w:color w:val="auto"/>
              </w:rPr>
            </w:pPr>
          </w:p>
        </w:tc>
        <w:tc>
          <w:tcPr>
            <w:tcW w:w="4520" w:type="dxa"/>
            <w:vAlign w:val="bottom"/>
            <w:gridSpan w:val="7"/>
          </w:tcPr>
          <w:p>
            <w:pPr>
              <w:jc w:val="center"/>
              <w:ind w:right="272"/>
              <w:spacing w:after="0"/>
              <w:rPr>
                <w:sz w:val="20"/>
                <w:szCs w:val="20"/>
                <w:color w:val="auto"/>
              </w:rPr>
            </w:pPr>
            <w:r>
              <w:rPr>
                <w:rFonts w:ascii="Arial" w:cs="Arial" w:eastAsia="Arial" w:hAnsi="Arial"/>
                <w:sz w:val="16"/>
                <w:szCs w:val="16"/>
                <w:b w:val="1"/>
                <w:bCs w:val="1"/>
                <w:color w:val="auto"/>
                <w:w w:val="91"/>
              </w:rPr>
              <w:t>Amount of Gain (Loss) Recognized in Earnings</w:t>
            </w:r>
          </w:p>
        </w:tc>
      </w:tr>
      <w:tr>
        <w:trPr>
          <w:trHeight w:val="213"/>
        </w:trPr>
        <w:tc>
          <w:tcPr>
            <w:tcW w:w="3660" w:type="dxa"/>
            <w:vAlign w:val="bottom"/>
          </w:tcPr>
          <w:p>
            <w:pPr>
              <w:spacing w:after="0"/>
              <w:rPr>
                <w:sz w:val="18"/>
                <w:szCs w:val="18"/>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 Earnings on Derivatives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on Derivatives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6"/>
        </w:trPr>
        <w:tc>
          <w:tcPr>
            <w:tcW w:w="3660" w:type="dxa"/>
            <w:vAlign w:val="bottom"/>
          </w:tcPr>
          <w:p>
            <w:pPr>
              <w:spacing w:after="0"/>
              <w:rPr>
                <w:sz w:val="20"/>
                <w:szCs w:val="20"/>
                <w:color w:val="auto"/>
              </w:rPr>
            </w:pPr>
          </w:p>
        </w:tc>
        <w:tc>
          <w:tcPr>
            <w:tcW w:w="2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320" w:type="dxa"/>
            <w:vAlign w:val="bottom"/>
            <w:tcBorders>
              <w:top w:val="single" w:sz="8" w:color="auto"/>
              <w:bottom w:val="single" w:sz="8" w:color="auto"/>
            </w:tcBorders>
            <w:gridSpan w:val="6"/>
          </w:tcPr>
          <w:p>
            <w:pPr>
              <w:jc w:val="center"/>
              <w:ind w:left="774"/>
              <w:spacing w:after="0"/>
              <w:rPr>
                <w:sz w:val="20"/>
                <w:szCs w:val="20"/>
                <w:color w:val="auto"/>
              </w:rPr>
            </w:pPr>
            <w:r>
              <w:rPr>
                <w:rFonts w:ascii="Arial" w:cs="Arial" w:eastAsia="Arial" w:hAnsi="Arial"/>
                <w:sz w:val="16"/>
                <w:szCs w:val="16"/>
                <w:b w:val="1"/>
                <w:bCs w:val="1"/>
                <w:color w:val="auto"/>
                <w:w w:val="90"/>
              </w:rPr>
              <w:t>Years Ended December 31,</w:t>
            </w:r>
          </w:p>
        </w:tc>
        <w:tc>
          <w:tcPr>
            <w:tcW w:w="1200" w:type="dxa"/>
            <w:vAlign w:val="bottom"/>
            <w:tcBorders>
              <w:top w:val="single" w:sz="8" w:color="auto"/>
              <w:bottom w:val="single" w:sz="8" w:color="auto"/>
            </w:tcBorders>
          </w:tcPr>
          <w:p>
            <w:pPr>
              <w:spacing w:after="0"/>
              <w:rPr>
                <w:sz w:val="20"/>
                <w:szCs w:val="20"/>
                <w:color w:val="auto"/>
              </w:rPr>
            </w:pPr>
          </w:p>
        </w:tc>
      </w:tr>
      <w:tr>
        <w:trPr>
          <w:trHeight w:val="23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22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Miscellaneous,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derivatives</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Miscellaneous,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42,092</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41,927</w:t>
            </w:r>
          </w:p>
        </w:tc>
      </w:tr>
      <w:tr>
        <w:trPr>
          <w:trHeight w:val="20"/>
        </w:trPr>
        <w:tc>
          <w:tcPr>
            <w:tcW w:w="3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subsidiaries of the Company lease office space and equipment under long-term non-cancelable lease agreements which expire at various dates through 2034.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life of assets and leasehold improvements are limited by the expected lease term, unless there is a transfer of title or purchase option reasonably certain of exercise.</w:t>
      </w:r>
    </w:p>
    <w:p>
      <w:pPr>
        <w:spacing w:after="0" w:line="6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leases included in the consolidated balance sheets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800" w:type="dxa"/>
            <w:vAlign w:val="bottom"/>
            <w:gridSpan w:val="2"/>
          </w:tcPr>
          <w:p>
            <w:pPr>
              <w:ind w:left="1500"/>
              <w:spacing w:after="0"/>
              <w:rPr>
                <w:sz w:val="20"/>
                <w:szCs w:val="20"/>
                <w:color w:val="auto"/>
              </w:rPr>
            </w:pPr>
            <w:r>
              <w:rPr>
                <w:rFonts w:ascii="Arial" w:cs="Arial" w:eastAsia="Arial" w:hAnsi="Arial"/>
                <w:sz w:val="16"/>
                <w:szCs w:val="16"/>
                <w:b w:val="1"/>
                <w:bCs w:val="1"/>
                <w:color w:val="auto"/>
              </w:rPr>
              <w:t>Balance Sheet Location</w:t>
            </w:r>
          </w:p>
        </w:tc>
        <w:tc>
          <w:tcPr>
            <w:tcW w:w="42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ind w:right="651"/>
              <w:spacing w:after="0"/>
              <w:rPr>
                <w:sz w:val="20"/>
                <w:szCs w:val="20"/>
                <w:color w:val="auto"/>
              </w:rPr>
            </w:pPr>
            <w:r>
              <w:rPr>
                <w:rFonts w:ascii="Arial" w:cs="Arial" w:eastAsia="Arial" w:hAnsi="Arial"/>
                <w:sz w:val="16"/>
                <w:szCs w:val="16"/>
                <w:b w:val="1"/>
                <w:bCs w:val="1"/>
                <w:color w:val="auto"/>
              </w:rPr>
              <w:t>2019</w:t>
            </w:r>
          </w:p>
        </w:tc>
      </w:tr>
      <w:tr>
        <w:trPr>
          <w:trHeight w:val="172"/>
        </w:trPr>
        <w:tc>
          <w:tcPr>
            <w:tcW w:w="20" w:type="dxa"/>
            <w:vAlign w:val="bottom"/>
            <w:tcBorders>
              <w:top w:val="single" w:sz="8" w:color="CCEEFF"/>
            </w:tcBorders>
            <w:shd w:val="clear" w:color="auto" w:fill="CCEEFF"/>
          </w:tcPr>
          <w:p>
            <w:pPr>
              <w:spacing w:after="0"/>
              <w:rPr>
                <w:sz w:val="14"/>
                <w:szCs w:val="14"/>
                <w:color w:val="auto"/>
              </w:rPr>
            </w:pPr>
          </w:p>
        </w:tc>
        <w:tc>
          <w:tcPr>
            <w:tcW w:w="2680" w:type="dxa"/>
            <w:vAlign w:val="bottom"/>
            <w:tcBorders>
              <w:top w:val="single" w:sz="8" w:color="CCEEFF"/>
            </w:tcBorders>
            <w:gridSpan w:val="3"/>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Assets</w:t>
            </w:r>
          </w:p>
        </w:tc>
        <w:tc>
          <w:tcPr>
            <w:tcW w:w="4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146,522</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170,056</w:t>
            </w: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15,713</w:t>
            </w:r>
          </w:p>
        </w:tc>
      </w:tr>
      <w:tr>
        <w:trPr>
          <w:trHeight w:val="223"/>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Total lease assets</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159,701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190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Current:</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lease obligations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30,171</w:t>
            </w:r>
          </w:p>
        </w:tc>
      </w:tr>
      <w:tr>
        <w:trPr>
          <w:trHeight w:val="229"/>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Current portion of 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33,959</w:t>
            </w:r>
          </w:p>
        </w:tc>
      </w:tr>
      <w:tr>
        <w:trPr>
          <w:trHeight w:val="209"/>
        </w:trPr>
        <w:tc>
          <w:tcPr>
            <w:tcW w:w="20" w:type="dxa"/>
            <w:vAlign w:val="bottom"/>
          </w:tcPr>
          <w:p>
            <w:pPr>
              <w:spacing w:after="0"/>
              <w:rPr>
                <w:sz w:val="18"/>
                <w:szCs w:val="18"/>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193,570</w:t>
            </w:r>
          </w:p>
        </w:tc>
      </w:tr>
      <w:tr>
        <w:trPr>
          <w:trHeight w:val="230"/>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17,477</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194,324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211,047</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Upon transition to ASC Topic 842, the Company used the incremental borrowing rate on January 1, 2019 for all operating leases that commenced prior to that date.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 costs included in the consolidated statement of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gridSpan w:val="2"/>
          </w:tcPr>
          <w:p>
            <w:pPr>
              <w:ind w:left="1140"/>
              <w:spacing w:after="0"/>
              <w:rPr>
                <w:sz w:val="20"/>
                <w:szCs w:val="20"/>
                <w:color w:val="auto"/>
              </w:rPr>
            </w:pPr>
            <w:r>
              <w:rPr>
                <w:rFonts w:ascii="Arial" w:cs="Arial" w:eastAsia="Arial" w:hAnsi="Arial"/>
                <w:sz w:val="16"/>
                <w:szCs w:val="16"/>
                <w:b w:val="1"/>
                <w:bCs w:val="1"/>
                <w:color w:val="auto"/>
              </w:rPr>
              <w:t>Income Statement Location</w:t>
            </w:r>
          </w:p>
        </w:tc>
        <w:tc>
          <w:tcPr>
            <w:tcW w:w="42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ind w:right="651"/>
              <w:spacing w:after="0"/>
              <w:rPr>
                <w:sz w:val="20"/>
                <w:szCs w:val="20"/>
                <w:color w:val="auto"/>
              </w:rPr>
            </w:pPr>
            <w:r>
              <w:rPr>
                <w:rFonts w:ascii="Arial" w:cs="Arial" w:eastAsia="Arial" w:hAnsi="Arial"/>
                <w:sz w:val="16"/>
                <w:szCs w:val="16"/>
                <w:b w:val="1"/>
                <w:bCs w:val="1"/>
                <w:color w:val="auto"/>
              </w:rPr>
              <w:t>2019</w:t>
            </w: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33,184</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4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leased assets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Net interest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costs</w:t>
            </w:r>
          </w:p>
        </w:tc>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SG&amp;A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lease costs</w:t>
            </w:r>
          </w:p>
        </w:tc>
        <w:tc>
          <w:tcPr>
            <w:tcW w:w="4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42,546</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For the year ended December 31, 2020, impairment charges were recorded related to certain operating lease right-of-use assets at the AMCNI business. See Note 9 for additional details regarding the impairment test of long-lived assets.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20" w:type="dxa"/>
            <w:vAlign w:val="bottom"/>
            <w:gridSpan w:val="7"/>
          </w:tcPr>
          <w:p>
            <w:pPr>
              <w:spacing w:after="0"/>
              <w:rPr>
                <w:sz w:val="20"/>
                <w:szCs w:val="20"/>
                <w:color w:val="auto"/>
              </w:rPr>
            </w:pPr>
            <w:r>
              <w:rPr>
                <w:rFonts w:ascii="Arial" w:cs="Arial" w:eastAsia="Arial" w:hAnsi="Arial"/>
                <w:sz w:val="18"/>
                <w:szCs w:val="18"/>
                <w:color w:val="auto"/>
                <w:w w:val="97"/>
              </w:rPr>
              <w:t>The following table summarizes the maturity of lease liabilities for operating and finance leases as of December 31, 2020:</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4"/>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Finance Leases</w:t>
            </w: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43,227</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41,220</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40,652</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38,806</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34,713</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72,412</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271,030</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226,759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weighted average remaining lease term and discount rate for operating and finance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8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960" w:type="dxa"/>
            <w:vAlign w:val="bottom"/>
            <w:shd w:val="clear" w:color="auto" w:fill="CCEEFF"/>
          </w:tcPr>
          <w:p>
            <w:pPr>
              <w:spacing w:after="0"/>
              <w:rPr>
                <w:sz w:val="18"/>
                <w:szCs w:val="18"/>
                <w:color w:val="auto"/>
              </w:rPr>
            </w:pPr>
          </w:p>
        </w:tc>
      </w:tr>
      <w:tr>
        <w:trPr>
          <w:trHeight w:val="230"/>
        </w:trPr>
        <w:tc>
          <w:tcPr>
            <w:tcW w:w="92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9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92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960" w:type="dxa"/>
            <w:vAlign w:val="bottom"/>
          </w:tcPr>
          <w:p>
            <w:pPr>
              <w:spacing w:after="0"/>
              <w:rPr>
                <w:sz w:val="19"/>
                <w:szCs w:val="19"/>
                <w:color w:val="auto"/>
              </w:rPr>
            </w:pPr>
          </w:p>
        </w:tc>
      </w:tr>
      <w:tr>
        <w:trPr>
          <w:trHeight w:val="230"/>
        </w:trPr>
        <w:tc>
          <w:tcPr>
            <w:tcW w:w="9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928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960" w:type="dxa"/>
            <w:vAlign w:val="bottom"/>
          </w:tcPr>
          <w:p>
            <w:pPr>
              <w:jc w:val="right"/>
              <w:spacing w:after="0"/>
              <w:rPr>
                <w:sz w:val="20"/>
                <w:szCs w:val="20"/>
                <w:color w:val="auto"/>
              </w:rPr>
            </w:pPr>
            <w:r>
              <w:rPr>
                <w:rFonts w:ascii="Arial" w:cs="Arial" w:eastAsia="Arial" w:hAnsi="Arial"/>
                <w:sz w:val="18"/>
                <w:szCs w:val="18"/>
                <w:color w:val="auto"/>
              </w:rPr>
              <w:t>8.1 %</w:t>
            </w:r>
          </w:p>
        </w:tc>
      </w:tr>
    </w:tbl>
    <w:p>
      <w:pPr>
        <w:spacing w:after="0" w:line="200" w:lineRule="exact"/>
        <w:rPr>
          <w:sz w:val="20"/>
          <w:szCs w:val="20"/>
          <w:color w:val="auto"/>
        </w:rPr>
      </w:pP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supplemental cash paid for amounts in the measurement of lease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Pr>
          <w:p>
            <w:pPr>
              <w:spacing w:after="0"/>
              <w:rPr>
                <w:sz w:val="18"/>
                <w:szCs w:val="18"/>
                <w:color w:val="auto"/>
              </w:rPr>
            </w:pPr>
          </w:p>
        </w:tc>
        <w:tc>
          <w:tcPr>
            <w:tcW w:w="164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December 31, 2019</w:t>
            </w: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26,758</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5,115</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(loss) from continuing operations before income taxes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r>
      <w:tr>
        <w:trPr>
          <w:trHeight w:val="22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437,039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529,451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587,346</w:t>
            </w:r>
          </w:p>
        </w:tc>
        <w:tc>
          <w:tcPr>
            <w:tcW w:w="40" w:type="dxa"/>
            <w:vAlign w:val="bottom"/>
          </w:tcPr>
          <w:p>
            <w:pPr>
              <w:spacing w:after="0"/>
              <w:rPr>
                <w:sz w:val="19"/>
                <w:szCs w:val="19"/>
                <w:color w:val="auto"/>
              </w:rPr>
            </w:pPr>
          </w:p>
        </w:tc>
      </w:tr>
      <w:tr>
        <w:trPr>
          <w:trHeight w:val="23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2"/>
              </w:rPr>
              <w:t>(34,660)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2"/>
              </w:rPr>
              <w:t>(43,265)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32,927</w:t>
            </w:r>
          </w:p>
        </w:tc>
        <w:tc>
          <w:tcPr>
            <w:tcW w:w="40" w:type="dxa"/>
            <w:vAlign w:val="bottom"/>
          </w:tcPr>
          <w:p>
            <w:pPr>
              <w:spacing w:after="0"/>
              <w:rPr>
                <w:sz w:val="19"/>
                <w:szCs w:val="19"/>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5"/>
              </w:rPr>
              <w:t>402,379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8"/>
              </w:rPr>
              <w:t>486,186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620,273</w:t>
            </w:r>
          </w:p>
        </w:tc>
        <w:tc>
          <w:tcPr>
            <w:tcW w:w="40" w:type="dxa"/>
            <w:vAlign w:val="bottom"/>
          </w:tcPr>
          <w:p>
            <w:pPr>
              <w:spacing w:after="0"/>
              <w:rPr>
                <w:sz w:val="21"/>
                <w:szCs w:val="2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2"/>
        </w:trPr>
        <w:tc>
          <w:tcPr>
            <w:tcW w:w="3180" w:type="dxa"/>
            <w:vAlign w:val="bottom"/>
          </w:tcPr>
          <w:p>
            <w:pPr>
              <w:spacing w:after="0"/>
              <w:rPr>
                <w:sz w:val="24"/>
                <w:szCs w:val="24"/>
                <w:color w:val="auto"/>
              </w:rPr>
            </w:pPr>
          </w:p>
        </w:tc>
        <w:tc>
          <w:tcPr>
            <w:tcW w:w="3240" w:type="dxa"/>
            <w:vAlign w:val="bottom"/>
            <w:gridSpan w:val="2"/>
          </w:tcPr>
          <w:p>
            <w:pPr>
              <w:jc w:val="right"/>
              <w:ind w:right="530"/>
              <w:spacing w:after="0"/>
              <w:rPr>
                <w:sz w:val="20"/>
                <w:szCs w:val="20"/>
                <w:color w:val="auto"/>
              </w:rPr>
            </w:pPr>
            <w:r>
              <w:rPr>
                <w:rFonts w:ascii="Arial" w:cs="Arial" w:eastAsia="Arial" w:hAnsi="Arial"/>
                <w:sz w:val="18"/>
                <w:szCs w:val="18"/>
                <w:color w:val="auto"/>
              </w:rPr>
              <w:t>F-33</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318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attributable to continuing operations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10"/>
          </w:tcPr>
          <w:p>
            <w:pPr>
              <w:jc w:val="right"/>
              <w:ind w:right="240"/>
              <w:spacing w:after="0"/>
              <w:rPr>
                <w:sz w:val="20"/>
                <w:szCs w:val="20"/>
                <w:color w:val="auto"/>
              </w:rPr>
            </w:pPr>
            <w:r>
              <w:rPr>
                <w:rFonts w:ascii="Arial" w:cs="Arial" w:eastAsia="Arial" w:hAnsi="Arial"/>
                <w:sz w:val="16"/>
                <w:szCs w:val="16"/>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w w:val="95"/>
              </w:rPr>
              <w:t>2020</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expense:</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86,977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81,459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80,360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128,555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118,724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00" w:type="dxa"/>
            <w:vAlign w:val="bottom"/>
          </w:tcPr>
          <w:p>
            <w:pPr>
              <w:ind w:left="20"/>
              <w:spacing w:after="0"/>
              <w:rPr>
                <w:sz w:val="20"/>
                <w:szCs w:val="20"/>
                <w:color w:val="auto"/>
              </w:rPr>
            </w:pPr>
            <w:r>
              <w:rPr>
                <w:rFonts w:ascii="Arial" w:cs="Arial" w:eastAsia="Arial" w:hAnsi="Arial"/>
                <w:sz w:val="18"/>
                <w:szCs w:val="18"/>
                <w:color w:val="auto"/>
              </w:rPr>
              <w:t>Deferred expense (benefit):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36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(38,916)</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(benefit) relating to uncertain tax positions, including accrued interest</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145,391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7300" w:type="dxa"/>
            <w:vAlign w:val="bottom"/>
            <w:gridSpan w:val="3"/>
          </w:tcPr>
          <w:p>
            <w:pPr>
              <w:spacing w:after="0"/>
              <w:rPr>
                <w:sz w:val="20"/>
                <w:szCs w:val="20"/>
                <w:color w:val="auto"/>
              </w:rPr>
            </w:pPr>
            <w:r>
              <w:rPr>
                <w:rFonts w:ascii="Arial" w:cs="Arial" w:eastAsia="Arial" w:hAnsi="Arial"/>
                <w:sz w:val="18"/>
                <w:szCs w:val="18"/>
                <w:color w:val="auto"/>
                <w:w w:val="91"/>
              </w:rPr>
              <w:t>A reconciliation of the federal statutory income tax rate to the effective income tax rate is as follows: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6"/>
                <w:szCs w:val="16"/>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 statutory income tax rate</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State and local income taxes, net of federal benefit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foreign operations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Effect of rate changes on deferred taxes (a)</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Excess tax deficiencies related to share-based compensation</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Nontaxable income attributable to noncontrolling interests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the valuation allowance (b)</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2"/>
              </w:rPr>
              <w:t>Tax expense relating to uncertain tax positions, including accrued interest, net of deferred</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tax benefits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Deferral of investment tax credit benefit (c)</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16 %</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53"/>
        <w:spacing w:after="0" w:line="263" w:lineRule="auto"/>
        <w:tabs>
          <w:tab w:leader="none" w:pos="6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benefits related to effects of rate changes in the year ended December 31, 2018, primarily relate to the one-time rate change on deferred tax assets and liabilities that resulted from the extension of certain television production cost deductions included in the Bipartisan Budget Act of 2018 (enacted February 9, 2018) and return to provision adjustments.</w:t>
      </w:r>
    </w:p>
    <w:p>
      <w:pPr>
        <w:spacing w:after="0" w:line="75" w:lineRule="exact"/>
        <w:rPr>
          <w:rFonts w:ascii="Arial" w:cs="Arial" w:eastAsia="Arial" w:hAnsi="Arial"/>
          <w:sz w:val="18"/>
          <w:szCs w:val="18"/>
          <w:color w:val="auto"/>
        </w:rPr>
      </w:pPr>
    </w:p>
    <w:p>
      <w:pPr>
        <w:jc w:val="both"/>
        <w:ind w:firstLine="453"/>
        <w:spacing w:after="0" w:line="257" w:lineRule="auto"/>
        <w:tabs>
          <w:tab w:leader="none" w:pos="7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year ended December 31, 2020, the increase in valuation allowance relates primarily to a change in judgement and a change in local tax law related to the utilization of foreign net operating loss carryforwards and other deferred tax assets. In the year ended December 31, 2019, the decrease in valuation allowance relates primarily to the expected utilization of foreign net operating loss carryforwards resulting from the reorganization of intellectual property amongst the Company’s international subsidiaries. In the year ended December 31, 2018, the increase in valuation allowance relates primarily to a change in judgement related to U.S. foreign tax credits.</w:t>
      </w:r>
    </w:p>
    <w:p>
      <w:pPr>
        <w:spacing w:after="0" w:line="79" w:lineRule="exact"/>
        <w:rPr>
          <w:rFonts w:ascii="Arial" w:cs="Arial" w:eastAsia="Arial" w:hAnsi="Arial"/>
          <w:sz w:val="18"/>
          <w:szCs w:val="18"/>
          <w:color w:val="auto"/>
        </w:rPr>
      </w:pPr>
    </w:p>
    <w:p>
      <w:pPr>
        <w:ind w:firstLine="453"/>
        <w:spacing w:after="0" w:line="277" w:lineRule="auto"/>
        <w:tabs>
          <w:tab w:leader="none" w:pos="7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years ended December 31, 2020 and 2019, the deferral of investment tax credit benefit relates to the income tax benefit recognized from investment tax credits recorded using the deferral method of accounting.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tax effects of temporary differences that give rise to significant components of deferred tax assets or liabilities at December 31, 2020 and 2019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75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2019</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Deferred Tax Asset (Liability)</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NOLs and tax credit carry forwards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98,631</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103,407</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Compensation and benefit plans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27,835</w:t>
            </w:r>
          </w:p>
        </w:tc>
      </w:tr>
      <w:tr>
        <w:trPr>
          <w:trHeight w:val="229"/>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assets and intangible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37,893</w:t>
            </w:r>
          </w:p>
        </w:tc>
      </w:tr>
      <w:tr>
        <w:trPr>
          <w:trHeight w:val="230"/>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Accrued interest expense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7,202</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27,276</w:t>
            </w:r>
          </w:p>
        </w:tc>
      </w:tr>
      <w:tr>
        <w:trPr>
          <w:trHeight w:val="223"/>
        </w:trPr>
        <w:tc>
          <w:tcPr>
            <w:tcW w:w="20" w:type="dxa"/>
            <w:vAlign w:val="bottom"/>
          </w:tcPr>
          <w:p>
            <w:pPr>
              <w:spacing w:after="0"/>
              <w:rPr>
                <w:sz w:val="19"/>
                <w:szCs w:val="19"/>
                <w:color w:val="auto"/>
              </w:rPr>
            </w:pPr>
          </w:p>
        </w:tc>
        <w:tc>
          <w:tcPr>
            <w:tcW w:w="7580" w:type="dxa"/>
            <w:vAlign w:val="bottom"/>
            <w:gridSpan w:val="2"/>
          </w:tcPr>
          <w:p>
            <w:pPr>
              <w:ind w:left="660"/>
              <w:spacing w:after="0"/>
              <w:rPr>
                <w:sz w:val="20"/>
                <w:szCs w:val="20"/>
                <w:color w:val="auto"/>
              </w:rPr>
            </w:pPr>
            <w:r>
              <w:rPr>
                <w:rFonts w:ascii="Arial" w:cs="Arial" w:eastAsia="Arial" w:hAnsi="Arial"/>
                <w:sz w:val="18"/>
                <w:szCs w:val="18"/>
                <w:color w:val="auto"/>
              </w:rPr>
              <w:t>Deferred tax asset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187,856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204,041</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(59,584)</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Net deferred tax asset</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91,657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144,457</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liabilities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Fixed assets and intangible assets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(84,005)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(93,300)</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partnerships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(105,062)</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(30,931)</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(198,620)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(229,823)</w:t>
            </w:r>
          </w:p>
        </w:tc>
      </w:tr>
      <w:tr>
        <w:trPr>
          <w:trHeight w:val="223"/>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Total net deferred tax liability</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(106,963)</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(85,366)</w:t>
            </w: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At December 31, 2020, the Company had investment tax credit carry forwards of approximately $38.8 million, expiring on various dates from 2031 through 2035 and foreign tax credit carry forwards of approximately $31.0 million, expiring on various dates from 2020 through 2030, which have been reduced by a valuation allowance of $31.0 million as it is more likely than not that these carry forwards will not be realized. The Company had net operating loss carry forwards of approximately $411.3 million, related primarily to federal and state net operating losses acquired as a result of the purchase of the outstanding shares of RLJE of approximately $113.1 million and to net operating loss carryforwards of our foreign subsidiaries. The deferred tax asset related to the federal and state net operating loss carryforward of approximately $23.4 million has expiration dates ranging from 2022 through 2038 and has been reduced by a valuation allowance of approximately $7.8 million that was recorded through goodwill as part of purchase accounting. Although the foreign net operating loss carry forward periods range from 5 years to unlimited, the related deferred tax assets of approximately $43.0 million for these carry forwards have been reduced by a valuation allowance of approximately $40.8 million as it is more likely than not that these carry forwards will not be realized. The remainder of the valuation allowance at December 31, 2020 relates primarily to deferred tax assets attributable to temporary differences of certain foreign subsidiaries for which it is more likely than not that these deferred tax assets will not be realized.</w:t>
      </w:r>
    </w:p>
    <w:p>
      <w:pPr>
        <w:spacing w:after="0" w:line="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2020, $1.3 million relating to amortization of tax deductible second component goodwill was realized as a reduction in tax liability (as determined on a 'with-and-without' approach).</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December 31, 2020, the liability for uncertain tax positions was $9.7 million, excluding the related accrued interest liability of $2.7 million and deferred tax assets of $2.1 million. All of such unrecognized tax benefits, if recognized, would reduce the Company's income tax expense and effective tax rate.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reconciliation of the beginning to ending amount of the liability for uncertain tax positions (excluding related accrued interest and deferred tax benefit)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18,588</w:t>
            </w:r>
          </w:p>
        </w:tc>
      </w:tr>
      <w:tr>
        <w:trPr>
          <w:trHeight w:val="229"/>
        </w:trPr>
        <w:tc>
          <w:tcPr>
            <w:tcW w:w="9100" w:type="dxa"/>
            <w:vAlign w:val="bottom"/>
          </w:tcPr>
          <w:p>
            <w:pPr>
              <w:ind w:left="360"/>
              <w:spacing w:after="0"/>
              <w:rPr>
                <w:sz w:val="20"/>
                <w:szCs w:val="20"/>
                <w:color w:val="auto"/>
              </w:rPr>
            </w:pPr>
            <w:r>
              <w:rPr>
                <w:rFonts w:ascii="Arial" w:cs="Arial" w:eastAsia="Arial" w:hAnsi="Arial"/>
                <w:sz w:val="18"/>
                <w:szCs w:val="18"/>
                <w:color w:val="auto"/>
              </w:rPr>
              <w:t>Increases related to current year tax positions</w:t>
            </w: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Increases related to prior year tax positions</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29"/>
        </w:trPr>
        <w:tc>
          <w:tcPr>
            <w:tcW w:w="9100" w:type="dxa"/>
            <w:vAlign w:val="bottom"/>
          </w:tcPr>
          <w:p>
            <w:pPr>
              <w:ind w:left="360"/>
              <w:spacing w:after="0"/>
              <w:rPr>
                <w:sz w:val="20"/>
                <w:szCs w:val="20"/>
                <w:color w:val="auto"/>
              </w:rPr>
            </w:pPr>
            <w:r>
              <w:rPr>
                <w:rFonts w:ascii="Arial" w:cs="Arial" w:eastAsia="Arial" w:hAnsi="Arial"/>
                <w:sz w:val="18"/>
                <w:szCs w:val="18"/>
                <w:color w:val="auto"/>
              </w:rPr>
              <w:t>Decreases related to prior year tax positions</w:t>
            </w: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30"/>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Decreases due to settlements/payments</w:t>
            </w:r>
          </w:p>
        </w:tc>
        <w:tc>
          <w:tcPr>
            <w:tcW w:w="8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(10,087)</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9,685</w:t>
            </w:r>
          </w:p>
        </w:tc>
      </w:tr>
      <w:tr>
        <w:trPr>
          <w:trHeight w:val="21"/>
        </w:trPr>
        <w:tc>
          <w:tcPr>
            <w:tcW w:w="9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Interest expense (net of the related deferred tax benefit) of $0.6 million was recognized during the year ended December 31, 2020 and is included in income tax expense in the consolidated statement of income. At December 31, 2020 and 2019, the liability for uncertain tax positions and related accrued interest noted above are included in other liabilities in the consolidated balance sheets.</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currently being audited by the State and City of New York and various other states or jurisdictions, with most of the periods under examination relating to tax years 2013 and forward.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6"/>
                <w:szCs w:val="16"/>
                <w:b w:val="1"/>
                <w:bCs w:val="1"/>
                <w:color w:val="auto"/>
                <w:w w:val="89"/>
              </w:rPr>
              <w:t>Payments due by period</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6"/>
                <w:szCs w:val="16"/>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Year 1</w:t>
            </w:r>
          </w:p>
        </w:tc>
        <w:tc>
          <w:tcPr>
            <w:tcW w:w="26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Years</w:t>
            </w:r>
          </w:p>
        </w:tc>
        <w:tc>
          <w:tcPr>
            <w:tcW w:w="28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Years</w:t>
            </w:r>
          </w:p>
        </w:tc>
        <w:tc>
          <w:tcPr>
            <w:tcW w:w="160" w:type="dxa"/>
            <w:vAlign w:val="bottom"/>
          </w:tcPr>
          <w:p>
            <w:pPr>
              <w:spacing w:after="0"/>
              <w:rPr>
                <w:sz w:val="16"/>
                <w:szCs w:val="16"/>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b w:val="1"/>
                <w:bCs w:val="1"/>
                <w:color w:val="auto"/>
                <w:w w:val="96"/>
              </w:rPr>
              <w:t>More than</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76"/>
              <w:spacing w:after="0"/>
              <w:rPr>
                <w:sz w:val="20"/>
                <w:szCs w:val="20"/>
                <w:color w:val="auto"/>
              </w:rPr>
            </w:pPr>
            <w:r>
              <w:rPr>
                <w:rFonts w:ascii="Arial" w:cs="Arial" w:eastAsia="Arial" w:hAnsi="Arial"/>
                <w:sz w:val="16"/>
                <w:szCs w:val="16"/>
                <w:b w:val="1"/>
                <w:bCs w:val="1"/>
                <w:color w:val="auto"/>
                <w:w w:val="87"/>
              </w:rPr>
              <w:t>2 - 3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6"/>
              <w:spacing w:after="0"/>
              <w:rPr>
                <w:sz w:val="20"/>
                <w:szCs w:val="20"/>
                <w:color w:val="auto"/>
              </w:rPr>
            </w:pPr>
            <w:r>
              <w:rPr>
                <w:rFonts w:ascii="Arial" w:cs="Arial" w:eastAsia="Arial" w:hAnsi="Arial"/>
                <w:sz w:val="16"/>
                <w:szCs w:val="16"/>
                <w:b w:val="1"/>
                <w:bCs w:val="1"/>
                <w:color w:val="auto"/>
              </w:rPr>
              <w:t>4 - 5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5 years</w:t>
            </w: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100"/>
              <w:spacing w:after="0" w:line="225"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4"/>
              </w:rPr>
              <w:t>1,011,886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20" w:firstLine="243"/>
        <w:spacing w:after="0" w:line="375" w:lineRule="auto"/>
        <w:rPr>
          <w:sz w:val="20"/>
          <w:szCs w:val="20"/>
          <w:color w:val="auto"/>
        </w:rPr>
      </w:pPr>
      <w:r>
        <w:rPr>
          <w:rFonts w:ascii="Arial" w:cs="Arial" w:eastAsia="Arial" w:hAnsi="Arial"/>
          <w:sz w:val="18"/>
          <w:szCs w:val="18"/>
          <w:color w:val="auto"/>
        </w:rPr>
        <w:t xml:space="preserve">(1) Purchase obligations consist primarily of program rights obligations, participations, residuals, and transmission and marketing commitments. </w:t>
      </w:r>
      <w:r>
        <w:rPr>
          <w:rFonts w:ascii="Arial" w:cs="Arial" w:eastAsia="Arial" w:hAnsi="Arial"/>
          <w:sz w:val="18"/>
          <w:szCs w:val="18"/>
          <w:b w:val="1"/>
          <w:bCs w:val="1"/>
          <w:color w:val="auto"/>
        </w:rPr>
        <w:t>Legal Matters</w:t>
      </w:r>
    </w:p>
    <w:p>
      <w:pPr>
        <w:spacing w:after="0" w:line="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On December 10, 2018, the Court denied Plaintiffs' motion for partial summary judgment and granted in part Defendants' motion for summary judgment, dismissing four of Plaintiffs' causes of action. The Company believes that the remaining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6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 xml:space="preserve">On January 18, 2018, the 2013 Plaintiffs filed a second action in New York Supreme Court in connection with Darabont’s services on </w:t>
      </w:r>
      <w:r>
        <w:rPr>
          <w:rFonts w:ascii="Arial" w:cs="Arial" w:eastAsia="Arial" w:hAnsi="Arial"/>
          <w:sz w:val="18"/>
          <w:szCs w:val="18"/>
          <w:i w:val="1"/>
          <w:iCs w:val="1"/>
          <w:color w:val="auto"/>
        </w:rPr>
        <w:t>The Walking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Dead </w:t>
      </w:r>
      <w:r>
        <w:rPr>
          <w:rFonts w:ascii="Arial" w:cs="Arial" w:eastAsia="Arial" w:hAnsi="Arial"/>
          <w:sz w:val="18"/>
          <w:szCs w:val="18"/>
          <w:color w:val="auto"/>
        </w:rPr>
        <w:t>television series and agreements between the parties related thereto. The claims in the action allegedly arise from Plaintiffs' audit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participation statements covering the accounting period from inception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Complaint, and on September 19, 2018, the Company answered. The parties have agreed to consolidate this action for a joint trial with the action Plaintiffs filed in the New York Supreme Court on December 17, 2013. Following the conclusion of discovery, the Company filed a motion for summary judgment seeking the dismissal of the second action, which was denied on April 13, 2020. On August 24, 2020, the Company filed a motion for leave to re-argue the previously denied motion for summary judgment. On December 31, 2020, Justice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Cohen granted the Company’s motion for reargument and issued a revised summary judgment decision that granted in part and denied in part the Company’s motion for summary judgment. Additionally, on July 8, 2020, the Company filed an appeal of the New York Supreme Court’s denial of its summary judgment motion to the New York Appellate Division, First Department. Oral argument on the appeal is scheduled for March 23, 2021. On February 16, 2021, Plaintiffs filed a motion for leave to reargue one aspect of the revised summary judgment decision that was issued on December 31, 2020.</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Due to the continued impact of the COVID-19 pandemic on the New York State courts, the joint trial, originally scheduled to begin on June 1, 2020, has been further delayed and is currently scheduled to begin on April 26, 2021.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79"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Fear the Walking Dead</w:t>
      </w:r>
      <w:r>
        <w:rPr>
          <w:rFonts w:ascii="Arial" w:cs="Arial" w:eastAsia="Arial" w:hAnsi="Arial"/>
          <w:sz w:val="16"/>
          <w:szCs w:val="16"/>
          <w:color w:val="auto"/>
        </w:rPr>
        <w:t xml:space="preserve"> and/or </w:t>
      </w:r>
      <w:r>
        <w:rPr>
          <w:rFonts w:ascii="Arial" w:cs="Arial" w:eastAsia="Arial" w:hAnsi="Arial"/>
          <w:sz w:val="16"/>
          <w:szCs w:val="16"/>
          <w:i w:val="1"/>
          <w:iCs w:val="1"/>
          <w:color w:val="auto"/>
        </w:rPr>
        <w:t>Talking Dead</w:t>
      </w:r>
      <w:r>
        <w:rPr>
          <w:rFonts w:ascii="Arial" w:cs="Arial" w:eastAsia="Arial" w:hAnsi="Arial"/>
          <w:sz w:val="16"/>
          <w:szCs w:val="16"/>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On August 8, 2019, the judge in the California Action ordered a trial to resolve certain issues of contract interpretation only. The trial commenced on February 10, 2020 and concluded on March 10, 2020 after eight days of trial. On July 22, 2020, the judge in the California Action issued a Statement of Decision finding in the Company's favor on all seven matters of contract interpretation before the court in this first phase trial. On October 30, 2020, the judge in the California Action set a tentative trial date of September 8, 2021 with regard to claims not addressed in the first phase trial. On January 20, 2021, the California Plaintiffs filed a second amended</w:t>
      </w:r>
    </w:p>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complaint, eliminating eight named defendants and the California Plaintiffs’ claims under Cal. Bus. &amp; Prof. Code § 17200. On February 9, 2021, the Company filed a demurrer and motion to strike seeking to dismiss claims in the second amended complaint that are barred by the Statement of Decision of July 22, 2020 in the first phase trial. The court has scheduled a hearing regarding the Company’s demurrer and motion to strike for April 1, 2021. The parties have resumed discovery in preparation for the September 2021 trial. At this time, no determination can be made as to the ultimate outcome of this litigation or the potential liability, if any, on the part of the Company.</w:t>
      </w:r>
    </w:p>
    <w:p>
      <w:pPr>
        <w:spacing w:after="0" w:line="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Redeemable Noncontrolling Interests</w:t>
      </w:r>
    </w:p>
    <w:p>
      <w:pPr>
        <w:spacing w:after="0" w:line="12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In connection with the 2018 acquisition of RLJE, the terms of the operating agreement provide the noncontrolling member with a right to put all of its noncontrolling interest to a subsidiary of the Company at the greater of the then fair market value or enterprise value of RLJE, in each case pursuant to the operating agreement and applied to the equity interest. The put option is exercisable following the seventh anniversary of the agreement, or earlier upon a change of control.</w:t>
      </w:r>
    </w:p>
    <w:p>
      <w:pPr>
        <w:spacing w:after="0" w:line="7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connection with the 2018 acquisition of Levity, the terms of the operating agreement provide the noncontrolling interest holders with a right to put 50% of their interests to a subsidiary of the Company on the fourth anniversary of the agreement and a right to put all of their interests to the Company on the sixth anniversary of the agreement. The put rights are at fair market value.</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2014, the Company, through a wholly-owned subsidiary, acquired 49.9% of the limited liability company interests of New Video Channel America L.L.C, that owns the cable channel BBC AMERICA. In connection with acquisition, the terms of the agreement provide the BBC with a right to put all of its 50.1% noncontrolling interest to a subsidiary of the Company at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greater of the then fair value or the fair value of the initial equity interest at the closing date of the agreement. The put option is exercisable on the fifteenth and twenty-fifth anniversary of the joint venture agreement.</w:t>
      </w:r>
    </w:p>
    <w:p>
      <w:pPr>
        <w:spacing w:after="0" w:line="3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Because exercise of these put rights is outside the Company's control, the noncontrolling interest in each entity is presented as redeemable noncontrolling interest outside of stockholders' equity on the Company's consolidated balance sheet. The activity reflected within redeemable noncontrolling interests for the years ended December 31, 2020 and 2019 is presented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right"/>
              <w:ind w:right="52"/>
              <w:spacing w:after="0"/>
              <w:rPr>
                <w:sz w:val="20"/>
                <w:szCs w:val="20"/>
                <w:color w:val="auto"/>
              </w:rPr>
            </w:pPr>
            <w:r>
              <w:rPr>
                <w:rFonts w:ascii="Arial" w:cs="Arial" w:eastAsia="Arial" w:hAnsi="Arial"/>
                <w:sz w:val="16"/>
                <w:szCs w:val="16"/>
                <w:b w:val="1"/>
                <w:bCs w:val="1"/>
                <w:color w:val="auto"/>
                <w:w w:val="91"/>
              </w:rPr>
              <w:t>Redeemable Noncontrolling</w:t>
            </w:r>
          </w:p>
        </w:tc>
      </w:tr>
      <w:tr>
        <w:trPr>
          <w:trHeight w:val="21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Interest</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299,558</w:t>
            </w:r>
          </w:p>
        </w:tc>
      </w:tr>
      <w:tr>
        <w:trPr>
          <w:trHeight w:val="229"/>
        </w:trPr>
        <w:tc>
          <w:tcPr>
            <w:tcW w:w="902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22,320</w:t>
            </w: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r>
      <w:tr>
        <w:trPr>
          <w:trHeight w:val="230"/>
        </w:trPr>
        <w:tc>
          <w:tcPr>
            <w:tcW w:w="9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309,451</w:t>
            </w: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15,878</w:t>
            </w: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(14,782)</w:t>
            </w:r>
          </w:p>
        </w:tc>
      </w:tr>
      <w:tr>
        <w:trPr>
          <w:trHeight w:val="229"/>
        </w:trPr>
        <w:tc>
          <w:tcPr>
            <w:tcW w:w="9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315,649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Equity and Long-Term Incentive Plans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June 8, 2016, the Company's shareholders approved the AMC Networks Inc. 2016 Employee Stock Plan (the "2016 Employee Stock Plan") and the AMC Networks Inc. 2016 Executive Cash Incentive Plan (the "2016 Cash Incentive Plan"). On June 5, 2012, the Company's shareholders approved the AMC Networks Inc. 2011 Stock Plan for Non-Employee Directors (the "2011 Non-Employee Director Plan").</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On June 11, 2020, the Company adopted the Amended and Restated 2016 Employee Stock Plan (the "2016 Employee Stock Plan"). The 2016 Employee Stock Plan provides for the grants of incentive stock options, non-qualified stock options, stock appreciation rights, restricted shares, restricted stock units and other equity-based awards (collectively, "awards"). Under the 2016 Employee Stock Plan, the Company may grant awards for up to 12,000,000 shares of AMC Networks Class A Common Stock (subject to certain adjustments). Equity-based awards granted under the 2016 Employee Stock Plan must be granted with an exercise price of not less than the fair market value of a share of AMC Networks Class A Common Stock on the date of grant and must expire no later than 10 years from the date of grant. The terms and conditions of awards granted under the 2016 Employee Stock Plan, including vesting and exercisability, are determined by the Compensation Committee of the Board of Directors ("Compensation Committee") and may include terms or conditions based upon performance criteria.</w:t>
      </w:r>
    </w:p>
    <w:p>
      <w:pPr>
        <w:spacing w:after="0" w:line="70"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Awards issued to employees under the 2016 Employee Stock Plan will settle in shares of the Company's Class A Common Stock (either from treasury or with newly issued shares), or, at the option of the Compensation Committee, in cash. As of December 31, 2020, there are 8,190,943 share awards available for future grant under the 2016 Employee Stock Plan. For the purpose of calculating the remaining shares available for issuance under the 2016 Employee Stock Plan, awards containing performance criteria are excluded based on the maximum potential performance target that can be achieved.</w:t>
      </w:r>
    </w:p>
    <w:p>
      <w:pPr>
        <w:spacing w:after="0" w:line="49"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On June 11, 2020, the Company adopted the Amended and Restated 2011 Stock Plan for Non-Employee Directors (the "2011 Non-Employee Director Stock Plan"). Under the 2011 Non-Employee Director Plan, the Company is authorized to grant non-qualified stock options, restricted stock units, restricted shares, stock appreciation rights and other equity-based awards. The Company may grant awards for up to 665,000 shares of AMC Networks Class A Common Stock (subject to certain adjustments). Stock options under the 2011 Non-Employee Director Plan must be granted with an exercise price of not less than the fair market value of a share of AMC Networks Class A Common Stock on the date of grant and must expire no later than 10 years from the date of grant. The terms and conditions of awards granted under the 2011 Non-Employee Director Plan, including vesting and exercisability, are determined by the Compensation Committee. Unless otherwise provided in an applicable award agreement, stock options granted under this plan will be fully vested and exercisable, and restricted stock units granted under this plan will be fully vested, upon the date of grant and will settle in shares of the Company's Class A Common Stock (either from treasury or with newly issued shares), or, at the option of the Compensation Committee, in cash, on the first business day after ninety days from the date the director's service on the Board of Directors ceases or, if earlier, upon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director's death. As of December 31, 2020, there are 266,810 shares available for future grant under the 2011 Non-Employee Director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Restricted Stock Unit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activity relating to Company employees who held AMC Networks restricted stock units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Performance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3"/>
              </w:rPr>
              <w:t>Fair Value Per</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8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Restricted</w:t>
            </w: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2"/>
              </w:rPr>
              <w:t>Stock Unit at Date of</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Stock Units</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3"/>
              <w:spacing w:after="0"/>
              <w:rPr>
                <w:sz w:val="20"/>
                <w:szCs w:val="20"/>
                <w:color w:val="auto"/>
              </w:rPr>
            </w:pPr>
            <w:r>
              <w:rPr>
                <w:rFonts w:ascii="Arial" w:cs="Arial" w:eastAsia="Arial" w:hAnsi="Arial"/>
                <w:sz w:val="16"/>
                <w:szCs w:val="16"/>
                <w:b w:val="1"/>
                <w:bCs w:val="1"/>
                <w:color w:val="auto"/>
                <w:w w:val="98"/>
              </w:rPr>
              <w:t>Grant</w:t>
            </w:r>
          </w:p>
        </w:tc>
        <w:tc>
          <w:tcPr>
            <w:tcW w:w="0" w:type="dxa"/>
            <w:vAlign w:val="bottom"/>
          </w:tcPr>
          <w:p>
            <w:pPr>
              <w:spacing w:after="0"/>
              <w:rPr>
                <w:sz w:val="1"/>
                <w:szCs w:val="1"/>
                <w:color w:val="auto"/>
              </w:rPr>
            </w:pPr>
          </w:p>
        </w:tc>
      </w:tr>
      <w:tr>
        <w:trPr>
          <w:trHeight w:val="22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2018</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881,477</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2,384,767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371,673</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582,282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Released/Vested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(410,865)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(81,854)</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(77,617)</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2019</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760,431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2,369,901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824,946</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335,472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Released/Vested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(322,458)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(260,382)</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(369,650)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2020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1,002,537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1,477,622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restricted stock units granted vest ratably over a three or four year period.</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 year period. The number of shares issuable at the end of the applicable measurement period ranges from 0% to 200% of the target PRSU award.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activity relating to Non-employee Directors who held AMC Networks restricted stock units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5"/>
              </w:rPr>
              <w:t>Fair Value Per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3"/>
              </w:rPr>
              <w:t>Stock Unit at Date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Grant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2018</w:t>
            </w:r>
          </w:p>
        </w:tc>
        <w:tc>
          <w:tcPr>
            <w:tcW w:w="33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Granted</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34,678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Released/Vested</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Vested award balance, December 31, 2019</w:t>
            </w:r>
          </w:p>
        </w:tc>
        <w:tc>
          <w:tcPr>
            <w:tcW w:w="332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Released/Vested</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(43,938)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2020</w:t>
            </w:r>
          </w:p>
        </w:tc>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260,365</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080" w:type="dxa"/>
            <w:vAlign w:val="bottom"/>
            <w:gridSpan w:val="2"/>
          </w:tcPr>
          <w:p>
            <w:pPr>
              <w:jc w:val="right"/>
              <w:ind w:right="3475"/>
              <w:spacing w:after="0"/>
              <w:rPr>
                <w:sz w:val="20"/>
                <w:szCs w:val="20"/>
                <w:color w:val="auto"/>
              </w:rPr>
            </w:pPr>
            <w:r>
              <w:rPr>
                <w:rFonts w:ascii="Arial" w:cs="Arial" w:eastAsia="Arial" w:hAnsi="Arial"/>
                <w:sz w:val="18"/>
                <w:szCs w:val="18"/>
                <w:color w:val="auto"/>
              </w:rPr>
              <w:t>F-39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Stock Option Award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activity relating to employees of the Company who held unvested AMC Networks stock options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Shares Under</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360" w:type="dxa"/>
            <w:vAlign w:val="bottom"/>
          </w:tcPr>
          <w:p>
            <w:pPr>
              <w:spacing w:after="0"/>
              <w:rPr>
                <w:sz w:val="5"/>
                <w:szCs w:val="5"/>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5360" w:type="dxa"/>
            <w:vAlign w:val="bottom"/>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1"/>
              </w:rPr>
              <w:t>Weighted</w:t>
            </w:r>
          </w:p>
        </w:tc>
        <w:tc>
          <w:tcPr>
            <w:tcW w:w="1480" w:type="dxa"/>
            <w:vAlign w:val="bottom"/>
            <w:gridSpan w:val="2"/>
          </w:tcPr>
          <w:p>
            <w:pPr>
              <w:jc w:val="center"/>
              <w:ind w:right="80"/>
              <w:spacing w:after="0" w:line="142" w:lineRule="exact"/>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148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6"/>
              </w:rPr>
              <w:t>Time</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88"/>
              </w:rPr>
              <w:t>Average</w:t>
            </w:r>
          </w:p>
        </w:tc>
        <w:tc>
          <w:tcPr>
            <w:tcW w:w="148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3"/>
                <w:szCs w:val="13"/>
                <w:color w:val="auto"/>
              </w:rPr>
            </w:pPr>
          </w:p>
        </w:tc>
        <w:tc>
          <w:tcPr>
            <w:tcW w:w="1160" w:type="dxa"/>
            <w:vAlign w:val="bottom"/>
          </w:tcPr>
          <w:p>
            <w:pPr>
              <w:jc w:val="center"/>
              <w:ind w:right="133"/>
              <w:spacing w:after="0" w:line="155" w:lineRule="exact"/>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4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Vesting</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14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Term</w:t>
            </w:r>
          </w:p>
        </w:tc>
        <w:tc>
          <w:tcPr>
            <w:tcW w:w="240" w:type="dxa"/>
            <w:vAlign w:val="bottom"/>
          </w:tcPr>
          <w:p>
            <w:pPr>
              <w:spacing w:after="0"/>
              <w:rPr>
                <w:sz w:val="14"/>
                <w:szCs w:val="14"/>
                <w:color w:val="auto"/>
              </w:rPr>
            </w:pPr>
          </w:p>
        </w:tc>
        <w:tc>
          <w:tcPr>
            <w:tcW w:w="116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Options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 years)</w:t>
            </w:r>
          </w:p>
        </w:tc>
        <w:tc>
          <w:tcPr>
            <w:tcW w:w="240" w:type="dxa"/>
            <w:vAlign w:val="bottom"/>
          </w:tcPr>
          <w:p>
            <w:pPr>
              <w:spacing w:after="0"/>
              <w:rPr>
                <w:sz w:val="18"/>
                <w:szCs w:val="18"/>
                <w:color w:val="auto"/>
              </w:rPr>
            </w:pPr>
          </w:p>
        </w:tc>
        <w:tc>
          <w:tcPr>
            <w:tcW w:w="116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Value(a)</w:t>
            </w:r>
          </w:p>
        </w:tc>
        <w:tc>
          <w:tcPr>
            <w:tcW w:w="0" w:type="dxa"/>
            <w:vAlign w:val="bottom"/>
          </w:tcPr>
          <w:p>
            <w:pPr>
              <w:spacing w:after="0"/>
              <w:rPr>
                <w:sz w:val="1"/>
                <w:szCs w:val="1"/>
                <w:color w:val="auto"/>
              </w:rPr>
            </w:pP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1"/>
              </w:rPr>
              <w:t>7.79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(95,962)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CCEEFF"/>
            </w:tcBorders>
            <w:shd w:val="clear" w:color="auto" w:fill="CCEEFF"/>
          </w:tcPr>
          <w:p>
            <w:pPr>
              <w:jc w:val="center"/>
              <w:ind w:left="935"/>
              <w:spacing w:after="0"/>
              <w:rPr>
                <w:sz w:val="20"/>
                <w:szCs w:val="20"/>
                <w:color w:val="auto"/>
              </w:rPr>
            </w:pPr>
            <w:r>
              <w:rPr>
                <w:rFonts w:ascii="Arial" w:cs="Arial" w:eastAsia="Arial" w:hAnsi="Arial"/>
                <w:sz w:val="18"/>
                <w:szCs w:val="18"/>
                <w:color w:val="auto"/>
                <w:w w:val="91"/>
              </w:rPr>
              <w:t>6.79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1"/>
              </w:rPr>
              <w:t>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at December 31, 2020</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202,961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48.26</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ind w:left="935"/>
              <w:spacing w:after="0" w:line="203" w:lineRule="exact"/>
              <w:rPr>
                <w:sz w:val="20"/>
                <w:szCs w:val="20"/>
                <w:color w:val="auto"/>
              </w:rPr>
            </w:pPr>
            <w:r>
              <w:rPr>
                <w:rFonts w:ascii="Arial" w:cs="Arial" w:eastAsia="Arial" w:hAnsi="Arial"/>
                <w:sz w:val="18"/>
                <w:szCs w:val="18"/>
                <w:color w:val="auto"/>
                <w:w w:val="91"/>
              </w:rPr>
              <w:t>5.79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expected to vest in the future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center"/>
              <w:ind w:left="95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right="40" w:hanging="329"/>
        <w:spacing w:after="0" w:line="277" w:lineRule="auto"/>
        <w:tabs>
          <w:tab w:leader="none" w:pos="5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(i) the exercise price of the underlying award and (ii) the quoted price of AMC Networks Class A Common Stock on the reporting date, as indicated.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Share-based Compensation Expense</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recorded share-based compensation expense of $52.9 million, $64.1 million and $61.0 million, reduced for forfeitures, for the years ended December 31, 2020, 2019 and 2018, respectively. Forfeitures are estimated based on historical experience. To the extent actual results of forfeitures differ from those estimates, such amounts are recorded as an adjustment in the period the estimates are revised.</w:t>
      </w:r>
    </w:p>
    <w:p>
      <w:pPr>
        <w:spacing w:after="0" w:line="7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Share-based compensation expense is recognized in the consolidated statements of income as part of selling, general and administrative expenses. As of December 31, 2020, there was $28.9 million of total unrecognized share-based compensation costs related to Company employees who held unvested AMC Networks restricted stock units and options. The unrecognized compensation cost is expected to be recognized over a weighted-average remaining period of approximately 1.70 years. There were no costs related to share-based compensation that were capitalized.</w:t>
      </w:r>
    </w:p>
    <w:p>
      <w:pPr>
        <w:spacing w:after="0" w:line="63"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The Company receives income tax deductions related to restricted stock units, stock options or other equity awards granted to its employees by the Company. The Company uses the 'with-and-without' approach to determine the recognition and measurement of excess tax benefits and deficiencies.</w:t>
      </w:r>
    </w:p>
    <w:p>
      <w:pPr>
        <w:spacing w:after="0" w:line="1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Cash flows resulting from excess tax benefits and deficiencies are classified along with other income tax cash flows as an operating activity. Excess tax benefits are realized tax benefits from tax deductions for options exercised and restricted shares issued, in excess of the deferred tax asset attributable to stock compensation costs for such awards. Excess tax deficiencies are realized deficiencies from tax deductions being less than the deferred tax asset. Excess tax deficiencies of $8.4 million were recorded for the year ended December 31, 2020. Excess tax benefits of $0.1 million were recorded for the year ended December 31, 2019 and excess tax deficiencies of $2.0 million were recorded for the year ended December 31, 2018.</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Under the terms of the 2016 Cash Incentive Plan, the Company is authorized to grant a cash or equity based award to certain employees. The terms and conditions of such awards are determined by the Compensation Committee of the Company's Board of Directors, may include the achievement of certain performance criteria and may extend for a period not to exceed ten years. During 2020, the Company granted long-term incentive cash awards. During 2016 through 2019, the Company granted long-term incentive awards in the form of PRSUs.</w:t>
      </w:r>
    </w:p>
    <w:p>
      <w:pPr>
        <w:spacing w:after="0" w:line="6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connection with the long-term incentive awards outstanding, the Company recorded expense of $13.9 million, $0.0 million, and $1.3 million for the years ended December 31, 2020, 2019 and 2018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Benefit Plans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Certain employees of the Company participate in the AMC Networks 401(k) Savings Plan (the "401(k) Plan"), a qualified defined contribution plan, and the AMC Networks Excess Savings Plan (the "Excess Savings Plan"), a non-qualified deferred compensation plan. Under the 401(k) Plan, participating Company employees may contribute into their plan accounts a percentage of their eligible pay on a before-tax basis as well as a percentage of their eligible pay on an after-tax basis.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makes matching contributions on behalf of participating employees in accordance with the terms of the 401(k) Plan. In addition to the matching contribution, the Company may make a discretionary year-end contribution to employee 401(k) Plan and Excess Savings Plan accounts, subject to certain conditions.</w:t>
      </w:r>
    </w:p>
    <w:p>
      <w:pPr>
        <w:spacing w:after="0" w:line="7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Total expense related to all benefit plans was $9.3 million, $8.3 million and $5.9 million for the years ended December 31, 2020, 2019 and 2018, respectively. The Company does not provide postretirement benefits for any of its employees.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Related Party Transactions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On June 30, 2011, Cablevision spun off the Company (the "Distribution") and the Company became an independent public company. At the time of the Distribution, both Cablevision and AMC Networks were controlled by Charles F. Dolan, certain members of his immediate family and certain family related entities (collectively the "Dolan Family").</w:t>
      </w:r>
    </w:p>
    <w:p>
      <w:pPr>
        <w:spacing w:after="0" w:line="7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Members of the Dolan Family, for purposes of Section 13(d) of the Securities Exchange Act of 1934, as amended, including trusts for the benefit of the Dolan Family, collectively beneficially own all of the Company's outstanding Class B Common Stock and own approximately 4% of the Company's outstanding Class A Common Stock. Such shares of the Company's Class A Common Stock and Class B Common Stock, collectively, represent approximately 80% of the aggregate voting power of the Company's outstanding common stock. Members of the Dolan Family are also the controlling stockholders of Madison Square Garden Sports Corp. ("MSGS"), Madison Square Garden Entertainment Corp. ("MSGE"), and MSG Networks Inc. ("MSG Networks").</w:t>
      </w:r>
    </w:p>
    <w:p>
      <w:pPr>
        <w:spacing w:after="0" w:line="8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From time to time the Company enters into arrangements with 605, LLC. James L. Dolan, the Chairman and a director of the Company, and his spouse, Kristin A. Dolan, a director of the Company, own 50% of 605, LLC. Kristin A. Dolan is also the founder and Chief Executive Officer of 605, LLC. 605, LLC provides audience measurement and data analytics services to the Company and its subsidiaries in the ordinary course of business.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provides services to and receives services from MSGS, MSGE, and MSG Networks.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 net</w:t>
      </w:r>
    </w:p>
    <w:p>
      <w:pPr>
        <w:spacing w:after="0" w:line="11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Company and its related parties routinely enter into transactions with each other in the ordinary course of business. Revenues, net from related parties amounted to $4.8 million, $4.8 million and $5.6 million for the years ended December 31, 2020, 2019 and 2018, respectively.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Amounts charged to the Company, included in selling, general and administrative expenses, pursuant to a transition services agreement and for other transactions with its related parties amounted to $0.5 million, $1.0 million and $1.6 million for the years ended December 31, 2020, 2019 and 2018, respectively.</w:t>
      </w:r>
    </w:p>
    <w:p>
      <w:pPr>
        <w:spacing w:after="0" w:line="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AMC Networks has an arrangement with the Dolan Family Office, LLC ("DFO"), MSGS, MSGE and MSG Networks providing for the sharing of certain expenses associated with executive office space which are available to Charles F. Dolan (the Chairman Emeritus and a director of the Company and a director of MSGS, MSGE and MSG Networks), James L. Dolan (the Non-Executive Chairman and a director of the Company and a director of MSGS, MSGE and MSG Networks), and the DFO which is controlled by Charles F. Dolan. The Company's share of initial set-up costs and office expenses was not material.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2020, 2019 and 2018, the Company's non-cash investing and financing activities and other supplemental data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8"/>
          </w:tcPr>
          <w:p>
            <w:pPr>
              <w:jc w:val="center"/>
              <w:ind w:left="933"/>
              <w:spacing w:after="0"/>
              <w:rPr>
                <w:sz w:val="20"/>
                <w:szCs w:val="20"/>
                <w:color w:val="auto"/>
              </w:rPr>
            </w:pPr>
            <w:r>
              <w:rPr>
                <w:rFonts w:ascii="Arial" w:cs="Arial" w:eastAsia="Arial" w:hAnsi="Arial"/>
                <w:sz w:val="16"/>
                <w:szCs w:val="16"/>
                <w:b w:val="1"/>
                <w:bCs w:val="1"/>
                <w:color w:val="auto"/>
                <w:w w:val="90"/>
              </w:rPr>
              <w:t>Years Ended December 31,</w:t>
            </w:r>
          </w:p>
        </w:tc>
        <w:tc>
          <w:tcPr>
            <w:tcW w:w="1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i w:val="1"/>
                <w:iCs w:val="1"/>
                <w:color w:val="auto"/>
              </w:rPr>
              <w:t>Continuing Operations: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additions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Treasury stock not yet settled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RLJE Warrants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Capital expenditures incurred but not yet paid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Supplemental Data:</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Cash interest paid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131,167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151,501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 net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6740" w:type="dxa"/>
            <w:vAlign w:val="bottom"/>
          </w:tcPr>
          <w:p>
            <w:pPr>
              <w:spacing w:after="0"/>
              <w:rPr>
                <w:sz w:val="20"/>
                <w:szCs w:val="20"/>
                <w:color w:val="auto"/>
              </w:rPr>
            </w:pPr>
            <w:r>
              <w:rPr>
                <w:rFonts w:ascii="Arial" w:cs="Arial" w:eastAsia="Arial" w:hAnsi="Arial"/>
                <w:sz w:val="18"/>
                <w:szCs w:val="18"/>
                <w:b w:val="1"/>
                <w:bCs w:val="1"/>
                <w:color w:val="auto"/>
              </w:rPr>
              <w:t>Note 22. Accumulated Other Comprehensive Loss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340"/>
              <w:spacing w:after="0"/>
              <w:rPr>
                <w:sz w:val="20"/>
                <w:szCs w:val="20"/>
                <w:color w:val="auto"/>
              </w:rPr>
            </w:pPr>
            <w:r>
              <w:rPr>
                <w:rFonts w:ascii="Arial" w:cs="Arial" w:eastAsia="Arial" w:hAnsi="Arial"/>
                <w:sz w:val="18"/>
                <w:szCs w:val="18"/>
                <w:color w:val="auto"/>
                <w:w w:val="93"/>
              </w:rPr>
              <w:t>The following table details the components of accumulated other comprehensive loss: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6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jc w:val="center"/>
              <w:ind w:right="240"/>
              <w:spacing w:after="0"/>
              <w:rPr>
                <w:sz w:val="20"/>
                <w:szCs w:val="20"/>
                <w:color w:val="auto"/>
              </w:rPr>
            </w:pPr>
            <w:r>
              <w:rPr>
                <w:rFonts w:ascii="Arial" w:cs="Arial" w:eastAsia="Arial" w:hAnsi="Arial"/>
                <w:sz w:val="16"/>
                <w:szCs w:val="16"/>
                <w:b w:val="1"/>
                <w:bCs w:val="1"/>
                <w:color w:val="auto"/>
                <w:w w:val="91"/>
              </w:rPr>
              <w:t>Year Ended December 31, 2020</w:t>
            </w:r>
          </w:p>
        </w:tc>
        <w:tc>
          <w:tcPr>
            <w:tcW w:w="0" w:type="dxa"/>
            <w:vAlign w:val="bottom"/>
          </w:tcPr>
          <w:p>
            <w:pPr>
              <w:spacing w:after="0"/>
              <w:rPr>
                <w:sz w:val="1"/>
                <w:szCs w:val="1"/>
                <w:color w:val="auto"/>
              </w:rPr>
            </w:pPr>
          </w:p>
        </w:tc>
      </w:tr>
      <w:tr>
        <w:trPr>
          <w:trHeight w:val="348"/>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24"/>
                <w:szCs w:val="24"/>
                <w:color w:val="auto"/>
              </w:rPr>
            </w:pPr>
          </w:p>
        </w:tc>
        <w:tc>
          <w:tcPr>
            <w:tcW w:w="140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87"/>
              </w:rPr>
              <w:t>Gains (Losses) on</w:t>
            </w:r>
          </w:p>
        </w:tc>
        <w:tc>
          <w:tcPr>
            <w:tcW w:w="2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Adjustment</w:t>
            </w:r>
          </w:p>
        </w:tc>
        <w:tc>
          <w:tcPr>
            <w:tcW w:w="1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Cash Flow Hedges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Loss</w:t>
            </w:r>
          </w:p>
        </w:tc>
        <w:tc>
          <w:tcPr>
            <w:tcW w:w="0" w:type="dxa"/>
            <w:vAlign w:val="bottom"/>
          </w:tcPr>
          <w:p>
            <w:pPr>
              <w:spacing w:after="0"/>
              <w:rPr>
                <w:sz w:val="1"/>
                <w:szCs w:val="1"/>
                <w:color w:val="auto"/>
              </w:rPr>
            </w:pPr>
          </w:p>
        </w:tc>
      </w:tr>
      <w:tr>
        <w:trPr>
          <w:trHeight w:val="232"/>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(1,508)</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(167,711)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 before income taxes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 net of income taxes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(134,950)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6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jc w:val="center"/>
              <w:ind w:right="240"/>
              <w:spacing w:after="0"/>
              <w:rPr>
                <w:sz w:val="20"/>
                <w:szCs w:val="20"/>
                <w:color w:val="auto"/>
              </w:rPr>
            </w:pPr>
            <w:r>
              <w:rPr>
                <w:rFonts w:ascii="Arial" w:cs="Arial" w:eastAsia="Arial" w:hAnsi="Arial"/>
                <w:sz w:val="16"/>
                <w:szCs w:val="16"/>
                <w:b w:val="1"/>
                <w:bCs w:val="1"/>
                <w:color w:val="auto"/>
                <w:w w:val="91"/>
              </w:rPr>
              <w:t>Year Ended December 31, 2019</w:t>
            </w:r>
          </w:p>
        </w:tc>
        <w:tc>
          <w:tcPr>
            <w:tcW w:w="0" w:type="dxa"/>
            <w:vAlign w:val="bottom"/>
          </w:tcPr>
          <w:p>
            <w:pPr>
              <w:spacing w:after="0"/>
              <w:rPr>
                <w:sz w:val="1"/>
                <w:szCs w:val="1"/>
                <w:color w:val="auto"/>
              </w:rPr>
            </w:pPr>
          </w:p>
        </w:tc>
      </w:tr>
      <w:tr>
        <w:trPr>
          <w:trHeight w:val="348"/>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24"/>
                <w:szCs w:val="24"/>
                <w:color w:val="auto"/>
              </w:rPr>
            </w:pPr>
          </w:p>
        </w:tc>
        <w:tc>
          <w:tcPr>
            <w:tcW w:w="140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87"/>
              </w:rPr>
              <w:t>Gains (Losses) on</w:t>
            </w:r>
          </w:p>
        </w:tc>
        <w:tc>
          <w:tcPr>
            <w:tcW w:w="2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Adjustment</w:t>
            </w:r>
          </w:p>
        </w:tc>
        <w:tc>
          <w:tcPr>
            <w:tcW w:w="1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Cash Flow Hedges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Loss</w:t>
            </w:r>
          </w:p>
        </w:tc>
        <w:tc>
          <w:tcPr>
            <w:tcW w:w="0" w:type="dxa"/>
            <w:vAlign w:val="bottom"/>
          </w:tcPr>
          <w:p>
            <w:pPr>
              <w:spacing w:after="0"/>
              <w:rPr>
                <w:sz w:val="1"/>
                <w:szCs w:val="1"/>
                <w:color w:val="auto"/>
              </w:rPr>
            </w:pPr>
          </w:p>
        </w:tc>
      </w:tr>
      <w:tr>
        <w:trPr>
          <w:trHeight w:val="22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(160,194)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current-period other comprehensive (loss), before income taxes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(loss), net of income taxes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(167,711)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Amounts reclassified to net earnings for gains and losses on cash flow hedges designated as hedging instruments are included in interest expense in the consolidated statements of income.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generally allocates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2" w:name="page113"/>
    <w:bookmarkEnd w:id="112"/>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a non-GAAP measure. The Company defines AOI as operating income (loss) before depreciation and amortization, cloud computing amortization, share-based compensation expense or benefit, impairment charges (including gains or losses on sales or dispositions of businesses), restructuring and other related charges and including the Company’s proportionate share of adjusted operating income (loss) from majority-owned equity method investees. The Company has presented a reconciliation of adjusted operating income to operating income, (the closest GAAP measure),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Year Ended December 31, 2020</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6"/>
                <w:szCs w:val="16"/>
                <w:color w:val="auto"/>
              </w:rPr>
            </w:pPr>
          </w:p>
        </w:tc>
        <w:tc>
          <w:tcPr>
            <w:tcW w:w="136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802,332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74,338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875,816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1,939,140</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2,096,169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2,814,956</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442,644</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42,536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52,908</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104,606</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122,227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122,227</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760,053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766,611</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46,595</w:t>
            </w:r>
          </w:p>
        </w:tc>
        <w:tc>
          <w:tcPr>
            <w:tcW w:w="0" w:type="dxa"/>
            <w:vAlign w:val="bottom"/>
          </w:tcPr>
          <w:p>
            <w:pPr>
              <w:spacing w:after="0"/>
              <w:rPr>
                <w:sz w:val="1"/>
                <w:szCs w:val="1"/>
                <w:color w:val="auto"/>
              </w:rPr>
            </w:pPr>
          </w:p>
        </w:tc>
      </w:tr>
      <w:tr>
        <w:trPr>
          <w:trHeight w:val="739"/>
        </w:trPr>
        <w:tc>
          <w:tcPr>
            <w:tcW w:w="4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Year Ended December 31, 2019</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6"/>
                <w:szCs w:val="16"/>
                <w:color w:val="auto"/>
              </w:rPr>
            </w:pPr>
          </w:p>
        </w:tc>
        <w:tc>
          <w:tcPr>
            <w:tcW w:w="136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904,253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89,659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993,833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2,066,488</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2,369,044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734,143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3,060,321</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625,277</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64,133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101,098</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106,603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106,603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943,990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40" w:type="dxa"/>
            <w:vAlign w:val="bottom"/>
            <w:tcBorders>
              <w:top w:val="single" w:sz="8" w:color="CCEEFF"/>
            </w:tcBorders>
            <w:vMerge w:val="continue"/>
          </w:tcPr>
          <w:p>
            <w:pPr>
              <w:spacing w:after="0"/>
              <w:rPr>
                <w:sz w:val="17"/>
                <w:szCs w:val="17"/>
                <w:color w:val="auto"/>
              </w:rPr>
            </w:pPr>
          </w:p>
        </w:tc>
        <w:tc>
          <w:tcPr>
            <w:tcW w:w="280" w:type="dxa"/>
            <w:vAlign w:val="bottom"/>
            <w:tcBorders>
              <w:top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36,199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55,405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4"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10"/>
              <w:spacing w:after="0" w:line="204"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91,604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Year Ended December 31, 2018</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Inter-segment</w:t>
            </w:r>
          </w:p>
        </w:tc>
        <w:tc>
          <w:tcPr>
            <w:tcW w:w="220" w:type="dxa"/>
            <w:vAlign w:val="bottom"/>
          </w:tcPr>
          <w:p>
            <w:pPr>
              <w:spacing w:after="0"/>
              <w:rPr>
                <w:sz w:val="16"/>
                <w:szCs w:val="16"/>
                <w:color w:val="auto"/>
              </w:rPr>
            </w:pPr>
          </w:p>
        </w:tc>
        <w:tc>
          <w:tcPr>
            <w:tcW w:w="136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0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944,675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91,404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1,036,079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1,468,650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1,935,850</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2,413,325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598,306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2,971,929</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726,909</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60,979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45,847</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932,545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40" w:type="dxa"/>
            <w:vAlign w:val="bottom"/>
            <w:vMerge w:val="continue"/>
          </w:tcPr>
          <w:p>
            <w:pPr>
              <w:spacing w:after="0"/>
              <w:rPr>
                <w:sz w:val="17"/>
                <w:szCs w:val="17"/>
                <w:color w:val="auto"/>
              </w:rPr>
            </w:pPr>
          </w:p>
        </w:tc>
        <w:tc>
          <w:tcPr>
            <w:tcW w:w="280" w:type="dxa"/>
            <w:vAlign w:val="bottom"/>
          </w:tcPr>
          <w:p>
            <w:pPr>
              <w:jc w:val="right"/>
              <w:ind w:right="90"/>
              <w:spacing w:after="0" w:line="204"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4" w:lineRule="exact"/>
              <w:rPr>
                <w:sz w:val="20"/>
                <w:szCs w:val="20"/>
                <w:color w:val="auto"/>
              </w:rPr>
            </w:pPr>
            <w:r>
              <w:rPr>
                <w:rFonts w:ascii="Arial" w:cs="Arial" w:eastAsia="Arial" w:hAnsi="Arial"/>
                <w:sz w:val="18"/>
                <w:szCs w:val="18"/>
                <w:color w:val="auto"/>
              </w:rPr>
              <w:t>16,316</w:t>
            </w:r>
          </w:p>
        </w:tc>
        <w:tc>
          <w:tcPr>
            <w:tcW w:w="100" w:type="dxa"/>
            <w:vAlign w:val="bottom"/>
          </w:tcPr>
          <w:p>
            <w:pPr>
              <w:spacing w:after="0"/>
              <w:rPr>
                <w:sz w:val="17"/>
                <w:szCs w:val="17"/>
                <w:color w:val="auto"/>
              </w:rPr>
            </w:pPr>
          </w:p>
        </w:tc>
        <w:tc>
          <w:tcPr>
            <w:tcW w:w="220" w:type="dxa"/>
            <w:vAlign w:val="bottom"/>
          </w:tcPr>
          <w:p>
            <w:pPr>
              <w:jc w:val="right"/>
              <w:ind w:right="30"/>
              <w:spacing w:after="0" w:line="204"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4" w:lineRule="exact"/>
              <w:rPr>
                <w:sz w:val="20"/>
                <w:szCs w:val="20"/>
                <w:color w:val="auto"/>
              </w:rPr>
            </w:pPr>
            <w:r>
              <w:rPr>
                <w:rFonts w:ascii="Arial" w:cs="Arial" w:eastAsia="Arial" w:hAnsi="Arial"/>
                <w:sz w:val="18"/>
                <w:szCs w:val="18"/>
                <w:color w:val="auto"/>
              </w:rPr>
              <w:t>73,486</w:t>
            </w:r>
          </w:p>
        </w:tc>
        <w:tc>
          <w:tcPr>
            <w:tcW w:w="120" w:type="dxa"/>
            <w:vAlign w:val="bottom"/>
          </w:tcPr>
          <w:p>
            <w:pPr>
              <w:spacing w:after="0"/>
              <w:rPr>
                <w:sz w:val="17"/>
                <w:szCs w:val="17"/>
                <w:color w:val="auto"/>
              </w:rPr>
            </w:pPr>
          </w:p>
        </w:tc>
        <w:tc>
          <w:tcPr>
            <w:tcW w:w="200" w:type="dxa"/>
            <w:vAlign w:val="bottom"/>
          </w:tcPr>
          <w:p>
            <w:pPr>
              <w:jc w:val="right"/>
              <w:ind w:right="10"/>
              <w:spacing w:after="0" w:line="204" w:lineRule="exact"/>
              <w:rPr>
                <w:sz w:val="20"/>
                <w:szCs w:val="20"/>
                <w:color w:val="auto"/>
              </w:rPr>
            </w:pPr>
            <w:r>
              <w:rPr>
                <w:rFonts w:ascii="Arial" w:cs="Arial" w:eastAsia="Arial" w:hAnsi="Arial"/>
                <w:sz w:val="18"/>
                <w:szCs w:val="18"/>
                <w:color w:val="auto"/>
                <w:w w:val="79"/>
              </w:rPr>
              <w:t>$</w:t>
            </w:r>
          </w:p>
        </w:tc>
        <w:tc>
          <w:tcPr>
            <w:tcW w:w="1360" w:type="dxa"/>
            <w:vAlign w:val="bottom"/>
          </w:tcPr>
          <w:p>
            <w:pPr>
              <w:ind w:left="1100"/>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jc w:val="right"/>
              <w:ind w:right="10"/>
              <w:spacing w:after="0" w:line="204"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4" w:lineRule="exact"/>
              <w:rPr>
                <w:sz w:val="20"/>
                <w:szCs w:val="20"/>
                <w:color w:val="auto"/>
              </w:rPr>
            </w:pPr>
            <w:r>
              <w:rPr>
                <w:rFonts w:ascii="Arial" w:cs="Arial" w:eastAsia="Arial" w:hAnsi="Arial"/>
                <w:sz w:val="18"/>
                <w:szCs w:val="18"/>
                <w:color w:val="auto"/>
              </w:rPr>
              <w:t>89,802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Distribution revenues, included in the International and Other segment, include revenues related to AMC Networks Streaming Services of approximately $176.7 million, $95.3 million and $20.2 million for the years ended December 31, 2020, 2019 and 2018, respectively.</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Borders>
              <w:bottom w:val="single" w:sz="8" w:color="auto"/>
            </w:tcBorders>
          </w:tcPr>
          <w:p>
            <w:pPr>
              <w:spacing w:after="0"/>
              <w:rPr>
                <w:sz w:val="18"/>
                <w:szCs w:val="18"/>
                <w:color w:val="auto"/>
              </w:rPr>
            </w:pPr>
          </w:p>
        </w:tc>
      </w:tr>
      <w:tr>
        <w:trPr>
          <w:trHeight w:val="237"/>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360" w:type="dxa"/>
            <w:vAlign w:val="bottom"/>
          </w:tcPr>
          <w:p>
            <w:pPr>
              <w:ind w:left="340"/>
              <w:spacing w:after="0"/>
              <w:rPr>
                <w:sz w:val="20"/>
                <w:szCs w:val="20"/>
                <w:color w:val="auto"/>
              </w:rPr>
            </w:pPr>
            <w:r>
              <w:rPr>
                <w:rFonts w:ascii="Arial" w:cs="Arial" w:eastAsia="Arial" w:hAnsi="Arial"/>
                <w:sz w:val="18"/>
                <w:szCs w:val="18"/>
                <w:color w:val="auto"/>
              </w:rPr>
              <w:t>National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(22,617)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(32,762)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(33,600)</w:t>
            </w:r>
          </w:p>
        </w:tc>
      </w:tr>
      <w:tr>
        <w:trPr>
          <w:trHeight w:val="230"/>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w:t>
            </w:r>
          </w:p>
        </w:tc>
      </w:tr>
      <w:tr>
        <w:trPr>
          <w:trHeight w:val="223"/>
        </w:trPr>
        <w:tc>
          <w:tcPr>
            <w:tcW w:w="63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(39,702)</w:t>
            </w:r>
          </w:p>
        </w:tc>
      </w:tr>
      <w:tr>
        <w:trPr>
          <w:trHeight w:val="20"/>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For the year ended December 31, 2020, no one customer accounted for 10% of consolidated revenues, net. One customer within the National Networks segment accounted for approximately 10% and 11% of consolidated revenues, net for the years ended December 31, 2019 and 2018, respectively.</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 based on customer location: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7"/>
              </w:rPr>
              <w:t>Years Ended December 31,</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2018</w:t>
            </w: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2,267,754</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2,511,686</w:t>
            </w:r>
          </w:p>
        </w:tc>
        <w:tc>
          <w:tcPr>
            <w:tcW w:w="3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2,389,624</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382,888</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394,235</w:t>
            </w:r>
          </w:p>
        </w:tc>
      </w:tr>
      <w:tr>
        <w:trPr>
          <w:trHeight w:val="230"/>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165,747</w:t>
            </w:r>
          </w:p>
        </w:tc>
        <w:tc>
          <w:tcPr>
            <w:tcW w:w="3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188,070</w:t>
            </w:r>
          </w:p>
        </w:tc>
      </w:tr>
      <w:tr>
        <w:trPr>
          <w:trHeight w:val="248"/>
        </w:trPr>
        <w:tc>
          <w:tcPr>
            <w:tcW w:w="5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2,814,956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3,060,321</w:t>
            </w:r>
          </w:p>
        </w:tc>
        <w:tc>
          <w:tcPr>
            <w:tcW w:w="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2,971,929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p>
      <w:pPr>
        <w:spacing w:after="0" w:line="158"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5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239,387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244,175</w:t>
            </w:r>
          </w:p>
        </w:tc>
      </w:tr>
      <w:tr>
        <w:trPr>
          <w:trHeight w:val="230"/>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25,925</w:t>
            </w:r>
          </w:p>
        </w:tc>
      </w:tr>
      <w:tr>
        <w:trPr>
          <w:trHeight w:val="229"/>
        </w:trPr>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13,652</w:t>
            </w:r>
          </w:p>
        </w:tc>
      </w:tr>
      <w:tr>
        <w:trPr>
          <w:trHeight w:val="248"/>
        </w:trPr>
        <w:tc>
          <w:tcPr>
            <w:tcW w:w="7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283,752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Interim Financial Information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selected quarterly financial data for the years ended December 31, 2020 and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w w:val="99"/>
              </w:rPr>
              <w:t>For the three months ended,</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1"/>
                <w:szCs w:val="11"/>
                <w:color w:val="auto"/>
              </w:rPr>
            </w:pP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1"/>
                <w:szCs w:val="11"/>
                <w:color w:val="auto"/>
              </w:rPr>
            </w:pPr>
          </w:p>
        </w:tc>
        <w:tc>
          <w:tcPr>
            <w:tcW w:w="1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734,375</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646,291</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654,015</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(561,405)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(597,489)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(698,880)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(2,372,312)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81,395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Net income including noncontrolling interests</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73,526</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17,234</w:t>
            </w:r>
          </w:p>
        </w:tc>
        <w:tc>
          <w:tcPr>
            <w:tcW w:w="12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67,996</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98,232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256,988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Net income attributable to AMC Networks' stockholders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68,667</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14,961</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61,640</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0" w:type="dxa"/>
            <w:vAlign w:val="bottom"/>
            <w:gridSpan w:val="2"/>
          </w:tcPr>
          <w:p>
            <w:pPr>
              <w:spacing w:after="0"/>
              <w:rPr>
                <w:sz w:val="23"/>
                <w:szCs w:val="23"/>
                <w:color w:val="auto"/>
              </w:rPr>
            </w:pPr>
          </w:p>
        </w:tc>
        <w:tc>
          <w:tcPr>
            <w:tcW w:w="112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income per share attributable to AMC Networks' stockholders: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Basic</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4"/>
        </w:trPr>
        <w:tc>
          <w:tcPr>
            <w:tcW w:w="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March 31, 2019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June 30, 2019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0"/>
              </w:rPr>
              <w:t>September 30, 2019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6"/>
              </w:rPr>
              <w:t>December 31, 2019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784,221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772,299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718,597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785,204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3,060,321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(539,358)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(602,042)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(550,159)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(743,485)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(2,435,044)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244,863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170,257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168,438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625,277</w:t>
            </w:r>
          </w:p>
        </w:tc>
        <w:tc>
          <w:tcPr>
            <w:tcW w:w="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Net income including noncontrolling interests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150,157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133,985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123,226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6"/>
              </w:rPr>
              <w:t>348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407,716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income (loss) attributable to AMC Networks'</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143,397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128,743</w:t>
            </w:r>
          </w:p>
        </w:tc>
        <w:tc>
          <w:tcPr>
            <w:tcW w:w="380" w:type="dxa"/>
            <w:vAlign w:val="bottom"/>
            <w:gridSpan w:val="3"/>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116,923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380,486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w:t>
            </w:r>
          </w:p>
        </w:tc>
        <w:tc>
          <w:tcPr>
            <w:tcW w:w="1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0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60" w:type="dxa"/>
            <w:vAlign w:val="bottom"/>
            <w:gridSpan w:val="6"/>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Net income (loss) per share attributable to AMC Networks' stockholders: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Basic</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3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5" w:name="page116"/>
    <w:bookmarkEnd w:id="115"/>
    <w:p>
      <w:pPr>
        <w:ind w:left="3780"/>
        <w:spacing w:after="0"/>
        <w:rPr>
          <w:sz w:val="20"/>
          <w:szCs w:val="20"/>
          <w:color w:val="auto"/>
        </w:rPr>
      </w:pPr>
      <w:r>
        <w:rPr>
          <w:rFonts w:ascii="Arial" w:cs="Arial" w:eastAsia="Arial" w:hAnsi="Arial"/>
          <w:sz w:val="18"/>
          <w:szCs w:val="18"/>
          <w:b w:val="1"/>
          <w:bCs w:val="1"/>
          <w:color w:val="auto"/>
        </w:rPr>
        <w:t>AMC NETWORKS INC. AND SUBSIDIARIES</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Balance at Beginning of</w:t>
            </w:r>
          </w:p>
        </w:tc>
        <w:tc>
          <w:tcPr>
            <w:tcW w:w="18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Provision for (Recovery</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Deductions/ Write-</w:t>
            </w:r>
          </w:p>
        </w:tc>
        <w:tc>
          <w:tcPr>
            <w:tcW w:w="260" w:type="dxa"/>
            <w:vAlign w:val="bottom"/>
          </w:tcPr>
          <w:p>
            <w:pPr>
              <w:spacing w:after="0"/>
              <w:rPr>
                <w:sz w:val="16"/>
                <w:szCs w:val="16"/>
                <w:color w:val="auto"/>
              </w:rPr>
            </w:pPr>
          </w:p>
        </w:tc>
        <w:tc>
          <w:tcPr>
            <w:tcW w:w="150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86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8"/>
              </w:rPr>
              <w:t>Offs and Other Charges,</w:t>
            </w:r>
          </w:p>
        </w:tc>
        <w:tc>
          <w:tcPr>
            <w:tcW w:w="2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Period</w:t>
            </w:r>
          </w:p>
        </w:tc>
        <w:tc>
          <w:tcPr>
            <w:tcW w:w="28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of) Bad Debt</w:t>
            </w: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Net</w:t>
            </w:r>
          </w:p>
        </w:tc>
        <w:tc>
          <w:tcPr>
            <w:tcW w:w="26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Arial" w:cs="Arial" w:eastAsia="Arial" w:hAnsi="Arial"/>
                <w:sz w:val="16"/>
                <w:szCs w:val="16"/>
                <w:b w:val="1"/>
                <w:bCs w:val="1"/>
                <w:color w:val="auto"/>
              </w:rPr>
              <w:t>End of Period</w:t>
            </w:r>
          </w:p>
        </w:tc>
        <w:tc>
          <w:tcPr>
            <w:tcW w:w="0" w:type="dxa"/>
            <w:vAlign w:val="bottom"/>
          </w:tcPr>
          <w:p>
            <w:pPr>
              <w:spacing w:after="0"/>
              <w:rPr>
                <w:sz w:val="1"/>
                <w:szCs w:val="1"/>
                <w:color w:val="auto"/>
              </w:rPr>
            </w:pPr>
          </w:p>
        </w:tc>
      </w:tr>
      <w:tr>
        <w:trPr>
          <w:trHeight w:val="19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Ended December 31, 2020</w:t>
            </w: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 December 31, 2019</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 December 31, 2018</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7,399</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320" w:top="1174" w:right="359" w:bottom="1440" w:gutter="0" w:footer="0" w:header="0"/>
        </w:sectPr>
      </w:pPr>
    </w:p>
    <w:bookmarkStart w:id="116" w:name="page117"/>
    <w:bookmarkEnd w:id="116"/>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4.10</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4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following description of the capital stock of AMC Networks Inc. (the “Company,” “we,” “us,” and “our”) is not complete and may not contain all the information you should consider before investing in our capital stock. This description is summarized from, and qualified in its entirety by reference to, our amended and restated certificate of incorporation and amended by-laws, which have been publicly filed with the Securities and Exchange Commission (“SEC”). The terms of these securities may also be affected by the General Corporation Law of the State of Delaware.</w:t>
      </w:r>
    </w:p>
    <w:p>
      <w:pPr>
        <w:spacing w:after="0" w:line="17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We are authorized to issue 495,000,000 shares of capital stock, of which 360,000,000 shares are Class A Common Stock, par value $.01 per share (the “Class A Common Stock”), 90,000,000 shares are Class B Common Stock, par value $.01 per share (the “Class B Common Stock” and, together with the Class A Common Stock, the “Common Stock”), and 45,000,000 shares are preferred stock, par value $.01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4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All shares of our Common Stock currently outstanding are fully paid and non-assessable, not subject to redemption and without preemptive or other rights to subscribe for or purchase any proportionate part of any new or additional issues of stock of any class or of securities convertible into stock of any class.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3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Holders of Class A Common Stock are entitled to one vote per share. Holders of Class B Common Stock are entitled to ten votes per share. All actions submitted to a vote of stockholders are voted on by holders of Class A Common Stock and Class B Common Stock voting together as a single class, except for the election of directors and as otherwise set forth below. With respect to the election of directors, holders of Class A Common Stock vote together as a separate class and are entitled to elect 25% of the total number of directors constituting the whole Board of Directors and, if such 25% is not a whole number, then the holders of Class A Common Stock, voting together as a separate class, are entitled to elect the nearest higher whole number of directors that is at least 25% of the total number of directors. Holders of Class B Common Stock, voting together as a separate class, are entitled to elect the remaining directors.</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however, on the record date for any stockholders meeting at which directors are to be elected, the number of outstanding shares of Class A Common Stock is less than 10% of the total number of outstanding shares of both classes of Common Stock, the holders of Class A Common Stock and Class B Common Stock vote together as a single class with respect to the election of directors and the holders of Class A Common Stock do not have the right to elect 25% of the total number of directors but have one vote per share for all directors and the holders of Class B Common Stock have ten votes per share for all directors.</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If, on the record date for notice of any stockholders meeting at which directors are to be elected, the number of outstanding shares of Class B Common Stock is less than 12</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20"/>
          <w:szCs w:val="20"/>
          <w:color w:val="auto"/>
          <w:vertAlign w:val="subscript"/>
        </w:rPr>
        <w:t>2</w:t>
      </w:r>
      <w:r>
        <w:rPr>
          <w:rFonts w:ascii="Arial" w:cs="Arial" w:eastAsia="Arial" w:hAnsi="Arial"/>
          <w:sz w:val="16"/>
          <w:szCs w:val="16"/>
          <w:color w:val="auto"/>
        </w:rPr>
        <w:t>% of the total number of outstanding shares of both classes of Common Stock, then the holders of Class A Common Stock, voting as a separate class, continue to elect a number of directors equal to 25% of the total number of directors constituting the whole Board of Directors and, in addition, vote together with the holders of Class B Common Stock, as a single class, to elect the remaining directors to be elected at such meeting, with the holders of Class A Common Stock entitled to one vote per share and the holders of Class B Common Stock entitled to ten votes per share.</w:t>
      </w:r>
    </w:p>
    <w:p>
      <w:pPr>
        <w:spacing w:after="0" w:line="106" w:lineRule="exact"/>
        <w:rPr>
          <w:sz w:val="20"/>
          <w:szCs w:val="20"/>
          <w:color w:val="auto"/>
        </w:rPr>
      </w:pPr>
    </w:p>
    <w:p>
      <w:pPr>
        <w:ind w:right="120" w:firstLine="648"/>
        <w:spacing w:after="0" w:line="316" w:lineRule="auto"/>
        <w:rPr>
          <w:sz w:val="20"/>
          <w:szCs w:val="20"/>
          <w:color w:val="auto"/>
        </w:rPr>
      </w:pPr>
      <w:r>
        <w:rPr>
          <w:rFonts w:ascii="Arial" w:cs="Arial" w:eastAsia="Arial" w:hAnsi="Arial"/>
          <w:sz w:val="16"/>
          <w:szCs w:val="16"/>
          <w:color w:val="auto"/>
        </w:rPr>
        <w:t>In addition, under our amended and restated certificate of incorporation, the affirmative vote or consent of the holders of at least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20"/>
          <w:szCs w:val="20"/>
          <w:color w:val="auto"/>
          <w:vertAlign w:val="subscript"/>
        </w:rPr>
        <w:t>3</w:t>
      </w:r>
      <w:r>
        <w:rPr>
          <w:rFonts w:ascii="Arial" w:cs="Arial" w:eastAsia="Arial" w:hAnsi="Arial"/>
          <w:sz w:val="16"/>
          <w:szCs w:val="16"/>
          <w:color w:val="auto"/>
        </w:rPr>
        <w:t>% of the outstanding shares of Class B Common Stock, voting separately as a class, is required for the authorization or issuance of any additional shares of Class B Common Stock and for any amendment, alteration or repeal of any provisions of our amended and restated certificate of incorporation which</w:t>
      </w:r>
    </w:p>
    <w:p>
      <w:pPr>
        <w:sectPr>
          <w:pgSz w:w="11900" w:h="16838" w:orient="portrait"/>
          <w:cols w:equalWidth="0" w:num="1">
            <w:col w:w="11240"/>
          </w:cols>
          <w:pgMar w:left="320" w:top="1440" w:right="339" w:bottom="1440" w:gutter="0" w:footer="0" w:header="0"/>
        </w:sectPr>
      </w:pPr>
    </w:p>
    <w:bookmarkStart w:id="117" w:name="page118"/>
    <w:bookmarkEnd w:id="117"/>
    <w:p>
      <w:pPr>
        <w:ind w:right="180"/>
        <w:spacing w:after="0" w:line="286" w:lineRule="auto"/>
        <w:rPr>
          <w:sz w:val="20"/>
          <w:szCs w:val="20"/>
          <w:color w:val="auto"/>
        </w:rPr>
      </w:pPr>
      <w:r>
        <w:rPr>
          <w:rFonts w:ascii="Arial" w:cs="Arial" w:eastAsia="Arial" w:hAnsi="Arial"/>
          <w:sz w:val="17"/>
          <w:szCs w:val="17"/>
          <w:color w:val="auto"/>
        </w:rPr>
        <w:t>would affect adversely the powers, preferences or rights of the Class B Common Stock. The number of authorized shares of Class A Common Stock may be increased or decreased (but not below the number of shares thereof then outstanding) by the affirmative vote of the holders of the majority of the Common Stock. Our amended and restated certificate of incorporation does not provide for cumulative voting.</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Dolan family, including trusts for the benefit of members of the Dolan family (collectively, the “Dolan Family Group”), by virtue of their ownership of Class B Common Stock, are able collectively to control decisions on matters in which holders of our Class A Common Stock and Class B Common Stock vote together as a single class (including, but not limited to, a change in control), and to elect up to 75% of the Company’s Board. Members of the Dolan Family Group are parties to a Stockholders Agreement, which has the effect of causing the voting power of the Class B stockholders to be cast as a block on all matters to be voted on by holders of our Class B Common Stock. Under the Stockholders Agreement, the shares of Class B Common Stock owned by members of the Dolan Family Group are to be voted on all matters in accordance with the determination of the Dolan Family Committee, except that the decisions of the Dolan Family Committee are non-binding with respect to the Class B shares owned by certain Dolan family trusts that collectively own approximately 48% of the outstanding Class B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Notification of Stockholder Nominations and Proposals</w:t>
      </w:r>
    </w:p>
    <w:p>
      <w:pPr>
        <w:spacing w:after="0" w:line="23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nomination of candidates for election as directors other than nominations made by or at the direction of our Board of Directors. In particular, stockholders must notify our corporate secretary in writing prior to the meeting at which the matters are to be acted upon or directors are to be elected. The notice must contain the information specified in our amended and restated by-laws. To be timely, the notice must be received by our corporate secretary not less than 60 or more than 90 days prior to the date of the stockholders’ meeting, provided that if the date of the meeting is publicly announced or disclosed less than 70 days prior to the date of the meeting, the notice must be given not more than 10 days after such date is first announced or disclosed.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13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amended and restated certificate of incorporation provides that, except as otherwise provided as to any series of preferred stock in the terms of that series, no action of stockholders required or permitted to be taken at any annual or special meeting of stockholders may be taken without a meeting of stockholders, without prior notice and without a vote, and the power of the stockholders to consent in writing to the taking of any action without a meeting is specifically denied.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Conversions</w:t>
      </w:r>
    </w:p>
    <w:p>
      <w:pPr>
        <w:spacing w:after="0" w:line="13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Class A Common Stock has no conversion rights. The Class B Common Stock is convertible into Class A Common Stock in whole or in part at any time and from time to time on the basis of one share of Class A Common Stock for each share of Class B Common Stock. In certain circumstances certain holders of our Class B Common Stock are required to convert their Class B Common Stock to Class A Common Stock prior to transferring such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Holders of Class A Common Stock and Class B Common Stock are entitled to receive dividends equally on a per share basis if and when such dividends are declared by the Board of Directors from funds legally available therefor. No dividend may be declared or paid in cash or property or shares of either Class A Common Stock or Class B Common Stock unless the same dividend is paid simultaneously on each share of the other class of Common Stock. In the case of any stock dividend, holders of Class A Common Stock are entitled to receive the same dividend on a percentage basis (payable in shares of or securities convertible to shares of Class A Common Stock and other securities of us or any other person) as holders of Class B Common Stock receive (payable in shares of or securities convertible into shares of Class A Common Stock, shares of or securities convertible into shares of Class B Common Stock and other securities of us or any other person). The distribution of shares or other securities</w:t>
      </w:r>
    </w:p>
    <w:p>
      <w:pPr>
        <w:sectPr>
          <w:pgSz w:w="11900" w:h="16838" w:orient="portrait"/>
          <w:cols w:equalWidth="0" w:num="1">
            <w:col w:w="11240"/>
          </w:cols>
          <w:pgMar w:left="320" w:top="1421" w:right="339" w:bottom="1440" w:gutter="0" w:footer="0" w:header="0"/>
        </w:sectPr>
      </w:pPr>
    </w:p>
    <w:bookmarkStart w:id="118" w:name="page119"/>
    <w:bookmarkEnd w:id="118"/>
    <w:p>
      <w:pPr>
        <w:spacing w:after="0" w:line="277" w:lineRule="auto"/>
        <w:rPr>
          <w:sz w:val="20"/>
          <w:szCs w:val="20"/>
          <w:color w:val="auto"/>
        </w:rPr>
      </w:pPr>
      <w:r>
        <w:rPr>
          <w:rFonts w:ascii="Arial" w:cs="Arial" w:eastAsia="Arial" w:hAnsi="Arial"/>
          <w:sz w:val="18"/>
          <w:szCs w:val="18"/>
          <w:color w:val="auto"/>
        </w:rPr>
        <w:t>of the Company or any other person to common stockholders is permitted to differ to the extent that the Common Stock differs as to voting rights and rights in connection with certain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3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Holders of Class A Common Stock and Class B Common Stock share with each other on a ratable basis as a single class in the net assets available for distribution in respect of Class A Common Stock and Class B Common Stock in the event of a liquidation.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Terms</w:t>
      </w:r>
    </w:p>
    <w:p>
      <w:pPr>
        <w:spacing w:after="0" w:line="13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Neither the Class A Common Stock nor the Class B Common Stock may be subdivided, consolidated, reclassified or otherwise changed, except as expressly provided in our amended and restated certificate of incorporation, unless the other class of Common Stock is subdivided, consolidated, reclassified or otherwise changed at the same time, in the same proportion and in the same manner.</w:t>
      </w:r>
    </w:p>
    <w:p>
      <w:pPr>
        <w:spacing w:after="0" w:line="18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any merger, consolidation or business combination the consideration to be received per share by holders of either Class A Common Stock or Class B Common Stock must be identical to that received by holders of the other class of Common Stock, except that in any such transaction in which shares of capital stock are distributed, such shares may differ as to voting rights only to the extent that voting rights differ in our amended and restated certificate of incorporation between Class A Common Stock and Class B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transfer agent and registrar for the Class A Common Stock is EQ Shareowner Services (f/k/a Wells Fargo Shareowner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our amended and restated certificate of incorporation, our Board of Directors is authorized, without further stockholder action, to provide for the issuance of up to 45,000,000 shares of preferred stock in one or more series. The powers, designations, preferences and relative, participating, optional or other special rights, and qualifications, limitations or restrictions, including dividend rights, voting rights, conversion rights, terms of redemption and liquidation preferences, of the preferred stock of each series will be fixed or designated by the Board of Directors pursuant to a certificate of designations. There are no shares of our preferred stock currently outstanding. Any issuance of preferred stock may adversely affect the rights of holders of our Common Stock and may render more difficult certain unsolicited or hostile attempts to take over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24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Section 203 of the General Corporation Law of the State of Delaware prohibits certain transactions between a Delaware corporation and an “interested stockholder.” An “interested stockholder” for this purpose is a stockholder who is directly or indirectly a beneficial owner of 15% or more of the aggregate voting power of a Delaware corporation. This provision prohibits certain business combinations between an interested stockholder and a corporation for a period of three years after the date on which the stockholder became an interested stockholder, unless: (1) prior to the time that a stockholder became an interested stockholder, either the business combination or the transaction which resulted in the stockholder becoming an interested stockholder is approved by the Company’s Board of Directors, (2) the interested stockholder acquired at least 85% of the aggregate voting power of the Company in the transaction in which the stockholder became an interested stockholder, or (3) the business combination is approved by a majority of the Board of Directors and the affirmative vote of the holders of two-thirds of the aggregate voting power not owned by the interested stockholder at or subsequent to the time that the stockholder became an interested stockholder. These restrictions do not apply if, among other things, the Company’s certificate of incorporation contains a provision expressly electing not to be governed by Section 203. Our amended and restated certificate of incorporation does not contain such an election. However, our Board of Directors</w:t>
      </w:r>
    </w:p>
    <w:p>
      <w:pPr>
        <w:sectPr>
          <w:pgSz w:w="11900" w:h="16838" w:orient="portrait"/>
          <w:cols w:equalWidth="0" w:num="1">
            <w:col w:w="11240"/>
          </w:cols>
          <w:pgMar w:left="320" w:top="1421" w:right="339" w:bottom="1440" w:gutter="0" w:footer="0" w:header="0"/>
        </w:sectPr>
      </w:pPr>
    </w:p>
    <w:bookmarkStart w:id="119" w:name="page120"/>
    <w:bookmarkEnd w:id="119"/>
    <w:p>
      <w:pPr>
        <w:spacing w:after="0" w:line="263" w:lineRule="auto"/>
        <w:rPr>
          <w:sz w:val="20"/>
          <w:szCs w:val="20"/>
          <w:color w:val="auto"/>
        </w:rPr>
      </w:pPr>
      <w:r>
        <w:rPr>
          <w:rFonts w:ascii="Arial" w:cs="Arial" w:eastAsia="Arial" w:hAnsi="Arial"/>
          <w:sz w:val="18"/>
          <w:szCs w:val="18"/>
          <w:color w:val="auto"/>
        </w:rPr>
        <w:t>exercised its right under Section 203 to approve the acquisition of our Common Stock in connection with our spin off from Cablevision Systems Corporation in 2011 by Dolan family members and entities. This has the effect of making Section 203 inapplicable to transactions between the Company, on the one hand, and Dolan family members and entities, on the other hand.</w:t>
      </w:r>
    </w:p>
    <w:p>
      <w:pPr>
        <w:sectPr>
          <w:pgSz w:w="11900" w:h="16838" w:orient="portrait"/>
          <w:cols w:equalWidth="0" w:num="1">
            <w:col w:w="11040"/>
          </w:cols>
          <w:pgMar w:left="320" w:top="1421" w:right="5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11, 2020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Mr. Joshua W. Sapan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AMC Networks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Eleven Pennsylvania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 AMENDED AND RESTATED EMPLOYMENT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Josh:</w:t>
      </w:r>
    </w:p>
    <w:p>
      <w:pPr>
        <w:spacing w:after="0" w:line="220" w:lineRule="exact"/>
        <w:rPr>
          <w:sz w:val="20"/>
          <w:szCs w:val="20"/>
          <w:color w:val="auto"/>
        </w:rPr>
      </w:pPr>
    </w:p>
    <w:p>
      <w:pPr>
        <w:ind w:right="180"/>
        <w:spacing w:after="0" w:line="343" w:lineRule="auto"/>
        <w:rPr>
          <w:sz w:val="20"/>
          <w:szCs w:val="20"/>
          <w:color w:val="auto"/>
        </w:rPr>
      </w:pPr>
      <w:r>
        <w:rPr>
          <w:rFonts w:ascii="Arial" w:cs="Arial" w:eastAsia="Arial" w:hAnsi="Arial"/>
          <w:sz w:val="19"/>
          <w:szCs w:val="19"/>
          <w:color w:val="auto"/>
        </w:rPr>
        <w:t>This letter, effective upon the date hereof, will confirm the terms of your employment by AMC Networks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hereby amends and restates your amended and restated employment agreement dated April 24, 2014.</w:t>
      </w:r>
    </w:p>
    <w:p>
      <w:pPr>
        <w:spacing w:after="0" w:line="104" w:lineRule="exact"/>
        <w:rPr>
          <w:sz w:val="20"/>
          <w:szCs w:val="20"/>
          <w:color w:val="auto"/>
        </w:rPr>
      </w:pPr>
    </w:p>
    <w:p>
      <w:pPr>
        <w:ind w:left="660" w:right="60" w:hanging="652"/>
        <w:spacing w:after="0" w:line="285"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Your title shall remain President and Chief Executive Officer and you will continue to have the powers, responsibilities, duties and authority customary for the chief executive officer of corporations of the size, type and nature of the Company, including, without limitation, those powers, responsibilities, duties and authority you had immediately prior to the date hereof. You will report solely and directly to the Chairman of the Board of Directors of the Company. During your employment as President and Chief Executive Officer, you shall be the highest ranking executive officer of the Company other than the Chairman of the Board. You agree to devote substantially all of your business time and attention to the business and affairs of the Company. Either you or the Company may, upon written notice to the other at least ninety (90) days prior to December 31, 2021, change your title to Vice Chairman for the 2022 calendar year. If your title is so changed to Vice Chairman, your responsibilities will include (i) being available to management and the Board of Directors of the Company on distribution and other related matters and (ii) such other responsibilities as may be assigned to you by or at the direction of the Chairman of the Board commensurate with your experience and reasonably consistent with such responsibilities for a similarly situated executive. You will report solely and directly to the Chairman of the Board. If neither party provides notice to change your title as provided for above, then you shall remain President and Chief Executive Officer for 2022. For avoidance of doubt, in event either party provides notice and you thereby transition to Vice Chairman for the calendar year 2022, your transition, and any change to your powers, responsibilities, duties and authority as well as compensation as provided hereunder, shall not constitute “Good Reason” (as defined in Annex A) under this Agreement or any other arrangement between you and the Company.</w:t>
      </w:r>
    </w:p>
    <w:p>
      <w:pPr>
        <w:spacing w:after="0" w:line="165" w:lineRule="exact"/>
        <w:rPr>
          <w:rFonts w:ascii="Arial" w:cs="Arial" w:eastAsia="Arial" w:hAnsi="Arial"/>
          <w:sz w:val="19"/>
          <w:szCs w:val="19"/>
          <w:color w:val="auto"/>
        </w:rPr>
      </w:pPr>
    </w:p>
    <w:p>
      <w:pPr>
        <w:ind w:left="660" w:right="240" w:hanging="652"/>
        <w:spacing w:after="0" w:line="271" w:lineRule="auto"/>
        <w:tabs>
          <w:tab w:leader="none" w:pos="660" w:val="left"/>
        </w:tabs>
        <w:numPr>
          <w:ilvl w:val="0"/>
          <w:numId w:val="42"/>
        </w:numPr>
        <w:rPr>
          <w:rFonts w:ascii="Arial" w:cs="Arial" w:eastAsia="Arial" w:hAnsi="Arial"/>
          <w:sz w:val="21"/>
          <w:szCs w:val="21"/>
          <w:color w:val="auto"/>
        </w:rPr>
      </w:pPr>
      <w:r>
        <w:rPr>
          <w:rFonts w:ascii="Arial" w:cs="Arial" w:eastAsia="Arial" w:hAnsi="Arial"/>
          <w:sz w:val="21"/>
          <w:szCs w:val="21"/>
          <w:color w:val="auto"/>
        </w:rPr>
        <w:t>Your annual base salary will be a minimum of $2,000,000, subject to annual review and potential increase by the Compensation Committee of the Board of Directors of the Company (the “</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 in its discretion. Your annual base salary shall not be reduced during the term of this Agreement.</w:t>
      </w:r>
    </w:p>
    <w:p>
      <w:pPr>
        <w:spacing w:after="0" w:line="167" w:lineRule="exact"/>
        <w:rPr>
          <w:rFonts w:ascii="Arial" w:cs="Arial" w:eastAsia="Arial" w:hAnsi="Arial"/>
          <w:sz w:val="21"/>
          <w:szCs w:val="21"/>
          <w:color w:val="auto"/>
        </w:rPr>
      </w:pPr>
    </w:p>
    <w:p>
      <w:pPr>
        <w:ind w:left="660" w:right="540" w:hanging="652"/>
        <w:spacing w:after="0" w:line="263"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Your annual target bonus amount will be 200% of your annual base salary, and may range from 0% to 400% of your annual base salary, based on the achievement of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40"/>
          </w:cols>
          <w:pgMar w:left="320" w:top="132" w:right="3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12" w:lineRule="exact"/>
        <w:rPr>
          <w:sz w:val="20"/>
          <w:szCs w:val="20"/>
          <w:color w:val="auto"/>
        </w:rPr>
      </w:pPr>
    </w:p>
    <w:p>
      <w:pPr>
        <w:ind w:left="660" w:right="60"/>
        <w:spacing w:after="0" w:line="288" w:lineRule="auto"/>
        <w:rPr>
          <w:sz w:val="20"/>
          <w:szCs w:val="20"/>
          <w:color w:val="auto"/>
        </w:rPr>
      </w:pPr>
      <w:r>
        <w:rPr>
          <w:rFonts w:ascii="Arial" w:cs="Arial" w:eastAsia="Arial" w:hAnsi="Arial"/>
          <w:sz w:val="19"/>
          <w:szCs w:val="19"/>
          <w:color w:val="auto"/>
        </w:rPr>
        <w:t>performance criteria established by the Compensation Committee in its discretion (the “</w:t>
      </w:r>
      <w:r>
        <w:rPr>
          <w:rFonts w:ascii="Arial" w:cs="Arial" w:eastAsia="Arial" w:hAnsi="Arial"/>
          <w:sz w:val="19"/>
          <w:szCs w:val="19"/>
          <w:u w:val="single" w:color="auto"/>
          <w:color w:val="auto"/>
        </w:rPr>
        <w:t>Bonus</w:t>
      </w:r>
      <w:r>
        <w:rPr>
          <w:rFonts w:ascii="Arial" w:cs="Arial" w:eastAsia="Arial" w:hAnsi="Arial"/>
          <w:sz w:val="19"/>
          <w:szCs w:val="19"/>
          <w:color w:val="auto"/>
        </w:rPr>
        <w:t>”). Such performance criteria will be set with the same level of difficulty as applied to other senior executives of the Company generally and it is anticipated that such performance criteria will be set with a level of difficulty reasonably consistent with past practice. Your Bonus for any calendar year shall be payable at the same time that annual bonuses are paid to similarly situated executives of the Company, which the Company anticipates will occur no later than March 15th of the following calendar year. For the avoidance of doubt, if you remain employed through the Scheduled Expiration Date, even if you are not employed on the date bonuses are paid for such year (but provided that you have complied with the requirements of Paragraph 10 or 11, as applicable), it is understood that you will be entitled to receive the Bonus for the 2022 calendar year if, when and to the same extent that other similarly situated executives receive payment of bonuses for such year as determined by the Compensation Committee in its sole discretion (and subject to the satisfaction of any applicable performance objectives).</w:t>
      </w:r>
    </w:p>
    <w:p>
      <w:pPr>
        <w:spacing w:after="0" w:line="200" w:lineRule="exact"/>
        <w:rPr>
          <w:sz w:val="20"/>
          <w:szCs w:val="20"/>
          <w:color w:val="auto"/>
        </w:rPr>
      </w:pPr>
    </w:p>
    <w:p>
      <w:pPr>
        <w:spacing w:after="0" w:line="216" w:lineRule="exact"/>
        <w:rPr>
          <w:sz w:val="20"/>
          <w:szCs w:val="20"/>
          <w:color w:val="auto"/>
        </w:rPr>
      </w:pPr>
    </w:p>
    <w:p>
      <w:pPr>
        <w:ind w:left="660" w:right="120" w:hanging="652"/>
        <w:spacing w:after="0" w:line="294" w:lineRule="auto"/>
        <w:tabs>
          <w:tab w:leader="none" w:pos="6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You will be eligible to participate in all employee benefit and retirement plans of the Company at the level available to other members of senior management subject to meeting the relevant eligibility requirements and terms of the plans. You will be entitled to four (4) weeks of vacation per year, to be accrued and used in accordance with Company policy. The Compensation Committee will in good faith review your compensation package (including your salary and target bonus) annually, taking into account the financial and stock performance of the Company relative to other diversified media and entertainment peer companies, and, as a result of such review, may increase your compensation in its sole discretion.</w:t>
      </w:r>
    </w:p>
    <w:p>
      <w:pPr>
        <w:spacing w:after="0" w:line="149" w:lineRule="exact"/>
        <w:rPr>
          <w:rFonts w:ascii="Arial" w:cs="Arial" w:eastAsia="Arial" w:hAnsi="Arial"/>
          <w:sz w:val="19"/>
          <w:szCs w:val="19"/>
          <w:color w:val="auto"/>
        </w:rPr>
      </w:pPr>
    </w:p>
    <w:p>
      <w:pPr>
        <w:ind w:left="660" w:hanging="652"/>
        <w:spacing w:after="0" w:line="286" w:lineRule="auto"/>
        <w:tabs>
          <w:tab w:leader="none" w:pos="6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For as long as you remain President and Chief Executive Officer, you will be eligible to participate in the long-term cash or equity programs and arrangements of the Company consistent with your role and responsibilities as President and Chief Executive Officer of the Company, and you will receive long-term cash and equity awards with an annual aggregate target value of $14,000,000. If you transition to Vice Chairman in 2022 in accordance with Paragraph 1, you will not be eligible to participate in the long-term cash or equity programs and arrangements of the Company for the 2022 calendar year. The Company agrees that neither the expiration of this Agreement on the Scheduled Expiration Date nor your rights in connection therewith will have any effect on any determination by the Compensation Committee with respect to the amount, terms or form of any long-term incentive awards granted to you in the future. Unless otherwise consented to by you in writing, the ratio of long-term cash and equity awards in any applicable period will be reasonably consistent with past practice and will be the same ratio of long-term cash and equity awards as generally provided to you currently or as provided to other senior executives of the Company generally. If any of your long-term cash and equity awards are subject to performance criteria, the performance criteria will be set with the same level of difficulty as applied to other senior executives of the Company generally and it is anticipated that the performance criteria will be set with a level of difficulty reasonably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40"/>
          </w:cols>
          <w:pgMar w:left="320" w:top="132" w:right="3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12" w:lineRule="exact"/>
        <w:rPr>
          <w:sz w:val="20"/>
          <w:szCs w:val="20"/>
          <w:color w:val="auto"/>
        </w:rPr>
      </w:pPr>
    </w:p>
    <w:p>
      <w:pPr>
        <w:ind w:left="660" w:right="100" w:hanging="652"/>
        <w:spacing w:after="0" w:line="297" w:lineRule="auto"/>
        <w:tabs>
          <w:tab w:leader="none" w:pos="6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You received concurrently with the execution and delivery of your employment agreement dated April 24, 2014 a one-time special award of restricted stock units with a target value of $25,000,000 (the “</w:t>
      </w:r>
      <w:r>
        <w:rPr>
          <w:rFonts w:ascii="Arial" w:cs="Arial" w:eastAsia="Arial" w:hAnsi="Arial"/>
          <w:sz w:val="19"/>
          <w:szCs w:val="19"/>
          <w:u w:val="single" w:color="auto"/>
          <w:color w:val="auto"/>
        </w:rPr>
        <w:t>Special Equity Award</w:t>
      </w:r>
      <w:r>
        <w:rPr>
          <w:rFonts w:ascii="Arial" w:cs="Arial" w:eastAsia="Arial" w:hAnsi="Arial"/>
          <w:sz w:val="19"/>
          <w:szCs w:val="19"/>
          <w:color w:val="auto"/>
        </w:rPr>
        <w:t>”). The Special Equity Award will vest on December 31, 2020 (except as otherwise provided in Paragraphs 7(d), 8, 9 and 10 hereof) and is subject to the terms and conditions set forth in the applicable award agreement. The performance objectives applicable to the Special Equity Award are also set forth in the applicable award agreement.</w:t>
      </w:r>
    </w:p>
    <w:p>
      <w:pPr>
        <w:spacing w:after="0" w:line="146" w:lineRule="exact"/>
        <w:rPr>
          <w:rFonts w:ascii="Arial" w:cs="Arial" w:eastAsia="Arial" w:hAnsi="Arial"/>
          <w:sz w:val="19"/>
          <w:szCs w:val="19"/>
          <w:color w:val="auto"/>
        </w:rPr>
      </w:pPr>
    </w:p>
    <w:p>
      <w:pPr>
        <w:ind w:left="660" w:hanging="652"/>
        <w:spacing w:after="0" w:line="289" w:lineRule="auto"/>
        <w:tabs>
          <w:tab w:leader="none" w:pos="6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Subject to continuing rights each party may have hereunder, either you or the Company may terminate your employment at any time. If, on or prior to December 31, 2022 (the “</w:t>
      </w:r>
      <w:r>
        <w:rPr>
          <w:rFonts w:ascii="Arial" w:cs="Arial" w:eastAsia="Arial" w:hAnsi="Arial"/>
          <w:sz w:val="19"/>
          <w:szCs w:val="19"/>
          <w:u w:val="single" w:color="auto"/>
          <w:color w:val="auto"/>
        </w:rPr>
        <w:t>Scheduled Expiration Date</w:t>
      </w:r>
      <w:r>
        <w:rPr>
          <w:rFonts w:ascii="Arial" w:cs="Arial" w:eastAsia="Arial" w:hAnsi="Arial"/>
          <w:sz w:val="19"/>
          <w:szCs w:val="19"/>
          <w:color w:val="auto"/>
        </w:rPr>
        <w:t>”), your employment with the Company is terminated (i) by the Company, or (ii) by you for “Good Reason” (as defined in Annex A), and at the time of any such termination described above, “Cause” (as defined in Annex A) does not exist, then, subject to your execution and delivery (without revocation within any applicable revocation period) to the Company of the Company’s standard separation agreement (modified to reflect the terms of this Agreement) which agreement will include, without limitation, general releases by you as well as non-competition, non-solicitation, non-disparagement, confidentiality and other provisions substantially similar to (and not more restrictive than) those set forth in Annex B (a “</w:t>
      </w:r>
      <w:r>
        <w:rPr>
          <w:rFonts w:ascii="Arial" w:cs="Arial" w:eastAsia="Arial" w:hAnsi="Arial"/>
          <w:sz w:val="19"/>
          <w:szCs w:val="19"/>
          <w:u w:val="single" w:color="auto"/>
          <w:color w:val="auto"/>
        </w:rPr>
        <w:t>Separation Agreement</w:t>
      </w:r>
      <w:r>
        <w:rPr>
          <w:rFonts w:ascii="Arial" w:cs="Arial" w:eastAsia="Arial" w:hAnsi="Arial"/>
          <w:sz w:val="19"/>
          <w:szCs w:val="19"/>
          <w:color w:val="auto"/>
        </w:rPr>
        <w:t>”), the Company will provide you with the following benefits and rights:</w:t>
      </w:r>
    </w:p>
    <w:p>
      <w:pPr>
        <w:spacing w:after="0" w:line="156" w:lineRule="exact"/>
        <w:rPr>
          <w:rFonts w:ascii="Arial" w:cs="Arial" w:eastAsia="Arial" w:hAnsi="Arial"/>
          <w:sz w:val="19"/>
          <w:szCs w:val="19"/>
          <w:color w:val="auto"/>
        </w:rPr>
      </w:pPr>
    </w:p>
    <w:p>
      <w:pPr>
        <w:ind w:left="1300" w:right="100" w:hanging="644"/>
        <w:spacing w:after="0" w:line="302" w:lineRule="auto"/>
        <w:tabs>
          <w:tab w:leader="none" w:pos="1297" w:val="left"/>
        </w:tabs>
        <w:numPr>
          <w:ilvl w:val="1"/>
          <w:numId w:val="44"/>
        </w:numPr>
        <w:rPr>
          <w:rFonts w:ascii="Arial" w:cs="Arial" w:eastAsia="Arial" w:hAnsi="Arial"/>
          <w:sz w:val="19"/>
          <w:szCs w:val="19"/>
          <w:color w:val="010000"/>
        </w:rPr>
      </w:pPr>
      <w:r>
        <w:rPr>
          <w:rFonts w:ascii="Arial" w:cs="Arial" w:eastAsia="Arial" w:hAnsi="Arial"/>
          <w:sz w:val="19"/>
          <w:szCs w:val="19"/>
          <w:color w:val="auto"/>
        </w:rPr>
        <w:t>A cash severance payment in an amount equal to two times the sum of your annual base salary and your annual target bonus in effect at the time your employment terminates (which, for example, based on your annual salary and annual target bonus on the date hereof, would result in a payment of $12,000,000) and such payment shall be payable to you in a lump sum on the 90th day after the termination of your employment;</w:t>
      </w:r>
    </w:p>
    <w:p>
      <w:pPr>
        <w:spacing w:after="0" w:line="142" w:lineRule="exact"/>
        <w:rPr>
          <w:rFonts w:ascii="Arial" w:cs="Arial" w:eastAsia="Arial" w:hAnsi="Arial"/>
          <w:sz w:val="19"/>
          <w:szCs w:val="19"/>
          <w:color w:val="010000"/>
        </w:rPr>
      </w:pPr>
    </w:p>
    <w:p>
      <w:pPr>
        <w:ind w:left="1300" w:right="60" w:hanging="644"/>
        <w:spacing w:after="0" w:line="294" w:lineRule="auto"/>
        <w:tabs>
          <w:tab w:leader="none" w:pos="1295" w:val="left"/>
        </w:tabs>
        <w:numPr>
          <w:ilvl w:val="1"/>
          <w:numId w:val="44"/>
        </w:numPr>
        <w:rPr>
          <w:rFonts w:ascii="Arial" w:cs="Arial" w:eastAsia="Arial" w:hAnsi="Arial"/>
          <w:sz w:val="19"/>
          <w:szCs w:val="19"/>
          <w:color w:val="010000"/>
        </w:rPr>
      </w:pPr>
      <w:r>
        <w:rPr>
          <w:rFonts w:ascii="Arial" w:cs="Arial" w:eastAsia="Arial" w:hAnsi="Arial"/>
          <w:sz w:val="19"/>
          <w:szCs w:val="19"/>
          <w:color w:val="auto"/>
        </w:rPr>
        <w:t>Each of your outstanding long-term cash performance awards that are subject to performance criteria granted under the plans of the Company shall immediately vest in full and shall be paid only if, when and to the same extent that other similarly situated executives receive payment for such awards as determined by the Compensation Committee (subject to the satisfaction of any applicable performance objectives) provided that, for awards for which the performance periods had not been completed on the date of your termination, the Company will comply with the Rabbi Trust obligations set forth in the last paragraph of this Paragraph 7;</w:t>
      </w:r>
    </w:p>
    <w:p>
      <w:pPr>
        <w:spacing w:after="0" w:line="149" w:lineRule="exact"/>
        <w:rPr>
          <w:rFonts w:ascii="Arial" w:cs="Arial" w:eastAsia="Arial" w:hAnsi="Arial"/>
          <w:sz w:val="19"/>
          <w:szCs w:val="19"/>
          <w:color w:val="010000"/>
        </w:rPr>
      </w:pPr>
    </w:p>
    <w:p>
      <w:pPr>
        <w:ind w:left="1300" w:right="160" w:hanging="644"/>
        <w:spacing w:after="0" w:line="250" w:lineRule="auto"/>
        <w:tabs>
          <w:tab w:leader="none" w:pos="1297" w:val="left"/>
        </w:tabs>
        <w:numPr>
          <w:ilvl w:val="1"/>
          <w:numId w:val="44"/>
        </w:numPr>
        <w:rPr>
          <w:rFonts w:ascii="Arial" w:cs="Arial" w:eastAsia="Arial" w:hAnsi="Arial"/>
          <w:sz w:val="22"/>
          <w:szCs w:val="22"/>
          <w:color w:val="010000"/>
        </w:rPr>
      </w:pPr>
      <w:r>
        <w:rPr>
          <w:rFonts w:ascii="Arial" w:cs="Arial" w:eastAsia="Arial" w:hAnsi="Arial"/>
          <w:sz w:val="22"/>
          <w:szCs w:val="22"/>
          <w:color w:val="auto"/>
        </w:rPr>
        <w:t>Each of your outstanding long-term cash awards (including any deferred compensation awards under the long-term cash award program) that are not subject to performance criteria granted under the plans of the Company, if any, shall immediately vest in full and shall be payable to you on the 90th day after the termination of your employment;</w:t>
      </w:r>
    </w:p>
    <w:p>
      <w:pPr>
        <w:spacing w:after="0" w:line="187" w:lineRule="exact"/>
        <w:rPr>
          <w:rFonts w:ascii="Arial" w:cs="Arial" w:eastAsia="Arial" w:hAnsi="Arial"/>
          <w:sz w:val="22"/>
          <w:szCs w:val="22"/>
          <w:color w:val="010000"/>
        </w:rPr>
      </w:pPr>
    </w:p>
    <w:p>
      <w:pPr>
        <w:ind w:left="1300" w:right="80" w:hanging="644"/>
        <w:spacing w:after="0" w:line="263" w:lineRule="auto"/>
        <w:tabs>
          <w:tab w:leader="none" w:pos="1295" w:val="left"/>
        </w:tabs>
        <w:numPr>
          <w:ilvl w:val="1"/>
          <w:numId w:val="44"/>
        </w:numPr>
        <w:rPr>
          <w:rFonts w:ascii="Arial" w:cs="Arial" w:eastAsia="Arial" w:hAnsi="Arial"/>
          <w:sz w:val="22"/>
          <w:szCs w:val="22"/>
          <w:color w:val="010000"/>
        </w:rPr>
      </w:pPr>
      <w:r>
        <w:rPr>
          <w:rFonts w:ascii="Arial" w:cs="Arial" w:eastAsia="Arial" w:hAnsi="Arial"/>
          <w:sz w:val="22"/>
          <w:szCs w:val="22"/>
          <w:color w:val="auto"/>
        </w:rPr>
        <w:t>(i) All of the time based restrictions on each of your outstanding restricted stock and restricted stock units granted to you under the plans of the Company,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00"/>
          </w:cols>
          <w:pgMar w:left="320" w:top="132" w:right="37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12" w:lineRule="exact"/>
        <w:rPr>
          <w:sz w:val="20"/>
          <w:szCs w:val="20"/>
          <w:color w:val="auto"/>
        </w:rPr>
      </w:pPr>
    </w:p>
    <w:p>
      <w:pPr>
        <w:ind w:left="1300"/>
        <w:spacing w:after="0" w:line="285" w:lineRule="auto"/>
        <w:rPr>
          <w:sz w:val="20"/>
          <w:szCs w:val="20"/>
          <w:color w:val="auto"/>
        </w:rPr>
      </w:pPr>
      <w:r>
        <w:rPr>
          <w:rFonts w:ascii="Arial" w:cs="Arial" w:eastAsia="Arial" w:hAnsi="Arial"/>
          <w:sz w:val="19"/>
          <w:szCs w:val="19"/>
          <w:color w:val="auto"/>
        </w:rPr>
        <w:t>applicable, including, without limitation, the Special Equity Award, shall immediately be eliminated, (ii) deliveries with respect to any such restricted stock that are not subject to performance criteria shall be made immediately after the effective date of the Separation Agreement, (iii) payment and deliveries with respect to any such restricted stock units that are not subject to performance criteria shall be made on the 90th day after the termination of your employment, and (iv) payments or deliveries with respect to any restricted stock and restricted stock units that are subject to performance criteria shall be made: (A) with respect to the Special Equity Award and any other award granted after the date hereof, to the extent that the Compensation Committee determines that such performance criteria have been satisfied (which determination will be made by the Compensation Committee (1) with respect to performance periods that ended on or prior to your date of termination, within a reasonable period of time following your termination and (2) with respect to performance periods ending after your date of termination, within a reasonable period of time following the end of such performance periods, in each case subject to the Company finalizing any financial information necessary to make the determination), as soon as practicable after such determination; and (B) with respect to any other such restricted stock and restricted stock units granted prior to the date hereof, only if, when and to the same extent that other similarly situated executives receive payment or deliveries for such awards as determined by the Compensation Committee subject to satisfaction of any applicable performance objectives, in each case, provided that, for awards for which the performance periods had not been completed on the date of your termination, the Company will comply with the Rabbi Trust obligations set forth in the last paragraph of this Paragraph 7;</w:t>
      </w:r>
    </w:p>
    <w:p>
      <w:pPr>
        <w:spacing w:after="0" w:line="200" w:lineRule="exact"/>
        <w:rPr>
          <w:sz w:val="20"/>
          <w:szCs w:val="20"/>
          <w:color w:val="auto"/>
        </w:rPr>
      </w:pPr>
    </w:p>
    <w:p>
      <w:pPr>
        <w:spacing w:after="0" w:line="222" w:lineRule="exact"/>
        <w:rPr>
          <w:sz w:val="20"/>
          <w:szCs w:val="20"/>
          <w:color w:val="auto"/>
        </w:rPr>
      </w:pPr>
    </w:p>
    <w:p>
      <w:pPr>
        <w:ind w:left="1300" w:right="200" w:hanging="644"/>
        <w:spacing w:after="0" w:line="271" w:lineRule="auto"/>
        <w:tabs>
          <w:tab w:leader="none" w:pos="1297" w:val="left"/>
        </w:tabs>
        <w:numPr>
          <w:ilvl w:val="0"/>
          <w:numId w:val="45"/>
        </w:numPr>
        <w:rPr>
          <w:rFonts w:ascii="Arial" w:cs="Arial" w:eastAsia="Arial" w:hAnsi="Arial"/>
          <w:sz w:val="21"/>
          <w:szCs w:val="21"/>
          <w:color w:val="010000"/>
        </w:rPr>
      </w:pPr>
      <w:r>
        <w:rPr>
          <w:rFonts w:ascii="Arial" w:cs="Arial" w:eastAsia="Arial" w:hAnsi="Arial"/>
          <w:sz w:val="21"/>
          <w:szCs w:val="21"/>
          <w:color w:val="auto"/>
        </w:rPr>
        <w:t>Each of your outstanding stock options and stock appreciation awards under the plans of the Company, if any, shall immediately vest and become exercisable and you shall have the right to exercise each of those options and stock appreciation awards for the remainder of the term of such option or award; and</w:t>
      </w:r>
    </w:p>
    <w:p>
      <w:pPr>
        <w:spacing w:after="0" w:line="167" w:lineRule="exact"/>
        <w:rPr>
          <w:rFonts w:ascii="Arial" w:cs="Arial" w:eastAsia="Arial" w:hAnsi="Arial"/>
          <w:sz w:val="21"/>
          <w:szCs w:val="21"/>
          <w:color w:val="010000"/>
        </w:rPr>
      </w:pPr>
    </w:p>
    <w:p>
      <w:pPr>
        <w:ind w:left="1300" w:right="20" w:hanging="644"/>
        <w:spacing w:after="0" w:line="290" w:lineRule="auto"/>
        <w:tabs>
          <w:tab w:leader="none" w:pos="1300"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A pro rated annual bonus for the year in which such termination occurred (based on the number of full calendar months during which you were employed by the Company during the year) only if, when and to the same extent that other similarly situated executives receive payment of bonuses for such year (without adjustment for your individual performance) as determined by the Compensation Committee in its sole discretion (and subject to the satisfaction of any applicable performance objectives) and, if not previously paid, your annual bonus for the preceding year, if, when and to the same extent that other similarly situated executives receive payment of bonuses for such year (without adjustment for your individual performance) as determined by the Compensation Committee in its sole discretion (and subject to the satisfaction of any applicable performance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40"/>
          </w:cols>
          <w:pgMar w:left="320" w:top="132" w:right="33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5</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12" w:lineRule="exact"/>
        <w:rPr>
          <w:sz w:val="20"/>
          <w:szCs w:val="20"/>
          <w:color w:val="auto"/>
        </w:rPr>
      </w:pPr>
    </w:p>
    <w:p>
      <w:pPr>
        <w:ind w:left="1300" w:hanging="644"/>
        <w:spacing w:after="0" w:line="247" w:lineRule="auto"/>
        <w:tabs>
          <w:tab w:leader="none" w:pos="1295"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The above provisions of this Paragraph 7 to the contrary notwithstanding, to the extent that (i) any awards payable under this Paragraph 7 constitute “non-qualified deferred compensation” subject to Section 409A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and any regulations and guidelines promulgated thereunder (collectively, “</w:t>
      </w:r>
      <w:r>
        <w:rPr>
          <w:rFonts w:ascii="Arial" w:cs="Arial" w:eastAsia="Arial" w:hAnsi="Arial"/>
          <w:sz w:val="22"/>
          <w:szCs w:val="22"/>
          <w:u w:val="single" w:color="auto"/>
          <w:color w:val="auto"/>
        </w:rPr>
        <w:t>Section 409A</w:t>
      </w:r>
      <w:r>
        <w:rPr>
          <w:rFonts w:ascii="Arial" w:cs="Arial" w:eastAsia="Arial" w:hAnsi="Arial"/>
          <w:sz w:val="22"/>
          <w:szCs w:val="22"/>
          <w:color w:val="auto"/>
        </w:rPr>
        <w:t>”); and (ii) accelerated payout is not permitted by Section 409A, such awards shall be payable to you at such time as is provided under the terms of such awards or otherwise in compliance with Section 409A.</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color w:val="auto"/>
        </w:rPr>
        <w:t>Notwithstanding the foregoing, in the event of a “Going Private Transaction” or a “Change of Control”, as such terms are defined in your respective long-term cash incentive, restricted stock, restricted stock unit, stock option or stock appreciation right award agreements, or in the event of your death, you will be entitled to receive the more favorable provisions (if any) provided in such award agreements (including with respect to vesting and payment); provided, however, that to the extent any previously granted award agreement provides for “deferred compensation” subject to Section 409A, then payment will not be made prior to the earliest date permitted under Section 409A.</w:t>
      </w:r>
    </w:p>
    <w:p>
      <w:pPr>
        <w:spacing w:after="0" w:line="179"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color w:val="auto"/>
        </w:rPr>
        <w:t>With respect to any of your long-term cash performance, restricted stock and restricted stock unit awards for which the performance periods had not been completed on the date of your termination, (1) the Company will (a) pay a cash amount equal to the target amount of those long-term cash performance awards and (b) deliver a number of shares equal to the number of such restricted stock and restricted stock unit awards, in each case to a trust in compliance with Rev. Proc. 92-64 (the “Rabbi Trust”), and (2) subject to Paragraph 15, the cash and shares in the Rabbi Trust will be paid and delivered to you in accordance with Paragraphs 7(b) and 7(d) (and to the extent performance is not achieved, the cash and shares in the Rabbi Trust will revert to the Company).</w:t>
      </w:r>
    </w:p>
    <w:p>
      <w:pPr>
        <w:spacing w:after="0" w:line="196" w:lineRule="exact"/>
        <w:rPr>
          <w:sz w:val="20"/>
          <w:szCs w:val="20"/>
          <w:color w:val="auto"/>
        </w:rPr>
      </w:pPr>
    </w:p>
    <w:p>
      <w:pPr>
        <w:ind w:left="660" w:right="120" w:hanging="652"/>
        <w:spacing w:after="0" w:line="343" w:lineRule="auto"/>
        <w:tabs>
          <w:tab w:leader="none" w:pos="6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you die after a termination of your employment that is subject to Paragraph 7 or 11, your estate or beneficiaries will be provided with any remaining benefits and rights under Paragraph 7 or Paragraph 11, as applicable.</w:t>
      </w:r>
    </w:p>
    <w:p>
      <w:pPr>
        <w:spacing w:after="0" w:line="104" w:lineRule="exact"/>
        <w:rPr>
          <w:rFonts w:ascii="Arial" w:cs="Arial" w:eastAsia="Arial" w:hAnsi="Arial"/>
          <w:sz w:val="19"/>
          <w:szCs w:val="19"/>
          <w:color w:val="auto"/>
        </w:rPr>
      </w:pPr>
    </w:p>
    <w:p>
      <w:pPr>
        <w:ind w:left="660" w:hanging="652"/>
        <w:spacing w:after="0" w:line="248"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you cease to be an employee of the Company or any of its affiliates prior to the Scheduled Expiration Date as a result of your death or physical or mental disability, you (or your estate or beneficiary) will be provided with the benefits and rights set forth immediately above in Paragraphs 7(b) through (g), and, in the event of your death, such longer period to exercise your then outstanding stock options and stock appreciation awards of the Company as may otherwise be permitted under the applicable stock plan and award letter.</w:t>
      </w:r>
    </w:p>
    <w:p>
      <w:pPr>
        <w:spacing w:after="0" w:line="191" w:lineRule="exact"/>
        <w:rPr>
          <w:rFonts w:ascii="Arial" w:cs="Arial" w:eastAsia="Arial" w:hAnsi="Arial"/>
          <w:sz w:val="22"/>
          <w:szCs w:val="22"/>
          <w:color w:val="auto"/>
        </w:rPr>
      </w:pPr>
    </w:p>
    <w:p>
      <w:pPr>
        <w:jc w:val="both"/>
        <w:ind w:left="660" w:right="160" w:hanging="652"/>
        <w:spacing w:after="0" w:line="248"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after the Scheduled Expiration Date, your employment with the Company is terminated by you without Good Reason but only if you had provided the Company with at least six months advance written notice of your intent to so terminate your employment under this provision, and such written notice specifies an effective date of termination no sooner than the first day after the Scheduled Expiration Date, and at the time of such termination, Cause does not exist, then, subject to your execution and delivery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20"/>
          </w:cols>
          <w:pgMar w:left="320" w:top="132" w:right="35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6</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12" w:lineRule="exact"/>
        <w:rPr>
          <w:sz w:val="20"/>
          <w:szCs w:val="20"/>
          <w:color w:val="auto"/>
        </w:rPr>
      </w:pPr>
    </w:p>
    <w:p>
      <w:pPr>
        <w:ind w:left="660"/>
        <w:spacing w:after="0" w:line="290" w:lineRule="auto"/>
        <w:rPr>
          <w:sz w:val="20"/>
          <w:szCs w:val="20"/>
          <w:color w:val="auto"/>
        </w:rPr>
      </w:pPr>
      <w:r>
        <w:rPr>
          <w:rFonts w:ascii="Arial" w:cs="Arial" w:eastAsia="Arial" w:hAnsi="Arial"/>
          <w:sz w:val="19"/>
          <w:szCs w:val="19"/>
          <w:color w:val="auto"/>
        </w:rPr>
        <w:t>revocation) to the Company of a Separation Agreement, you will be provided with the benefits and rights set forth above in Paragraphs 7(b) through (g). Notwithstanding the foregoing sentence, in the event that you transition to the Vice Chairman role for the 2022 calendar year in accordance with Paragraph 1, and if, after December 31, 2021, your employment with the Company is terminated by you without Good Reason but only if you had provided the Company with at least three months advance written notice of your intent to so terminate your employment under this provision, and such written notice specifies an effective date of termination no sooner than January 1, 2022, and at the time of such termination, Cause does not exist, then, subject to your execution and delivery (without revocation) to the Company of a Separation Agreement, you will be provided with the benefits and rights set forth above in Paragraphs 7(b) through (g).</w:t>
      </w:r>
    </w:p>
    <w:p>
      <w:pPr>
        <w:spacing w:after="0" w:line="156" w:lineRule="exact"/>
        <w:rPr>
          <w:sz w:val="20"/>
          <w:szCs w:val="20"/>
          <w:color w:val="auto"/>
        </w:rPr>
      </w:pPr>
    </w:p>
    <w:p>
      <w:pPr>
        <w:ind w:left="660" w:right="40" w:hanging="652"/>
        <w:spacing w:after="0" w:line="263" w:lineRule="auto"/>
        <w:tabs>
          <w:tab w:leader="none" w:pos="652"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after the Scheduled Expiration Date, your employment with the Company is terminated (i) by the Company, (ii) by you for Good Reason, or (iii) as a result of your death or disability, and at the time of any such termination described above, Cause does not exist, then, subject to (except in the case of your death) your execution and delivery (without revocation) to the Company of a Separation Agreement, you or your estate or beneficiary, as the case may be, will be provided with the benefits and rights set forth above in Paragraphs 7(b) through (g).</w:t>
      </w:r>
    </w:p>
    <w:p>
      <w:pPr>
        <w:spacing w:after="0" w:line="175" w:lineRule="exact"/>
        <w:rPr>
          <w:rFonts w:ascii="Arial" w:cs="Arial" w:eastAsia="Arial" w:hAnsi="Arial"/>
          <w:sz w:val="21"/>
          <w:szCs w:val="21"/>
          <w:color w:val="auto"/>
        </w:rPr>
      </w:pPr>
    </w:p>
    <w:p>
      <w:pPr>
        <w:ind w:left="660" w:right="160" w:hanging="652"/>
        <w:spacing w:after="0" w:line="294"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If, prior to, on or after the Scheduled Expiration Date, you cease to be employed by the Company for any reason other than your being terminated by the Company for Cause, you shall have three years to exercise outstanding stock options and stock appreciation awards of the Company unless you are afforded a longer period for exercise pursuant to another provision of this Agreement or any applicable award letter, but in no event shall such stock options or stock appreciation awards be exercisable after the end of the applicable regularly scheduled term (except in the case of death, as may otherwise be permitted under the applicable stock plan and award letter).</w:t>
      </w:r>
    </w:p>
    <w:p>
      <w:pPr>
        <w:spacing w:after="0" w:line="149" w:lineRule="exact"/>
        <w:rPr>
          <w:rFonts w:ascii="Arial" w:cs="Arial" w:eastAsia="Arial" w:hAnsi="Arial"/>
          <w:sz w:val="19"/>
          <w:szCs w:val="19"/>
          <w:color w:val="auto"/>
        </w:rPr>
      </w:pPr>
    </w:p>
    <w:p>
      <w:pPr>
        <w:ind w:left="660" w:hanging="652"/>
        <w:spacing w:after="0" w:line="248"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Upon the termination of your employment with the Company, except as otherwise specifically provided in this Agreement, your rights to benefits and payments under the Company’s pension and welfare plans (other than severance benefits) and any outstanding long-term cash or equity awards shall be determined in accordance with the then current terms and provisions of such plans, agreements and awards under which such benefits and payments (including such long-term cash or equity awards) were granted.</w:t>
      </w:r>
    </w:p>
    <w:p>
      <w:pPr>
        <w:spacing w:after="0" w:line="191" w:lineRule="exact"/>
        <w:rPr>
          <w:rFonts w:ascii="Arial" w:cs="Arial" w:eastAsia="Arial" w:hAnsi="Arial"/>
          <w:sz w:val="22"/>
          <w:szCs w:val="22"/>
          <w:color w:val="auto"/>
        </w:rPr>
      </w:pPr>
    </w:p>
    <w:p>
      <w:pPr>
        <w:ind w:left="660" w:right="120" w:hanging="652"/>
        <w:spacing w:after="0" w:line="287" w:lineRule="auto"/>
        <w:tabs>
          <w:tab w:leader="none" w:pos="660" w:val="left"/>
        </w:tabs>
        <w:numPr>
          <w:ilvl w:val="0"/>
          <w:numId w:val="48"/>
        </w:numPr>
        <w:rPr>
          <w:rFonts w:ascii="Arial" w:cs="Arial" w:eastAsia="Arial" w:hAnsi="Arial"/>
          <w:sz w:val="21"/>
          <w:szCs w:val="21"/>
          <w:color w:val="auto"/>
        </w:rPr>
      </w:pPr>
      <w:r>
        <w:rPr>
          <w:rFonts w:ascii="Arial" w:cs="Arial" w:eastAsia="Arial" w:hAnsi="Arial"/>
          <w:sz w:val="21"/>
          <w:szCs w:val="21"/>
          <w:color w:val="auto"/>
        </w:rPr>
        <w:t>You and the Company agree to be bound by the additional covenants, acknowledgements and other provisions applicable to each that are set forth in Annex B, which shall be deemed to be part of this Agreement.</w:t>
      </w:r>
    </w:p>
    <w:p>
      <w:pPr>
        <w:spacing w:after="0" w:line="151" w:lineRule="exact"/>
        <w:rPr>
          <w:rFonts w:ascii="Arial" w:cs="Arial" w:eastAsia="Arial" w:hAnsi="Arial"/>
          <w:sz w:val="21"/>
          <w:szCs w:val="21"/>
          <w:color w:val="auto"/>
        </w:rPr>
      </w:pPr>
    </w:p>
    <w:p>
      <w:pPr>
        <w:ind w:left="660" w:right="240" w:hanging="652"/>
        <w:spacing w:after="0" w:line="263"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Company may withhold from any payment due hereunder any taxes that are required to be withheld under any law, rule or regulation.</w:t>
      </w:r>
    </w:p>
    <w:p>
      <w:pPr>
        <w:spacing w:after="0" w:line="174" w:lineRule="exact"/>
        <w:rPr>
          <w:rFonts w:ascii="Arial" w:cs="Arial" w:eastAsia="Arial" w:hAnsi="Arial"/>
          <w:sz w:val="22"/>
          <w:szCs w:val="22"/>
          <w:color w:val="auto"/>
        </w:rPr>
      </w:pPr>
    </w:p>
    <w:p>
      <w:pPr>
        <w:ind w:left="660" w:right="140" w:hanging="652"/>
        <w:spacing w:after="0" w:line="263"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any payment otherwise due to you hereunder would result in the imposition of the excise tax imposed by Section 4999 of the Internal Revenue Code, the Company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40"/>
          </w:cols>
          <w:pgMar w:left="320" w:top="132" w:right="3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7</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12" w:lineRule="exact"/>
        <w:rPr>
          <w:sz w:val="20"/>
          <w:szCs w:val="20"/>
          <w:color w:val="auto"/>
        </w:rPr>
      </w:pPr>
    </w:p>
    <w:p>
      <w:pPr>
        <w:ind w:left="660"/>
        <w:spacing w:after="0" w:line="294" w:lineRule="auto"/>
        <w:rPr>
          <w:sz w:val="20"/>
          <w:szCs w:val="20"/>
          <w:color w:val="auto"/>
        </w:rPr>
      </w:pPr>
      <w:r>
        <w:rPr>
          <w:rFonts w:ascii="Arial" w:cs="Arial" w:eastAsia="Arial" w:hAnsi="Arial"/>
          <w:sz w:val="19"/>
          <w:szCs w:val="19"/>
          <w:color w:val="auto"/>
        </w:rPr>
        <w:t>instead pay you either (i) such amount or (ii) the maximum amount that could be paid to you without the imposition of the excise tax, depending on whichever amount results in your receiving the greater amount of after-tax proceeds. In the event that the payments and benefits payable to you would be reduced as provided in clause (ii) of the previous sentence, then such reduction will be determined in a manner which has the least economic cost to you and, to the extent the economic cost is equivalent, such payments or benefits will be reduced in the inverse order of when the payments or benefits would have been made to you (</w:t>
      </w:r>
      <w:r>
        <w:rPr>
          <w:rFonts w:ascii="Arial" w:cs="Arial" w:eastAsia="Arial" w:hAnsi="Arial"/>
          <w:sz w:val="19"/>
          <w:szCs w:val="19"/>
          <w:u w:val="single" w:color="auto"/>
          <w:color w:val="auto"/>
        </w:rPr>
        <w:t>i.e.</w:t>
      </w:r>
      <w:r>
        <w:rPr>
          <w:rFonts w:ascii="Arial" w:cs="Arial" w:eastAsia="Arial" w:hAnsi="Arial"/>
          <w:sz w:val="19"/>
          <w:szCs w:val="19"/>
          <w:color w:val="auto"/>
        </w:rPr>
        <w:t>, later payments will be reduced first) until the reduction specified is achieved.</w:t>
      </w:r>
    </w:p>
    <w:p>
      <w:pPr>
        <w:spacing w:after="0" w:line="149" w:lineRule="exact"/>
        <w:rPr>
          <w:sz w:val="20"/>
          <w:szCs w:val="20"/>
          <w:color w:val="auto"/>
        </w:rPr>
      </w:pPr>
    </w:p>
    <w:p>
      <w:pPr>
        <w:ind w:left="660" w:right="20" w:hanging="652"/>
        <w:spacing w:after="0" w:line="286"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and to the extent that any payment or benefit under this Agreement, or any plan, award or arrangement of the Company or its affiliates, constitutes “non-qualified deferred compensation” subject to Section 409A of the Code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as determined by the Company), such payment or benefit shall not be made or provided before the date that is six months after the date of your separation from service (or your earlier death). Any amount not paid or benefit not provided in respect of the six month period specified in the preceding sentence will be paid to you, together with interest on such delayed amount at a rate equal to the average of the one-year LIBOR fixed rate equivalent for the ten business days prior to the date of your separation from service, in a lump sum or, as applicable, will be provided to you as soon as practicable after the expiration of such six month period. Any such payments or benefit subject to Section 409A shall be treated as separate payments for purposes of Section 409A. Furthermore, to the extent any other payments of money or other benefits due to you could cause the application of an additional tax under Section 409A, such payments or other benefits shall be deferred if deferral will make such payment or other benefits compliant under Section 409A.</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660" w:right="60" w:hanging="652"/>
        <w:spacing w:after="0" w:line="297"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To the extent any expense reimbursement is determined to be subject to Section 409A, the amount of any such expenses eligible for reimbursement in one calendar year shall not affect the expenses eligible for reimbursement in any other taxable year (except under any lifetime limit applicable to expenses for medical care), in no event shall any expenses be reimbursed after the last day of the calendar year following the calendar year in which you incurred such expenses, and in no event shall any right to reimbursement be subject to liquidation or exchange for another benefit.</w:t>
      </w:r>
    </w:p>
    <w:p>
      <w:pPr>
        <w:spacing w:after="0" w:line="146" w:lineRule="exact"/>
        <w:rPr>
          <w:rFonts w:ascii="Arial" w:cs="Arial" w:eastAsia="Arial" w:hAnsi="Arial"/>
          <w:sz w:val="19"/>
          <w:szCs w:val="19"/>
          <w:color w:val="auto"/>
        </w:rPr>
      </w:pPr>
    </w:p>
    <w:p>
      <w:pPr>
        <w:ind w:left="660" w:right="80" w:hanging="652"/>
        <w:spacing w:after="0" w:line="247"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will not take any action that would expose any payment or benefit to you to an acceleration of income, interest or the additional tax of Section 409A(1) , unless (i) the Company is obligated to take the action under agreement, plan or arrangement to which you are a party, (ii) you request the action, (iii) the Company advises you in writing that the action may result in the imposition of the additional tax and (iv) you subsequently request the action in a writing that acknowledges you will be responsible for any effect of the action under Section 409A. The Company will hold you harmless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40"/>
          </w:cols>
          <w:pgMar w:left="320" w:top="132" w:right="3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8</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12" w:lineRule="exact"/>
        <w:rPr>
          <w:sz w:val="20"/>
          <w:szCs w:val="20"/>
          <w:color w:val="auto"/>
        </w:rPr>
      </w:pPr>
    </w:p>
    <w:p>
      <w:pPr>
        <w:ind w:left="660" w:right="340"/>
        <w:spacing w:after="0" w:line="263" w:lineRule="auto"/>
        <w:rPr>
          <w:sz w:val="20"/>
          <w:szCs w:val="20"/>
          <w:color w:val="auto"/>
        </w:rPr>
      </w:pPr>
      <w:r>
        <w:rPr>
          <w:rFonts w:ascii="Arial" w:cs="Arial" w:eastAsia="Arial" w:hAnsi="Arial"/>
          <w:sz w:val="22"/>
          <w:szCs w:val="22"/>
          <w:color w:val="auto"/>
        </w:rPr>
        <w:t>any action it may take in violation of this Paragraph 19, including any attorney’s fees you may incur in enforcing your rights.</w:t>
      </w:r>
    </w:p>
    <w:p>
      <w:pPr>
        <w:spacing w:after="0" w:line="175" w:lineRule="exact"/>
        <w:rPr>
          <w:sz w:val="20"/>
          <w:szCs w:val="20"/>
          <w:color w:val="auto"/>
        </w:rPr>
      </w:pPr>
    </w:p>
    <w:p>
      <w:pPr>
        <w:ind w:left="660" w:right="200" w:hanging="652"/>
        <w:spacing w:after="0" w:line="302" w:lineRule="auto"/>
        <w:tabs>
          <w:tab w:leader="none" w:pos="6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It is our intention that the benefits and rights to which you could become entitled in connection with termination of employment comply with Section 409A. If you or the Company believes, at any time, that any of such benefit or right does not comply, it will promptly advise the other and will negotiate reasonably and in good faith to amend the terms of such arrangement such that it complies (with the most limited possible economic effect on you and on the Company).</w:t>
      </w:r>
    </w:p>
    <w:p>
      <w:pPr>
        <w:spacing w:after="0" w:line="142" w:lineRule="exact"/>
        <w:rPr>
          <w:rFonts w:ascii="Arial" w:cs="Arial" w:eastAsia="Arial" w:hAnsi="Arial"/>
          <w:sz w:val="19"/>
          <w:szCs w:val="19"/>
          <w:color w:val="auto"/>
        </w:rPr>
      </w:pPr>
    </w:p>
    <w:p>
      <w:pPr>
        <w:jc w:val="both"/>
        <w:ind w:left="660" w:right="200" w:hanging="652"/>
        <w:spacing w:after="0" w:line="302" w:lineRule="auto"/>
        <w:tabs>
          <w:tab w:leader="none" w:pos="6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This Agreement is personal to you and without the prior written consent of the Company shall not be assignable by you otherwise than by will or the laws of descent and distribution and any assignment in violation of this Paragraph 21 shall be void. This Agreement shall inure to the benefit of and be enforceable by your legal representatives. This Agreement shall inure to the benefit of and be binding upon the Company and its successors and assigns.</w:t>
      </w:r>
    </w:p>
    <w:p>
      <w:pPr>
        <w:spacing w:after="0" w:line="142" w:lineRule="exact"/>
        <w:rPr>
          <w:rFonts w:ascii="Arial" w:cs="Arial" w:eastAsia="Arial" w:hAnsi="Arial"/>
          <w:sz w:val="19"/>
          <w:szCs w:val="19"/>
          <w:color w:val="auto"/>
        </w:rPr>
      </w:pPr>
    </w:p>
    <w:p>
      <w:pPr>
        <w:ind w:left="660" w:right="80" w:hanging="652"/>
        <w:spacing w:after="0" w:line="250"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the extent permitted by law, you and the Company waive any and all rights to a jury trial with respect to any controversy or claim between you and the Company arising out of or relating to or concerning this Agreement (including the covenants contained in Annex B) or any aspect of your employment with the Company or the termination of that employment.</w:t>
      </w:r>
    </w:p>
    <w:p>
      <w:pPr>
        <w:spacing w:after="0" w:line="187" w:lineRule="exact"/>
        <w:rPr>
          <w:rFonts w:ascii="Arial" w:cs="Arial" w:eastAsia="Arial" w:hAnsi="Arial"/>
          <w:sz w:val="22"/>
          <w:szCs w:val="22"/>
          <w:color w:val="auto"/>
        </w:rPr>
      </w:pPr>
    </w:p>
    <w:p>
      <w:pPr>
        <w:ind w:left="660" w:right="40" w:hanging="652"/>
        <w:spacing w:after="0" w:line="253"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THIS AGREEMENT WILL BE GOVERNED BY AND CONSTRUED IN ACCORDANCE WITH THE LAW OF THE STATE OF NEW YORK APPLICABLE TO CONTRACTS MADE AND TO BE PERFORMED ENTIRELY WITHIN THAT STATE.</w:t>
      </w:r>
    </w:p>
    <w:p>
      <w:pPr>
        <w:spacing w:after="0" w:line="185" w:lineRule="exact"/>
        <w:rPr>
          <w:rFonts w:ascii="Arial" w:cs="Arial" w:eastAsia="Arial" w:hAnsi="Arial"/>
          <w:sz w:val="22"/>
          <w:szCs w:val="22"/>
          <w:color w:val="auto"/>
        </w:rPr>
      </w:pPr>
    </w:p>
    <w:p>
      <w:pPr>
        <w:ind w:left="660" w:hanging="652"/>
        <w:spacing w:after="0" w:line="294" w:lineRule="auto"/>
        <w:tabs>
          <w:tab w:leader="none" w:pos="6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Both the Company and you hereby irrevocably submit to the exclusive jurisdiction of the courts of the State of New York and the federal courts of the United States of America located in the State of New York solely in respect of the interpretation and enforcement of the provisions of this Agreement, and each of us hereby waives, and agrees not to assert, as a defense that either of us, as appropriate, is not subject thereto or that the venue thereof may not be appropriate. We each hereby agree that mailing of process or other papers in connection with any such action or proceeding in any manner as may be permitted by law shall be valid and sufficient service thereof.</w:t>
      </w:r>
    </w:p>
    <w:p>
      <w:pPr>
        <w:spacing w:after="0" w:line="149" w:lineRule="exact"/>
        <w:rPr>
          <w:rFonts w:ascii="Arial" w:cs="Arial" w:eastAsia="Arial" w:hAnsi="Arial"/>
          <w:sz w:val="19"/>
          <w:szCs w:val="19"/>
          <w:color w:val="auto"/>
        </w:rPr>
      </w:pPr>
    </w:p>
    <w:p>
      <w:pPr>
        <w:ind w:left="660" w:hanging="652"/>
        <w:spacing w:after="0" w:line="261" w:lineRule="auto"/>
        <w:tabs>
          <w:tab w:leader="none" w:pos="660"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This Agreement may not be amended or modified otherwise than by a written agreement executed by the parties hereto or their respective successors and legal representatives. The invalidity or unenforceability of any provision of this Agreement shall not affect the validity or enforceability of any other provision of this Agreement. It is the parties’ intention that this Agreement not be construed more strictly with regard to you or the Company. From and after the date hereof, this Agreement shall supersede any prior agreements, arrangements, understandings and communications between the parties dealing with such subject matter hereof, whether oral 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00"/>
          </w:cols>
          <w:pgMar w:left="320" w:top="132" w:right="37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9</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12"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Certain capitalized terms used herein have the meanings set forth in Annex A hereto.</w:t>
      </w:r>
    </w:p>
    <w:p>
      <w:pPr>
        <w:spacing w:after="0" w:line="219" w:lineRule="exact"/>
        <w:rPr>
          <w:rFonts w:ascii="Arial" w:cs="Arial" w:eastAsia="Arial" w:hAnsi="Arial"/>
          <w:sz w:val="22"/>
          <w:szCs w:val="22"/>
          <w:color w:val="auto"/>
        </w:rPr>
      </w:pPr>
    </w:p>
    <w:p>
      <w:pPr>
        <w:ind w:left="660" w:right="60" w:hanging="652"/>
        <w:spacing w:after="0" w:line="271" w:lineRule="auto"/>
        <w:tabs>
          <w:tab w:leader="none" w:pos="66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This Agreement shall automatically expire and be of no further effect as of immediately following the Scheduled Expiration Date; provided, however, Paragraphs 2, 8 (in respect of Paragraph 11) and 10 through, and including, 27 shall survive the termination or expiration of this Agreement and shall be binding on you and the Company.</w:t>
      </w:r>
    </w:p>
    <w:p>
      <w:pPr>
        <w:spacing w:after="0" w:line="167"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Company hereby agrees that it shall indemnify and hold you harmless to the fullest extent provided in Article VIII of the Company’s By-Laws and on terms no less favorable as those applicable to other similarly situated executives of the Company. To the extent that Company maintains officers’ and directors’ liability insurance, you will be covered under such policy subject to the exclusions and limitations set forth therein. The provisions of this Paragraph 28 shall survive the expiration or termination of your employment and/or this Agreement.</w:t>
      </w:r>
    </w:p>
    <w:p>
      <w:pPr>
        <w:spacing w:after="0" w:line="200" w:lineRule="exact"/>
        <w:rPr>
          <w:sz w:val="20"/>
          <w:szCs w:val="20"/>
          <w:color w:val="auto"/>
        </w:rPr>
      </w:pPr>
    </w:p>
    <w:p>
      <w:pPr>
        <w:spacing w:after="0" w:line="27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AMC NETWORKS INC.</w:t>
      </w:r>
    </w:p>
    <w:p>
      <w:pPr>
        <w:spacing w:after="0" w:line="24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/s/ James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-17780</wp:posOffset>
            </wp:positionV>
            <wp:extent cx="13785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By: James G. Gallagher</w:t>
      </w:r>
    </w:p>
    <w:p>
      <w:pPr>
        <w:spacing w:after="0" w:line="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Title: Executive Vice President</w:t>
      </w:r>
    </w:p>
    <w:p>
      <w:pPr>
        <w:spacing w:after="0" w:line="4"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and General Counsel</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-17780</wp:posOffset>
            </wp:positionV>
            <wp:extent cx="12293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Joshua W. Sapan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160"/>
          </w:cols>
          <w:pgMar w:left="320" w:top="132" w:right="41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10</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06"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ANNEX A</w:t>
      </w: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DEFINITIONS ANNEX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(This Annex constitutes part of the Agreement)</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 your (i) commission of an act of fraud, embezzlement, misappropriation, willful misconduct, gross negligence or breach of fiduciary duty against the Company or an affiliate thereof, or (ii) commission of any act or omission that results in, or may reasonably be expected to result in, a conviction, plea of no contest, plea of Nolo Contendere, or imposition of unadjudicated probation for any crime involving moral turpitude or felony.</w:t>
      </w:r>
    </w:p>
    <w:p>
      <w:pPr>
        <w:spacing w:after="0" w:line="188"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Termination for “</w:t>
      </w:r>
      <w:r>
        <w:rPr>
          <w:rFonts w:ascii="Arial" w:cs="Arial" w:eastAsia="Arial" w:hAnsi="Arial"/>
          <w:sz w:val="19"/>
          <w:szCs w:val="19"/>
          <w:u w:val="single" w:color="auto"/>
          <w:color w:val="auto"/>
        </w:rPr>
        <w:t>Good Reason</w:t>
      </w:r>
      <w:r>
        <w:rPr>
          <w:rFonts w:ascii="Arial" w:cs="Arial" w:eastAsia="Arial" w:hAnsi="Arial"/>
          <w:sz w:val="19"/>
          <w:szCs w:val="19"/>
          <w:color w:val="auto"/>
        </w:rPr>
        <w:t>” means that, except as otherwise provided and agreed in this Agreement, (1) without your consent, (A) your base salary or bonus target as an employee is reduced, (B) the Company requires that your principal office be located more than fifty miles from Manhattan, (C) the Company materially breaches its obligations to you under this Agreement,</w:t>
      </w:r>
    </w:p>
    <w:p>
      <w:pPr>
        <w:spacing w:after="0" w:line="1" w:lineRule="exact"/>
        <w:rPr>
          <w:sz w:val="20"/>
          <w:szCs w:val="20"/>
          <w:color w:val="auto"/>
        </w:rPr>
      </w:pPr>
    </w:p>
    <w:p>
      <w:pPr>
        <w:ind w:right="40" w:firstLine="8"/>
        <w:spacing w:after="0" w:line="281" w:lineRule="auto"/>
        <w:tabs>
          <w:tab w:leader="none" w:pos="354" w:val="left"/>
        </w:tabs>
        <w:numPr>
          <w:ilvl w:val="0"/>
          <w:numId w:val="52"/>
        </w:numPr>
        <w:rPr>
          <w:rFonts w:ascii="Arial" w:cs="Arial" w:eastAsia="Arial" w:hAnsi="Arial"/>
          <w:sz w:val="19"/>
          <w:szCs w:val="19"/>
          <w:color w:val="auto"/>
        </w:rPr>
      </w:pPr>
      <w:r>
        <w:rPr>
          <w:rFonts w:ascii="Arial" w:cs="Arial" w:eastAsia="Arial" w:hAnsi="Arial"/>
          <w:sz w:val="19"/>
          <w:szCs w:val="19"/>
          <w:color w:val="auto"/>
        </w:rPr>
        <w:t>prior to January 1, 2023, you are no longer the President and Chief Executive Officer of the Company, or if you or the Company elects to change your title to Vice Chairman in accordance with Paragraph 1, during calendar year 2022, your title is no longer Vice Chairman, (E) you report directly to someone other than the Chairman of the Board of Directors of the Company, or</w:t>
      </w:r>
    </w:p>
    <w:p>
      <w:pPr>
        <w:spacing w:after="0" w:line="2" w:lineRule="exact"/>
        <w:rPr>
          <w:rFonts w:ascii="Arial" w:cs="Arial" w:eastAsia="Arial" w:hAnsi="Arial"/>
          <w:sz w:val="19"/>
          <w:szCs w:val="19"/>
          <w:color w:val="auto"/>
        </w:rPr>
      </w:pPr>
    </w:p>
    <w:p>
      <w:pPr>
        <w:ind w:right="20" w:firstLine="8"/>
        <w:spacing w:after="0" w:line="244" w:lineRule="auto"/>
        <w:tabs>
          <w:tab w:leader="none" w:pos="318" w:val="left"/>
        </w:tabs>
        <w:numPr>
          <w:ilvl w:val="0"/>
          <w:numId w:val="53"/>
        </w:numPr>
        <w:rPr>
          <w:rFonts w:ascii="Arial" w:cs="Arial" w:eastAsia="Arial" w:hAnsi="Arial"/>
          <w:sz w:val="22"/>
          <w:szCs w:val="22"/>
          <w:color w:val="auto"/>
        </w:rPr>
      </w:pPr>
      <w:r>
        <w:rPr>
          <w:rFonts w:ascii="Arial" w:cs="Arial" w:eastAsia="Arial" w:hAnsi="Arial"/>
          <w:sz w:val="22"/>
          <w:szCs w:val="22"/>
          <w:color w:val="auto"/>
        </w:rPr>
        <w:t>your responsibilities are materially diminished, (2) you have given the Company written notice, referring specifically to this definition, that you do not consent to such action, (3) the Company has not corrected such action within 15 days of receiving such notice, and (4) you voluntarily terminate your employment within 90 days following the happening of the action described in subsection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40"/>
          </w:cols>
          <w:pgMar w:left="320" w:top="132"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11</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06"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ANNEX B</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ADDITIONAL COVENANTS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(This Annex constitutes part of the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 agree to comply with the following covenants in addition to those set forth in the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  CONFIDENTIALITY</w:t>
      </w:r>
    </w:p>
    <w:p>
      <w:pPr>
        <w:spacing w:after="0" w:line="220"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You agree to retain in strict confidence and not divulge, disseminate, copy or disclose to any third party any Confidential Information, other than for legitimate business purposes of the Company and its subsidiaries. As used herein, “</w:t>
      </w:r>
      <w:r>
        <w:rPr>
          <w:rFonts w:ascii="Arial" w:cs="Arial" w:eastAsia="Arial" w:hAnsi="Arial"/>
          <w:sz w:val="19"/>
          <w:szCs w:val="19"/>
          <w:i w:val="1"/>
          <w:iCs w:val="1"/>
          <w:color w:val="auto"/>
        </w:rPr>
        <w:t>Confidential</w:t>
      </w:r>
      <w:r>
        <w:rPr>
          <w:rFonts w:ascii="Arial" w:cs="Arial" w:eastAsia="Arial" w:hAnsi="Arial"/>
          <w:sz w:val="19"/>
          <w:szCs w:val="19"/>
          <w:color w:val="auto"/>
        </w:rPr>
        <w:t xml:space="preserve"> </w:t>
      </w:r>
      <w:r>
        <w:rPr>
          <w:rFonts w:ascii="Arial" w:cs="Arial" w:eastAsia="Arial" w:hAnsi="Arial"/>
          <w:sz w:val="19"/>
          <w:szCs w:val="19"/>
          <w:i w:val="1"/>
          <w:iCs w:val="1"/>
          <w:color w:val="auto"/>
        </w:rPr>
        <w:t>Information</w:t>
      </w:r>
      <w:r>
        <w:rPr>
          <w:rFonts w:ascii="Arial" w:cs="Arial" w:eastAsia="Arial" w:hAnsi="Arial"/>
          <w:sz w:val="19"/>
          <w:szCs w:val="19"/>
          <w:color w:val="auto"/>
        </w:rPr>
        <w:t>” means any non-public information that is material or of a confidential, proprietary, commercially sensitive or</w:t>
      </w:r>
      <w:r>
        <w:rPr>
          <w:rFonts w:ascii="Arial" w:cs="Arial" w:eastAsia="Arial" w:hAnsi="Arial"/>
          <w:sz w:val="19"/>
          <w:szCs w:val="19"/>
          <w:i w:val="1"/>
          <w:iCs w:val="1"/>
          <w:color w:val="auto"/>
        </w:rPr>
        <w:t xml:space="preserve"> </w:t>
      </w:r>
      <w:r>
        <w:rPr>
          <w:rFonts w:ascii="Arial" w:cs="Arial" w:eastAsia="Arial" w:hAnsi="Arial"/>
          <w:sz w:val="19"/>
          <w:szCs w:val="19"/>
          <w:color w:val="auto"/>
        </w:rPr>
        <w:t>personal nature of, or regarding, the Company or any of its subsidiaries or any current or former director, officer or member of senior management of any of the foregoing (collectively “</w:t>
      </w:r>
      <w:r>
        <w:rPr>
          <w:rFonts w:ascii="Arial" w:cs="Arial" w:eastAsia="Arial" w:hAnsi="Arial"/>
          <w:sz w:val="19"/>
          <w:szCs w:val="19"/>
          <w:i w:val="1"/>
          <w:iCs w:val="1"/>
          <w:color w:val="auto"/>
        </w:rPr>
        <w:t>Covered Parties</w:t>
      </w:r>
      <w:r>
        <w:rPr>
          <w:rFonts w:ascii="Arial" w:cs="Arial" w:eastAsia="Arial" w:hAnsi="Arial"/>
          <w:sz w:val="19"/>
          <w:szCs w:val="19"/>
          <w:color w:val="auto"/>
        </w:rPr>
        <w:t>”). The term Confidential Information includes information in written, digital, oral or any other format and includes, but is not limited to (i) information designated or treated as confidential; (ii) budgets, plans, forecasts or other financial or accounting data; (iii) subscriber, customer, advertiser, sponsor, talent, guest, fan, vendor or shareholder lists or data; (iv) technical, creative or strategic information regarding the Covered Parties’ programming, advertising, entertainment, theatrical or other businesses; (v) advertising, business, sales or marketing tactics and strategies; (vi) policies, practices, procedures or techniques; (vii) trade secrets or other intellectual property; (vii) information, theories or strategies relating to litigation, arbitration, mediation, investigations or matters relating to governmental authorities; (vii) terms of agreements with third parties and third party trade secrets; (viii) information regarding employees, actors, producers, directors, writers or other creative personnel, agents, consultants, advisors or representatives, including their compensation or other human resources policies and procedures; and (ix) any other information the disclosure of which may have an adverse effect on the Covered Parties’ business reputation, operations or competitive position, reputation or standing in the community.</w:t>
      </w:r>
    </w:p>
    <w:p>
      <w:pPr>
        <w:spacing w:after="0" w:line="200" w:lineRule="exact"/>
        <w:rPr>
          <w:sz w:val="20"/>
          <w:szCs w:val="20"/>
          <w:color w:val="auto"/>
        </w:rPr>
      </w:pPr>
    </w:p>
    <w:p>
      <w:pPr>
        <w:spacing w:after="0" w:line="215"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If disclosed, Confidential Information or Other Information could have an adverse effect on the Company’s standing in the community, its business reputation, operations or competitive position or the standing, reputation, operations or competitive position of any of its affiliates subsidiaries, officers, directors, employees, actors, producers, directors, writers or other creative personnel, consultants or agents or any of the Covered Parties.</w:t>
      </w:r>
    </w:p>
    <w:p>
      <w:pPr>
        <w:spacing w:after="0" w:line="188"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Notwithstanding the foregoing, the obligations of this paragraph, other than with respect to subscriber information, shall not apply to Confidential Information which is:</w:t>
      </w:r>
    </w:p>
    <w:p>
      <w:pPr>
        <w:spacing w:after="0" w:line="175"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already in the public domain;</w:t>
      </w:r>
    </w:p>
    <w:p>
      <w:pPr>
        <w:spacing w:after="0" w:line="219" w:lineRule="exact"/>
        <w:rPr>
          <w:rFonts w:ascii="Arial" w:cs="Arial" w:eastAsia="Arial" w:hAnsi="Arial"/>
          <w:sz w:val="22"/>
          <w:szCs w:val="22"/>
          <w:color w:val="auto"/>
        </w:rPr>
      </w:pPr>
    </w:p>
    <w:p>
      <w:pPr>
        <w:ind w:left="340" w:hanging="332"/>
        <w:spacing w:after="0"/>
        <w:tabs>
          <w:tab w:leader="none" w:pos="3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disclosed to you by a third party with the right to disclose it in good faith and not intended to be maintained in confidence;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20"/>
          </w:cols>
          <w:pgMar w:left="320" w:top="132" w:right="35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12</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c)  specifically exempted in writing by the Company from the applicability of this Agreement.</w:t>
      </w:r>
    </w:p>
    <w:p>
      <w:pPr>
        <w:spacing w:after="0" w:line="220"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Notwithstanding anything elsewhere in this Agreement, you are authorized to make any disclosure required of you by any federal, state and local laws or judicial, arbitral or governmental agency proceedings, after providing the Company with prior written notice and an opportunity to respond prior to such disclosure. In addition, this Agreement in no way restricts or prevents you from providing truthful testimony concerning the Company to judicial, administrative, regulatory or other governmental authorities.</w:t>
      </w:r>
    </w:p>
    <w:p>
      <w:pPr>
        <w:spacing w:after="0" w:line="192"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Non-Compete</w:t>
      </w:r>
    </w:p>
    <w:p>
      <w:pPr>
        <w:spacing w:after="0" w:line="220"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You acknowledge that due to your executive position in the Company and your knowledge of the Company’s confidential and proprietary information, your employment or affiliation with certain entities would be detrimental to the Company. You agree that, without the prior written consent of the Company, you will not represent, become employed by, consult to, advise in any manner or have, directly or indirectly, any material interest in any Competitive Entity (as defined below). A “Competitive Entity” shall mean (1) any person or entity that (i) competes with any of the Company’s or its affiliates’ programming, advertising, entertainment, film production, theatrical, motion picture exhibition or other existing business, nationally or regionally, or (ii) directly competes with any other business of the Company or one of its subsidiaries that produced greater than 10% of the Company’s revenues in the calendar year immediately preceding the year in which the determination is made, or (2) any trade or professional association representing any of the companies covered by this paragraph. Ownership of not more than 1% of the outstanding stock of any publicly traded company shall not be a violation of this paragraph. This agreement not to compete will expire upon the first anniversary of the date of your termination of employment with the Company.</w:t>
      </w:r>
    </w:p>
    <w:p>
      <w:pPr>
        <w:spacing w:after="0" w:line="163"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Additional Understandings</w:t>
      </w:r>
    </w:p>
    <w:p>
      <w:pPr>
        <w:spacing w:after="0" w:line="220"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or any of its incumbent or former officers, directors, agents, consultants, employees, successors and assigns or any of the Covered Parties.</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Unless the Company determines in good faith that you have committed any malfeasance during your employment by the Company, the Company agrees that its corporate officers and directors, employees in its public relations department or third party public relations representatives retained by the Company will not disparage you or make negative statements in the press or other media which are damaging to your business or personal reputation.</w:t>
      </w:r>
    </w:p>
    <w:p>
      <w:pPr>
        <w:spacing w:after="0" w:line="188"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In the event that you so disparage the Company or make such negative statements, then notwithstanding the above provision to the contrary, the Company may make a proportional response thereto. In the event that the Company so disparages you or makes such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20"/>
          </w:cols>
          <w:pgMar w:left="320" w:top="132" w:right="35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13</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color w:val="auto"/>
        </w:rPr>
        <w:t>statements, then notwithstanding the above provision to the contrary, you may make a proportional response thereto.</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In addition, you agree that the Company is the owner of all rights, title and interest in and to all documents, tapes, videos, designs, plans, formulas, models, processes, computer programs, inventions (whether patentable or not), schematics, scripts, story outlines, music, lyrics and other technical, business, creative, financial, advertising, sales, marketing, customer or product development plans, forecasts, strategies, information and materials (in any medium whatsoever) developed or prepared by you or with your cooperation during the course of your employment by the Company (the “Materials”). The Company will have the sole and exclusive authority to use the Materials in any manner that it deems appropriate, in perpetuity, without additional payment to you.</w:t>
      </w:r>
    </w:p>
    <w:p>
      <w:pPr>
        <w:spacing w:after="0" w:line="196"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Further Cooperation</w:t>
      </w:r>
    </w:p>
    <w:p>
      <w:pPr>
        <w:spacing w:after="0" w:line="22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Following the date of termination of your employment with the Company (the “</w:t>
      </w:r>
      <w:r>
        <w:rPr>
          <w:rFonts w:ascii="Arial" w:cs="Arial" w:eastAsia="Arial" w:hAnsi="Arial"/>
          <w:sz w:val="19"/>
          <w:szCs w:val="19"/>
          <w:u w:val="single" w:color="auto"/>
          <w:color w:val="auto"/>
        </w:rPr>
        <w:t>Expiration Date</w:t>
      </w:r>
      <w:r>
        <w:rPr>
          <w:rFonts w:ascii="Arial" w:cs="Arial" w:eastAsia="Arial" w:hAnsi="Arial"/>
          <w:sz w:val="19"/>
          <w:szCs w:val="19"/>
          <w:color w:val="auto"/>
        </w:rPr>
        <w:t>”), you will no longer provide any regular services to the Company or represent yourself as a Company agent. If, however, the Company so requests, you agree to cooperate fully with the Company in connection with any matter with which you were involved prior to the Expiration Date, or in any litigation or administrative proceedings or appeals (including any preparation therefore) where the Company believes that your personal knowledge, attendance and participation could be beneficial to the Company. This cooperation includes, without limitation, participation on behalf of the Company in any litigation or administrative proceeding brought by any former or existing Company employees, actors, producers, directors, writers or other creative personnel, representatives, agents or vendors. The Company will pay you for your services rendered under this provision at the rate of $6,800 per day for each day or part thereof, within 30 days of approved invoice therefore.</w:t>
      </w:r>
    </w:p>
    <w:p>
      <w:pPr>
        <w:spacing w:after="0" w:line="157" w:lineRule="exact"/>
        <w:rPr>
          <w:sz w:val="20"/>
          <w:szCs w:val="20"/>
          <w:color w:val="auto"/>
        </w:rPr>
      </w:pPr>
    </w:p>
    <w:p>
      <w:pPr>
        <w:ind w:right="100"/>
        <w:spacing w:after="0" w:line="247"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paragraph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such expense before you incur the same.</w:t>
      </w:r>
    </w:p>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color w:val="auto"/>
        </w:rPr>
        <w:t>Non-Hire or Solicit</w:t>
      </w:r>
    </w:p>
    <w:p>
      <w:pPr>
        <w:spacing w:after="0" w:line="220" w:lineRule="exact"/>
        <w:rPr>
          <w:sz w:val="20"/>
          <w:szCs w:val="20"/>
          <w:color w:val="auto"/>
        </w:rPr>
      </w:pPr>
    </w:p>
    <w:p>
      <w:pPr>
        <w:ind w:right="320"/>
        <w:spacing w:after="0" w:line="263" w:lineRule="auto"/>
        <w:rPr>
          <w:sz w:val="20"/>
          <w:szCs w:val="20"/>
          <w:color w:val="auto"/>
        </w:rPr>
      </w:pPr>
      <w:r>
        <w:rPr>
          <w:rFonts w:ascii="Arial" w:cs="Arial" w:eastAsia="Arial" w:hAnsi="Arial"/>
          <w:sz w:val="21"/>
          <w:szCs w:val="21"/>
          <w:color w:val="auto"/>
        </w:rPr>
        <w:t>You agree not to hire, seek to hire, or cause any person or entity to hire or seek to hire (without the prior written consent of the Company), directly or indirectly (whether for your own interest or any other person or entity’s interest) any then current employee of the Company, or any of its subsidiaries or affiliates, until the first anniversary of the date of your termination of employment with the Company. This restriction does not apply to any employee who was discharged by the Company. In addition, this restriction will not prevent you from providing references.</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19"/>
          <w:szCs w:val="19"/>
          <w:color w:val="auto"/>
        </w:rPr>
        <w:t>Acknowledgements.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40"/>
          </w:cols>
          <w:pgMar w:left="320" w:top="131"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Mr. Joshua W. Sapan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14</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pacing w:after="0" w:line="200" w:lineRule="exact"/>
        <w:rPr>
          <w:sz w:val="20"/>
          <w:szCs w:val="20"/>
          <w:color w:val="auto"/>
        </w:rPr>
      </w:pPr>
    </w:p>
    <w:p>
      <w:pPr>
        <w:spacing w:after="0" w:line="31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You acknowledge that the restrictions contained in this Annex B,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the provisions of this Annex B, and therefore agree that the Company shall be entitled to injunctive relief, to prevent any breach or threatened breach of any of those provisions and to specific performance of the terms of each of such provisions in addition to any other legal or equitable remedy it may have. You further agree that you will not, in any equity proceeding relating to the enforcement of the provisions of this Annex B, raise the defense that the Company has an adequate remedy at law. Nothing in this Annex B shall be construed as prohibiting the Company from pursuing any other remedies at law or in equity that it may have or any other rights that it may have under any other agreement. If it is determined that any of the provisions of this Annex B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w:t>
      </w:r>
    </w:p>
    <w:p>
      <w:pPr>
        <w:spacing w:after="0" w:line="15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19"/>
          <w:szCs w:val="19"/>
          <w:color w:val="auto"/>
        </w:rPr>
        <w:t>Surviving.</w:t>
      </w:r>
    </w:p>
    <w:p>
      <w:pPr>
        <w:spacing w:after="0" w:line="220"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color w:val="auto"/>
        </w:rPr>
        <w:t>The provisions of this Annex B shall survive any termination of your employment by the Company or the expiration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4815-4011-1315 v.5</w:t>
      </w:r>
    </w:p>
    <w:p>
      <w:pPr>
        <w:sectPr>
          <w:pgSz w:w="11900" w:h="16838" w:orient="portrait"/>
          <w:cols w:equalWidth="0" w:num="1">
            <w:col w:w="11200"/>
          </w:cols>
          <w:pgMar w:left="320" w:top="131" w:right="379" w:bottom="1440" w:gutter="0" w:footer="0" w:header="0"/>
        </w:sectPr>
      </w:pPr>
    </w:p>
    <w:bookmarkStart w:id="134" w:name="page135"/>
    <w:bookmarkEnd w:id="134"/>
    <w:p>
      <w:pPr>
        <w:ind w:left="440"/>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January 12, 2021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Ms. Christina Spade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AMC Networks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11 Penn Plaza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10001</w:t>
      </w:r>
    </w:p>
    <w:p>
      <w:pPr>
        <w:spacing w:after="0" w:line="200" w:lineRule="exact"/>
        <w:rPr>
          <w:sz w:val="20"/>
          <w:szCs w:val="20"/>
          <w:color w:val="auto"/>
        </w:rPr>
      </w:pPr>
    </w:p>
    <w:p>
      <w:pPr>
        <w:spacing w:after="0" w:line="398" w:lineRule="exact"/>
        <w:rPr>
          <w:sz w:val="20"/>
          <w:szCs w:val="20"/>
          <w:color w:val="auto"/>
        </w:rPr>
      </w:pPr>
    </w:p>
    <w:p>
      <w:pPr>
        <w:ind w:left="680"/>
        <w:spacing w:after="0"/>
        <w:tabs>
          <w:tab w:leader="none" w:pos="17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Employment Agreement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Dear Christina:</w:t>
      </w:r>
    </w:p>
    <w:p>
      <w:pPr>
        <w:spacing w:after="0" w:line="4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22"/>
          <w:szCs w:val="22"/>
          <w:color w:val="auto"/>
        </w:rPr>
        <w:t>This letter (the “</w:t>
      </w:r>
      <w:r>
        <w:rPr>
          <w:rFonts w:ascii="Arial" w:cs="Arial" w:eastAsia="Arial" w:hAnsi="Arial"/>
          <w:sz w:val="22"/>
          <w:szCs w:val="22"/>
          <w:i w:val="1"/>
          <w:iCs w:val="1"/>
          <w:color w:val="auto"/>
        </w:rPr>
        <w:t>Agreement</w:t>
      </w:r>
      <w:r>
        <w:rPr>
          <w:rFonts w:ascii="Arial" w:cs="Arial" w:eastAsia="Arial" w:hAnsi="Arial"/>
          <w:sz w:val="22"/>
          <w:szCs w:val="22"/>
          <w:color w:val="auto"/>
        </w:rPr>
        <w:t>”) will confirm the terms of your employment by AMC Networks Inc. (the “</w:t>
      </w:r>
      <w:r>
        <w:rPr>
          <w:rFonts w:ascii="Arial" w:cs="Arial" w:eastAsia="Arial" w:hAnsi="Arial"/>
          <w:sz w:val="22"/>
          <w:szCs w:val="22"/>
          <w:i w:val="1"/>
          <w:iCs w:val="1"/>
          <w:color w:val="auto"/>
        </w:rPr>
        <w:t>Company</w:t>
      </w:r>
      <w:r>
        <w:rPr>
          <w:rFonts w:ascii="Arial" w:cs="Arial" w:eastAsia="Arial" w:hAnsi="Arial"/>
          <w:sz w:val="22"/>
          <w:szCs w:val="22"/>
          <w:color w:val="auto"/>
        </w:rPr>
        <w:t>”) as an at will employee with the title of Executive Vice President - Chief Financial Officer. This Agreement will supersede and replace any and all other discussions, understandings or arrangements regarding the subject matter herein, including the Confidentiality Agreement dated December 23, 2020 between you and the Company. This Agreement will be effective as of January 15, 2021 (the “</w:t>
      </w:r>
      <w:r>
        <w:rPr>
          <w:rFonts w:ascii="Arial" w:cs="Arial" w:eastAsia="Arial" w:hAnsi="Arial"/>
          <w:sz w:val="22"/>
          <w:szCs w:val="22"/>
          <w:i w:val="1"/>
          <w:iCs w:val="1"/>
          <w:color w:val="auto"/>
        </w:rPr>
        <w:t>Effective Date</w:t>
      </w:r>
      <w:r>
        <w:rPr>
          <w:rFonts w:ascii="Arial" w:cs="Arial" w:eastAsia="Arial" w:hAnsi="Arial"/>
          <w:sz w:val="22"/>
          <w:szCs w:val="22"/>
          <w:color w:val="auto"/>
        </w:rPr>
        <w:t>”).</w:t>
      </w:r>
    </w:p>
    <w:p>
      <w:pPr>
        <w:spacing w:after="0" w:line="221" w:lineRule="exact"/>
        <w:rPr>
          <w:sz w:val="20"/>
          <w:szCs w:val="20"/>
          <w:color w:val="auto"/>
        </w:rPr>
      </w:pPr>
    </w:p>
    <w:p>
      <w:pPr>
        <w:jc w:val="both"/>
        <w:ind w:right="20" w:firstLine="1296"/>
        <w:spacing w:after="0" w:line="281" w:lineRule="auto"/>
        <w:rPr>
          <w:sz w:val="20"/>
          <w:szCs w:val="20"/>
          <w:color w:val="auto"/>
        </w:rPr>
      </w:pPr>
      <w:r>
        <w:rPr>
          <w:rFonts w:ascii="Arial" w:cs="Arial" w:eastAsia="Arial" w:hAnsi="Arial"/>
          <w:sz w:val="22"/>
          <w:szCs w:val="22"/>
          <w:color w:val="auto"/>
        </w:rPr>
        <w:t>The term of this Agreement (the “</w:t>
      </w:r>
      <w:r>
        <w:rPr>
          <w:rFonts w:ascii="Arial" w:cs="Arial" w:eastAsia="Arial" w:hAnsi="Arial"/>
          <w:sz w:val="22"/>
          <w:szCs w:val="22"/>
          <w:i w:val="1"/>
          <w:iCs w:val="1"/>
          <w:color w:val="auto"/>
        </w:rPr>
        <w:t>Term</w:t>
      </w:r>
      <w:r>
        <w:rPr>
          <w:rFonts w:ascii="Arial" w:cs="Arial" w:eastAsia="Arial" w:hAnsi="Arial"/>
          <w:sz w:val="22"/>
          <w:szCs w:val="22"/>
          <w:color w:val="auto"/>
        </w:rPr>
        <w:t>”) shall commence as of the Effective Date and shall automatically expire on March 31, 2024 (the “</w:t>
      </w:r>
      <w:r>
        <w:rPr>
          <w:rFonts w:ascii="Arial" w:cs="Arial" w:eastAsia="Arial" w:hAnsi="Arial"/>
          <w:sz w:val="22"/>
          <w:szCs w:val="22"/>
          <w:i w:val="1"/>
          <w:iCs w:val="1"/>
          <w:color w:val="auto"/>
        </w:rPr>
        <w:t>Expiration Date</w:t>
      </w:r>
      <w:r>
        <w:rPr>
          <w:rFonts w:ascii="Arial" w:cs="Arial" w:eastAsia="Arial" w:hAnsi="Arial"/>
          <w:sz w:val="22"/>
          <w:szCs w:val="22"/>
          <w:color w:val="auto"/>
        </w:rPr>
        <w:t>”).</w:t>
      </w:r>
    </w:p>
    <w:p>
      <w:pPr>
        <w:spacing w:after="0" w:line="2"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21"/>
          <w:szCs w:val="21"/>
          <w:color w:val="auto"/>
        </w:rPr>
        <w:t xml:space="preserve">You agree to devote substantially all of your business time and attention to the business and affairs of the Company and to perform your duties in a diligent, competent and skillful manner and in accordance with applicable law. Notwithstanding the foregoing, nothing herein shall preclude you from (i) serving as a member of the board of directors or advisory board (or their equivalents in the case of a non-corporate entity) of up to two non-competing businesses upon consent of the CEO (not to be unreasonably withheld), (ii) engaging in charitable activities and community affairs, and (iii) managing your personal investments and affairs;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activities set out in clauses (i), (ii), and (iii) shall be limited by you so as not to materially interfere, individually or in the aggregate, with the performance of your duties and responsibilities hereunder, including compliance with the covenants set forth in Annex I.</w:t>
      </w:r>
    </w:p>
    <w:p>
      <w:pPr>
        <w:spacing w:after="0" w:line="212"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22"/>
          <w:szCs w:val="22"/>
          <w:color w:val="auto"/>
        </w:rPr>
        <w:t>Beginning on the Effective Date, your annual base salary will be a minimum of $1,150,000, subject to annual review and potential increase by the Compensation Committee of</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4845-6741-4996 v.10</w:t>
      </w:r>
    </w:p>
    <w:p>
      <w:pPr>
        <w:sectPr>
          <w:pgSz w:w="11900" w:h="16838" w:orient="portrait"/>
          <w:cols w:equalWidth="0" w:num="1">
            <w:col w:w="11240"/>
          </w:cols>
          <w:pgMar w:left="320" w:top="131" w:right="339" w:bottom="1440" w:gutter="0" w:footer="0" w:header="0"/>
        </w:sectPr>
      </w:pPr>
    </w:p>
    <w:bookmarkStart w:id="135" w:name="page136"/>
    <w:bookmarkEnd w:id="135"/>
    <w:p>
      <w:pPr>
        <w:spacing w:after="0" w:line="1"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the Board of Directors of the Company (the “</w:t>
      </w:r>
      <w:r>
        <w:rPr>
          <w:rFonts w:ascii="Arial" w:cs="Arial" w:eastAsia="Arial" w:hAnsi="Arial"/>
          <w:sz w:val="19"/>
          <w:szCs w:val="19"/>
          <w:i w:val="1"/>
          <w:iCs w:val="1"/>
          <w:color w:val="auto"/>
        </w:rPr>
        <w:t>Compensation Committee</w:t>
      </w:r>
      <w:r>
        <w:rPr>
          <w:rFonts w:ascii="Arial" w:cs="Arial" w:eastAsia="Arial" w:hAnsi="Arial"/>
          <w:sz w:val="19"/>
          <w:szCs w:val="19"/>
          <w:color w:val="auto"/>
        </w:rPr>
        <w:t>”), in its discretion. The Compensation Committee will review your compensation package on an annual basis. You will also participate in our discretionary annual bonus program with an annual target bonus opportunity equal to one hundred and fifty percent (150%) of salary. Bonus payments are based on actual salary dollars earned during the year and depend on a number of factors including Company, unit and individual performance. However, the decision of whether or not to pay a bonus, and the amount of that bonus, if any, will be made by the Compensation Committee in its discretion. Except as otherwise provided herein, in order to receive a bonus, you must be employed by the Company at the time bonuses are being paid. Your annual base salary and annual bonus target (as each may be increased from time to time in the Compensation Committee’s discretion) will not be reduced during the term of this Agreement. Notwithstanding the foregoing, if your employment with the Company ends on the Expiration Date, you shall be paid your bonus for the fiscal year ending December 31, 2023, if any, even if such payment is not made to you prior to the Expiration Date, which bonus shall be subject to Company and unit performance for that fiscal year as determined by the Company in its sole discretion, but without adjustment for your individual performance.</w:t>
      </w:r>
    </w:p>
    <w:p>
      <w:pPr>
        <w:spacing w:after="0" w:line="191" w:lineRule="exact"/>
        <w:rPr>
          <w:sz w:val="20"/>
          <w:szCs w:val="20"/>
          <w:color w:val="auto"/>
        </w:rPr>
      </w:pPr>
    </w:p>
    <w:p>
      <w:pPr>
        <w:jc w:val="both"/>
        <w:ind w:firstLine="1296"/>
        <w:spacing w:after="0" w:line="332" w:lineRule="auto"/>
        <w:rPr>
          <w:sz w:val="20"/>
          <w:szCs w:val="20"/>
          <w:color w:val="auto"/>
        </w:rPr>
      </w:pPr>
      <w:r>
        <w:rPr>
          <w:rFonts w:ascii="Arial" w:cs="Arial" w:eastAsia="Arial" w:hAnsi="Arial"/>
          <w:sz w:val="19"/>
          <w:szCs w:val="19"/>
          <w:color w:val="auto"/>
        </w:rPr>
        <w:t xml:space="preserve">You will also participate, subject to your continued employment by the Company and actual grant by the Compensation Committee in its discretion, in such long-term equity and other incentive programs as are made available in the future to similarly situated executives at the Company. Beginning with the 2021 award cycle (anticipated to commence in March 2021), it is expected that such awards will consist of annual grants of cash and/or equity awards with an annual aggregate target value of not less than $3,000,000, as determined by the Compensation Committee. Any such awards would be subject to actual grant to you by the Compensation Committee in its discretion pursuant to the applicable plan documents and would be subject to terms and conditions established by the Compensation Committee in its discretion that would be detailed in separate agreements you would receive after any award is actually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terms and conditions shall be consistent with the terms and conditions of the grant agreements received by similarly situated executives (subject to any more favorable terms set forth in this agreement including those set forth in Annex l attached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for the purposes of this provision, the Company’s Chief Executive Officer shall not be deemed a “similarly situated executive.”</w:t>
      </w:r>
    </w:p>
    <w:p>
      <w:pPr>
        <w:spacing w:after="0" w:line="18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22"/>
          <w:szCs w:val="22"/>
          <w:color w:val="auto"/>
        </w:rPr>
        <w:t>In addition, following the Effective Date you will be entitled to a one-time signing bonus in the amount of $50,000, less lawful withholdings (the “</w:t>
      </w:r>
      <w:r>
        <w:rPr>
          <w:rFonts w:ascii="Arial" w:cs="Arial" w:eastAsia="Arial" w:hAnsi="Arial"/>
          <w:sz w:val="22"/>
          <w:szCs w:val="22"/>
          <w:i w:val="1"/>
          <w:iCs w:val="1"/>
          <w:color w:val="auto"/>
        </w:rPr>
        <w:t>Sign-On Bonus</w:t>
      </w:r>
      <w:r>
        <w:rPr>
          <w:rFonts w:ascii="Arial" w:cs="Arial" w:eastAsia="Arial" w:hAnsi="Arial"/>
          <w:sz w:val="22"/>
          <w:szCs w:val="22"/>
          <w:color w:val="auto"/>
        </w:rPr>
        <w:t>”). Subject to your continued employment through the relevant payment date, the Sign-On Bonus will be payable to you in cash as soon as practicable, but in no event later than 60 days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 w:lineRule="exact"/>
        <w:rPr>
          <w:sz w:val="20"/>
          <w:szCs w:val="20"/>
          <w:color w:val="auto"/>
        </w:rPr>
      </w:pPr>
    </w:p>
    <w:p>
      <w:pPr>
        <w:jc w:val="both"/>
        <w:ind w:firstLine="1296"/>
        <w:spacing w:after="0" w:line="341" w:lineRule="auto"/>
        <w:rPr>
          <w:sz w:val="20"/>
          <w:szCs w:val="20"/>
          <w:color w:val="auto"/>
        </w:rPr>
      </w:pPr>
      <w:r>
        <w:rPr>
          <w:rFonts w:ascii="Arial" w:cs="Arial" w:eastAsia="Arial" w:hAnsi="Arial"/>
          <w:sz w:val="19"/>
          <w:szCs w:val="19"/>
          <w:color w:val="auto"/>
        </w:rPr>
        <w:t>You will be eligible to participate in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You will be entitled to four (4) weeks’ vacation per year, to be accrued and used in accordance with Company policy. You will also be entitled to reimbursement of business expenses upon submission of appropriate documentation in accordance with Company policy.</w:t>
      </w:r>
    </w:p>
    <w:p>
      <w:pPr>
        <w:spacing w:after="0" w:line="17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22"/>
          <w:szCs w:val="22"/>
          <w:color w:val="auto"/>
        </w:rPr>
        <w:t xml:space="preserve">Effective as of the Effective Date, you and the Company agree to be bound by the additional covenants and provisions applicable to each that are set forth in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attached hereto, which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be deemed to be a part of this Agreement.</w:t>
      </w:r>
    </w:p>
    <w:p>
      <w:pPr>
        <w:spacing w:after="0" w:line="21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22"/>
          <w:szCs w:val="22"/>
          <w:color w:val="auto"/>
        </w:rPr>
        <w:t>If your employment with the Company is terminated after the Effective Date but prior to the Expiration Date (1) by the Company or (2) by you for “</w:t>
      </w:r>
      <w:r>
        <w:rPr>
          <w:rFonts w:ascii="Arial" w:cs="Arial" w:eastAsia="Arial" w:hAnsi="Arial"/>
          <w:sz w:val="22"/>
          <w:szCs w:val="22"/>
          <w:i w:val="1"/>
          <w:iCs w:val="1"/>
          <w:color w:val="auto"/>
        </w:rPr>
        <w:t>Good Reason,</w:t>
      </w:r>
      <w:r>
        <w:rPr>
          <w:rFonts w:ascii="Arial" w:cs="Arial" w:eastAsia="Arial" w:hAnsi="Arial"/>
          <w:sz w:val="22"/>
          <w:szCs w:val="22"/>
          <w:color w:val="auto"/>
        </w:rPr>
        <w:t>” and at the time of such termination under clauses (1) or (2) “</w:t>
      </w:r>
      <w:r>
        <w:rPr>
          <w:rFonts w:ascii="Arial" w:cs="Arial" w:eastAsia="Arial" w:hAnsi="Arial"/>
          <w:sz w:val="22"/>
          <w:szCs w:val="22"/>
          <w:i w:val="1"/>
          <w:iCs w:val="1"/>
          <w:color w:val="auto"/>
        </w:rPr>
        <w:t>Cause</w:t>
      </w:r>
      <w:r>
        <w:rPr>
          <w:rFonts w:ascii="Arial" w:cs="Arial" w:eastAsia="Arial" w:hAnsi="Arial"/>
          <w:sz w:val="22"/>
          <w:szCs w:val="22"/>
          <w:color w:val="auto"/>
        </w:rPr>
        <w:t xml:space="preserve">” does not exist, then, subject to your execution and the effectiveness of a severance agreement satisfactory to the Company, which severance agreement shall include, without limitation, a full and complete general release in favor of the Company and its affiliates (subject to customary carve outs), and their respective directors and officers, as well as your agreement to non-competition (limited to one year), non-solicitation, non-disparagement, confidentiality and further cooperation obligations and restrictions substantially in the form set forth in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attached hereto (the “</w:t>
      </w:r>
      <w:r>
        <w:rPr>
          <w:rFonts w:ascii="Arial" w:cs="Arial" w:eastAsia="Arial" w:hAnsi="Arial"/>
          <w:sz w:val="22"/>
          <w:szCs w:val="22"/>
          <w:i w:val="1"/>
          <w:iCs w:val="1"/>
          <w:color w:val="auto"/>
        </w:rPr>
        <w:t>Severance Agreement</w:t>
      </w:r>
      <w:r>
        <w:rPr>
          <w:rFonts w:ascii="Arial" w:cs="Arial" w:eastAsia="Arial" w:hAnsi="Arial"/>
          <w:sz w:val="22"/>
          <w:szCs w:val="22"/>
          <w:color w:val="auto"/>
        </w:rPr>
        <w:t>”), the Company will provide you with the following:</w:t>
      </w:r>
    </w:p>
    <w:p>
      <w:pPr>
        <w:spacing w:after="0" w:line="224" w:lineRule="exact"/>
        <w:rPr>
          <w:sz w:val="20"/>
          <w:szCs w:val="20"/>
          <w:color w:val="auto"/>
        </w:rPr>
      </w:pPr>
    </w:p>
    <w:p>
      <w:pPr>
        <w:ind w:left="660" w:hanging="652"/>
        <w:spacing w:after="0" w:line="326" w:lineRule="auto"/>
        <w:tabs>
          <w:tab w:leader="none" w:pos="514" w:val="left"/>
        </w:tabs>
        <w:numPr>
          <w:ilvl w:val="0"/>
          <w:numId w:val="55"/>
        </w:numPr>
        <w:rPr>
          <w:rFonts w:ascii="Arial" w:cs="Arial" w:eastAsia="Arial" w:hAnsi="Arial"/>
          <w:sz w:val="19"/>
          <w:szCs w:val="19"/>
          <w:color w:val="auto"/>
        </w:rPr>
      </w:pPr>
      <w:r>
        <w:rPr>
          <w:rFonts w:ascii="Arial" w:cs="Arial" w:eastAsia="Arial" w:hAnsi="Arial"/>
          <w:sz w:val="19"/>
          <w:szCs w:val="19"/>
          <w:color w:val="auto"/>
        </w:rPr>
        <w:t>Severance in an amount to be determined by the Compensation Committee (the “</w:t>
      </w:r>
      <w:r>
        <w:rPr>
          <w:rFonts w:ascii="Arial" w:cs="Arial" w:eastAsia="Arial" w:hAnsi="Arial"/>
          <w:sz w:val="19"/>
          <w:szCs w:val="19"/>
          <w:i w:val="1"/>
          <w:iCs w:val="1"/>
          <w:color w:val="auto"/>
        </w:rPr>
        <w:t>Severance Amount</w:t>
      </w:r>
      <w:r>
        <w:rPr>
          <w:rFonts w:ascii="Arial" w:cs="Arial" w:eastAsia="Arial" w:hAnsi="Arial"/>
          <w:sz w:val="19"/>
          <w:szCs w:val="19"/>
          <w:color w:val="auto"/>
        </w:rPr>
        <w:t>”), but in no event less than two (2) times the sum of your annual base salary plus your target annual bonus, each as in effect at the time your employment terminates. Sixty percent (60%) of the Severance Amount (the “</w:t>
      </w:r>
      <w:r>
        <w:rPr>
          <w:rFonts w:ascii="Arial" w:cs="Arial" w:eastAsia="Arial" w:hAnsi="Arial"/>
          <w:sz w:val="19"/>
          <w:szCs w:val="19"/>
          <w:i w:val="1"/>
          <w:iCs w:val="1"/>
          <w:color w:val="auto"/>
        </w:rPr>
        <w:t>First Payment</w:t>
      </w:r>
      <w:r>
        <w:rPr>
          <w:rFonts w:ascii="Arial" w:cs="Arial" w:eastAsia="Arial" w:hAnsi="Arial"/>
          <w:sz w:val="19"/>
          <w:szCs w:val="19"/>
          <w:color w:val="auto"/>
        </w:rPr>
        <w:t>”) will be payable to you on the six-month anniversary of the date your employment so terminates (the “</w:t>
      </w:r>
      <w:r>
        <w:rPr>
          <w:rFonts w:ascii="Arial" w:cs="Arial" w:eastAsia="Arial" w:hAnsi="Arial"/>
          <w:sz w:val="19"/>
          <w:szCs w:val="19"/>
          <w:i w:val="1"/>
          <w:iCs w:val="1"/>
          <w:color w:val="auto"/>
        </w:rPr>
        <w:t>Termination Date</w:t>
      </w:r>
      <w:r>
        <w:rPr>
          <w:rFonts w:ascii="Arial" w:cs="Arial" w:eastAsia="Arial" w:hAnsi="Arial"/>
          <w:sz w:val="19"/>
          <w:szCs w:val="19"/>
          <w:color w:val="auto"/>
        </w:rPr>
        <w:t xml:space="preserve">”) and the remaining forty percent (40%) of the Severance Amount will be payable to you on the twelve-month anniversary of the Termination Date;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maximum portion of the First Payment that is exempt from Section 409A (as defined below)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payable to you on or before the seventy-fifth (75) day following the date your employment so terminates;</w:t>
      </w:r>
    </w:p>
    <w:p>
      <w:pPr>
        <w:spacing w:after="0" w:line="1" w:lineRule="exact"/>
        <w:rPr>
          <w:rFonts w:ascii="Arial" w:cs="Arial" w:eastAsia="Arial" w:hAnsi="Arial"/>
          <w:sz w:val="19"/>
          <w:szCs w:val="19"/>
          <w:color w:val="auto"/>
        </w:rPr>
      </w:pPr>
    </w:p>
    <w:p>
      <w:pPr>
        <w:ind w:left="660" w:hanging="652"/>
        <w:spacing w:after="0" w:line="286" w:lineRule="auto"/>
        <w:tabs>
          <w:tab w:leader="none" w:pos="5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A prorated bonus based on the amount of your base salary earned by you during the fiscal year through the Termination Date, </w:t>
      </w:r>
      <w:r>
        <w:rPr>
          <w:rFonts w:ascii="Arial" w:cs="Arial" w:eastAsia="Arial" w:hAnsi="Arial"/>
          <w:sz w:val="22"/>
          <w:szCs w:val="22"/>
          <w:i w:val="1"/>
          <w:iCs w:val="1"/>
          <w:color w:val="auto"/>
        </w:rPr>
        <w:t>provided</w:t>
      </w:r>
      <w:r>
        <w:rPr>
          <w:rFonts w:ascii="Arial" w:cs="Arial" w:eastAsia="Arial" w:hAnsi="Arial"/>
          <w:sz w:val="22"/>
          <w:szCs w:val="22"/>
          <w:color w:val="auto"/>
        </w:rPr>
        <w:t>, that such bonus, if any, will be payable to you if and when such bonuses are generally paid to similarly situated employees and will be based on your then current annual target bonus as well as Company and your business unit performance as determined by the Compensation Committee in its discretion, but without adjustment for your individual performance;</w:t>
      </w: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 w:lineRule="exact"/>
        <w:rPr>
          <w:sz w:val="20"/>
          <w:szCs w:val="20"/>
          <w:color w:val="auto"/>
        </w:rPr>
      </w:pPr>
    </w:p>
    <w:p>
      <w:pPr>
        <w:ind w:left="652" w:hanging="652"/>
        <w:spacing w:after="0" w:line="295" w:lineRule="auto"/>
        <w:tabs>
          <w:tab w:leader="none" w:pos="500"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If, as of the Termination Date, annual bonuses had not yet generally been paid to similarly situated employees with respect to the prior fiscal year, a bonus based on the amount of your base salary actually paid to you during such prior fiscal year, </w:t>
      </w:r>
      <w:r>
        <w:rPr>
          <w:rFonts w:ascii="Arial" w:cs="Arial" w:eastAsia="Arial" w:hAnsi="Arial"/>
          <w:sz w:val="21"/>
          <w:szCs w:val="21"/>
          <w:i w:val="1"/>
          <w:iCs w:val="1"/>
          <w:color w:val="auto"/>
        </w:rPr>
        <w:t>provided</w:t>
      </w:r>
      <w:r>
        <w:rPr>
          <w:rFonts w:ascii="Arial" w:cs="Arial" w:eastAsia="Arial" w:hAnsi="Arial"/>
          <w:sz w:val="21"/>
          <w:szCs w:val="21"/>
          <w:color w:val="auto"/>
        </w:rPr>
        <w:t>, that such bonus, if any, will be payable to you if and when such bonuses are generally paid to similarly situated</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employees and will be based on your annual target bonus that was in effect with respect to such prior fiscal year as well as Company and your business unit performance as determined by the Compensation Committee in its discretion, but without adjustment for your individual performance; and</w:t>
      </w:r>
    </w:p>
    <w:p>
      <w:pPr>
        <w:spacing w:after="0" w:line="1" w:lineRule="exact"/>
        <w:rPr>
          <w:rFonts w:ascii="Arial" w:cs="Arial" w:eastAsia="Arial" w:hAnsi="Arial"/>
          <w:sz w:val="21"/>
          <w:szCs w:val="21"/>
          <w:color w:val="auto"/>
        </w:rPr>
      </w:pPr>
    </w:p>
    <w:p>
      <w:pPr>
        <w:ind w:left="652" w:hanging="652"/>
        <w:spacing w:after="0" w:line="326" w:lineRule="auto"/>
        <w:tabs>
          <w:tab w:leader="none" w:pos="472"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i w:val="1"/>
          <w:iCs w:val="1"/>
          <w:color w:val="auto"/>
        </w:rPr>
        <w:t>Time-Vested Restricted Stock and Restricted Stock Unit Awards (including restricted stock unit awards that are subject to</w:t>
      </w:r>
      <w:r>
        <w:rPr>
          <w:rFonts w:ascii="Arial" w:cs="Arial" w:eastAsia="Arial" w:hAnsi="Arial"/>
          <w:sz w:val="19"/>
          <w:szCs w:val="19"/>
          <w:color w:val="auto"/>
        </w:rPr>
        <w:t xml:space="preserve"> </w:t>
      </w:r>
      <w:r>
        <w:rPr>
          <w:rFonts w:ascii="Arial" w:cs="Arial" w:eastAsia="Arial" w:hAnsi="Arial"/>
          <w:sz w:val="19"/>
          <w:szCs w:val="19"/>
          <w:i w:val="1"/>
          <w:iCs w:val="1"/>
          <w:color w:val="auto"/>
        </w:rPr>
        <w:t>achievement of a performance condition and restricted stock unit awards that have no performance conditions)</w:t>
      </w:r>
      <w:r>
        <w:rPr>
          <w:rFonts w:ascii="Arial" w:cs="Arial" w:eastAsia="Arial" w:hAnsi="Arial"/>
          <w:sz w:val="19"/>
          <w:szCs w:val="19"/>
          <w:color w:val="auto"/>
        </w:rPr>
        <w:t>. Each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your outstanding restricted stock or restricted stock units awards granted to you under the plans of the Company shall continue to vest in accordance with their original vesting schedule irrespective of the termination of the term hereof and payments or deliveries with respect to your restricted stock and restricted stock units shall be made on the original vesting date(s) (or, in the case of restricted stock units, on the original distribution date(s)); </w:t>
      </w:r>
      <w:r>
        <w:rPr>
          <w:rFonts w:ascii="Arial" w:cs="Arial" w:eastAsia="Arial" w:hAnsi="Arial"/>
          <w:sz w:val="19"/>
          <w:szCs w:val="19"/>
          <w:i w:val="1"/>
          <w:iCs w:val="1"/>
          <w:color w:val="auto"/>
        </w:rPr>
        <w:t>provided</w:t>
      </w:r>
      <w:r>
        <w:rPr>
          <w:rFonts w:ascii="Arial" w:cs="Arial" w:eastAsia="Arial" w:hAnsi="Arial"/>
          <w:sz w:val="19"/>
          <w:szCs w:val="19"/>
          <w:color w:val="auto"/>
        </w:rPr>
        <w:t>, however, that at the time of your termination from employment, the Company shall withhold and settle a portion of each of your outstanding restricted stock and restricted stock unit awards in an amount sufficient to fund the minimum amount of statutory tax withholding requirements (including federal, state and local income and employment tax withholding required due to such awards being “vested” for tax purposes) resulting from the recognition of income in respect of each such outstanding restricted stock or restricted stock unit award, and make a payroll tax contribution in such amount on your behalf;</w:t>
      </w:r>
    </w:p>
    <w:p>
      <w:pPr>
        <w:spacing w:after="0" w:line="2" w:lineRule="exact"/>
        <w:rPr>
          <w:rFonts w:ascii="Arial" w:cs="Arial" w:eastAsia="Arial" w:hAnsi="Arial"/>
          <w:sz w:val="19"/>
          <w:szCs w:val="19"/>
          <w:color w:val="auto"/>
        </w:rPr>
      </w:pPr>
    </w:p>
    <w:p>
      <w:pPr>
        <w:jc w:val="both"/>
        <w:ind w:left="652" w:hanging="288"/>
        <w:spacing w:after="0" w:line="326" w:lineRule="auto"/>
        <w:tabs>
          <w:tab w:leader="none" w:pos="704" w:val="left"/>
        </w:tabs>
        <w:numPr>
          <w:ilvl w:val="2"/>
          <w:numId w:val="56"/>
        </w:numPr>
        <w:rPr>
          <w:rFonts w:ascii="Arial" w:cs="Arial" w:eastAsia="Arial" w:hAnsi="Arial"/>
          <w:sz w:val="19"/>
          <w:szCs w:val="19"/>
          <w:color w:val="auto"/>
        </w:rPr>
      </w:pPr>
      <w:r>
        <w:rPr>
          <w:rFonts w:ascii="Arial" w:cs="Arial" w:eastAsia="Arial" w:hAnsi="Arial"/>
          <w:sz w:val="19"/>
          <w:szCs w:val="19"/>
          <w:i w:val="1"/>
          <w:iCs w:val="1"/>
          <w:color w:val="auto"/>
        </w:rPr>
        <w:t>Performance-Based Restricted Stock Unit Awards</w:t>
      </w:r>
      <w:r>
        <w:rPr>
          <w:rFonts w:ascii="Arial" w:cs="Arial" w:eastAsia="Arial" w:hAnsi="Arial"/>
          <w:sz w:val="19"/>
          <w:szCs w:val="19"/>
          <w:color w:val="auto"/>
        </w:rPr>
        <w:t>. Each of your outstanding performance-based restricted stock unit</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PRSUs</w:t>
      </w:r>
      <w:r>
        <w:rPr>
          <w:rFonts w:ascii="Arial" w:cs="Arial" w:eastAsia="Arial" w:hAnsi="Arial"/>
          <w:sz w:val="19"/>
          <w:szCs w:val="19"/>
          <w:color w:val="auto"/>
        </w:rPr>
        <w:t xml:space="preserve">”) awards granted under the plans of the Company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applicable performance objectives are not satisfied then any such PRSUs will be forfeited;</w:t>
      </w:r>
    </w:p>
    <w:p>
      <w:pPr>
        <w:spacing w:after="0" w:line="1" w:lineRule="exact"/>
        <w:rPr>
          <w:rFonts w:ascii="Arial" w:cs="Arial" w:eastAsia="Arial" w:hAnsi="Arial"/>
          <w:sz w:val="19"/>
          <w:szCs w:val="19"/>
          <w:color w:val="auto"/>
        </w:rPr>
      </w:pPr>
    </w:p>
    <w:p>
      <w:pPr>
        <w:jc w:val="both"/>
        <w:ind w:left="652" w:hanging="382"/>
        <w:spacing w:after="0" w:line="286" w:lineRule="auto"/>
        <w:tabs>
          <w:tab w:leader="none" w:pos="665" w:val="left"/>
        </w:tabs>
        <w:numPr>
          <w:ilvl w:val="1"/>
          <w:numId w:val="56"/>
        </w:numPr>
        <w:rPr>
          <w:rFonts w:ascii="Arial" w:cs="Arial" w:eastAsia="Arial" w:hAnsi="Arial"/>
          <w:sz w:val="22"/>
          <w:szCs w:val="22"/>
          <w:color w:val="auto"/>
        </w:rPr>
      </w:pPr>
      <w:r>
        <w:rPr>
          <w:rFonts w:ascii="Arial" w:cs="Arial" w:eastAsia="Arial" w:hAnsi="Arial"/>
          <w:sz w:val="22"/>
          <w:szCs w:val="22"/>
          <w:color w:val="auto"/>
        </w:rPr>
        <w:t>Each of your outstanding long-term cash performance awards (“</w:t>
      </w:r>
      <w:r>
        <w:rPr>
          <w:rFonts w:ascii="Arial" w:cs="Arial" w:eastAsia="Arial" w:hAnsi="Arial"/>
          <w:sz w:val="22"/>
          <w:szCs w:val="22"/>
          <w:i w:val="1"/>
          <w:iCs w:val="1"/>
          <w:color w:val="auto"/>
        </w:rPr>
        <w:t>CPAs</w:t>
      </w:r>
      <w:r>
        <w:rPr>
          <w:rFonts w:ascii="Arial" w:cs="Arial" w:eastAsia="Arial" w:hAnsi="Arial"/>
          <w:sz w:val="22"/>
          <w:szCs w:val="22"/>
          <w:color w:val="auto"/>
        </w:rPr>
        <w:t>”) granted under the plans of the Company, if 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w:t>
      </w:r>
    </w:p>
    <w:p>
      <w:pPr>
        <w:spacing w:after="0" w:line="200" w:lineRule="exact"/>
        <w:rPr>
          <w:sz w:val="20"/>
          <w:szCs w:val="20"/>
          <w:color w:val="auto"/>
        </w:rPr>
      </w:pPr>
    </w:p>
    <w:p>
      <w:pPr>
        <w:spacing w:after="0" w:line="318" w:lineRule="exact"/>
        <w:rPr>
          <w:sz w:val="20"/>
          <w:szCs w:val="20"/>
          <w:color w:val="auto"/>
        </w:rPr>
      </w:pPr>
    </w:p>
    <w:p>
      <w:pPr>
        <w:ind w:left="21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32"/>
          </w:cols>
          <w:pgMar w:left="328" w:top="1440" w:right="339" w:bottom="1440" w:gutter="0" w:footer="0" w:header="0"/>
        </w:sectPr>
      </w:pPr>
    </w:p>
    <w:bookmarkStart w:id="138" w:name="page139"/>
    <w:bookmarkEnd w:id="138"/>
    <w:p>
      <w:pPr>
        <w:spacing w:after="0" w:line="1" w:lineRule="exact"/>
        <w:rPr>
          <w:sz w:val="20"/>
          <w:szCs w:val="20"/>
          <w:color w:val="auto"/>
        </w:rPr>
      </w:pPr>
    </w:p>
    <w:p>
      <w:pPr>
        <w:ind w:left="660"/>
        <w:spacing w:after="0" w:line="281" w:lineRule="auto"/>
        <w:rPr>
          <w:sz w:val="20"/>
          <w:szCs w:val="20"/>
          <w:color w:val="auto"/>
        </w:rPr>
      </w:pPr>
      <w:r>
        <w:rPr>
          <w:rFonts w:ascii="Arial" w:cs="Arial" w:eastAsia="Arial" w:hAnsi="Arial"/>
          <w:sz w:val="22"/>
          <w:szCs w:val="22"/>
          <w:color w:val="auto"/>
        </w:rPr>
        <w:t xml:space="preserve">objectives);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applicable performance objectives are not satisfied then any such CPAs will be forfeited; and</w:t>
      </w:r>
    </w:p>
    <w:p>
      <w:pPr>
        <w:spacing w:after="0" w:line="2" w:lineRule="exact"/>
        <w:rPr>
          <w:sz w:val="20"/>
          <w:szCs w:val="20"/>
          <w:color w:val="auto"/>
        </w:rPr>
      </w:pPr>
    </w:p>
    <w:p>
      <w:pPr>
        <w:jc w:val="both"/>
        <w:ind w:left="660" w:hanging="315"/>
        <w:spacing w:after="0" w:line="288" w:lineRule="auto"/>
        <w:tabs>
          <w:tab w:leader="none" w:pos="733" w:val="left"/>
        </w:tabs>
        <w:numPr>
          <w:ilvl w:val="0"/>
          <w:numId w:val="57"/>
        </w:numPr>
        <w:rPr>
          <w:rFonts w:ascii="Arial" w:cs="Arial" w:eastAsia="Arial" w:hAnsi="Arial"/>
          <w:sz w:val="22"/>
          <w:szCs w:val="22"/>
          <w:color w:val="auto"/>
        </w:rPr>
      </w:pPr>
      <w:r>
        <w:rPr>
          <w:rFonts w:ascii="Arial" w:cs="Arial" w:eastAsia="Arial" w:hAnsi="Arial"/>
          <w:sz w:val="22"/>
          <w:szCs w:val="22"/>
          <w:color w:val="auto"/>
        </w:rPr>
        <w:t>Each of your outstanding stock options and stock appreciation awards under the plans of the Company, if any, shall continue to vest in accordance with their original vesting schedule irrespective of the termination of the term hereof and you shall have the right to exercise each of those options and stock appreciation awards for the remainder of the term of such option or award.</w:t>
      </w:r>
    </w:p>
    <w:p>
      <w:pPr>
        <w:spacing w:after="0" w:line="217"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22"/>
          <w:szCs w:val="22"/>
          <w:color w:val="auto"/>
        </w:rPr>
        <w:t>If you die after a termination of your employment that is subject to the above, your estate or beneficiaries will be provided any remaining benefits and rights under the above sections (1) through (4).</w:t>
      </w:r>
    </w:p>
    <w:p>
      <w:pPr>
        <w:spacing w:after="0" w:line="200" w:lineRule="exact"/>
        <w:rPr>
          <w:sz w:val="20"/>
          <w:szCs w:val="20"/>
          <w:color w:val="auto"/>
        </w:rPr>
      </w:pPr>
    </w:p>
    <w:p>
      <w:pPr>
        <w:jc w:val="both"/>
        <w:ind w:firstLine="1296"/>
        <w:spacing w:after="0" w:line="338" w:lineRule="auto"/>
        <w:rPr>
          <w:sz w:val="20"/>
          <w:szCs w:val="20"/>
          <w:color w:val="auto"/>
        </w:rPr>
      </w:pPr>
      <w:r>
        <w:rPr>
          <w:rFonts w:ascii="Arial" w:cs="Arial" w:eastAsia="Arial" w:hAnsi="Arial"/>
          <w:sz w:val="19"/>
          <w:szCs w:val="19"/>
          <w:color w:val="auto"/>
        </w:rPr>
        <w:t>Except as otherwise set forth herein, in connection with any termination of your employment, your then outstanding equity and cash incentive awards shall be treated in accordance with their terms and, other than as provided in this Agreement, you shall not be eligible for severance benefits under any other plan, program or policy of the Company. Nothing in this Agreement is intended to limit any more favorable rights that you may be entitled to under your equity and cash incentive award agreements, including, without limitation, your rights in the event of a termination of your employment, a “Going Private Transaction” or a “Change of Control” (as those terms are defined in the applicable award agreement).</w:t>
      </w:r>
    </w:p>
    <w:p>
      <w:pPr>
        <w:spacing w:after="0" w:line="179"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20"/>
          <w:szCs w:val="20"/>
          <w:color w:val="auto"/>
        </w:rPr>
        <w:t>If you cease to be an employee of the Company prior to the Expiration Date as a result of your death or your physical or mental disability, and at such time Cause does not exist then, subject (other than in the case of death) to your execution and delivery, within 60 days after the date of termination of your employment, and non-revocation (within any applicable revocation period) of the Severance Agreement, you or your estate or beneficiary shall be provided with the benefits and rights set forth in Sections (2) and (3) above, and each of your outstanding equity, cash incentive, stock option, and stock appreciation awards granted under the plans of the Company shall immediately vest in full, whether or not subject to performance criteria and shall be payable on the 90</w:t>
      </w:r>
      <w:r>
        <w:rPr>
          <w:rFonts w:ascii="Arial" w:cs="Arial" w:eastAsia="Arial" w:hAnsi="Arial"/>
          <w:sz w:val="13"/>
          <w:szCs w:val="13"/>
          <w:color w:val="auto"/>
        </w:rPr>
        <w:t>th</w:t>
      </w:r>
      <w:r>
        <w:rPr>
          <w:rFonts w:ascii="Arial" w:cs="Arial" w:eastAsia="Arial" w:hAnsi="Arial"/>
          <w:sz w:val="20"/>
          <w:szCs w:val="20"/>
          <w:color w:val="auto"/>
        </w:rPr>
        <w:t xml:space="preserve"> day after the termination of your employment; </w:t>
      </w:r>
      <w:r>
        <w:rPr>
          <w:rFonts w:ascii="Arial" w:cs="Arial" w:eastAsia="Arial" w:hAnsi="Arial"/>
          <w:sz w:val="20"/>
          <w:szCs w:val="20"/>
          <w:i w:val="1"/>
          <w:iCs w:val="1"/>
          <w:color w:val="auto"/>
        </w:rPr>
        <w:t>provided</w:t>
      </w:r>
      <w:r>
        <w:rPr>
          <w:rFonts w:ascii="Arial" w:cs="Arial" w:eastAsia="Arial" w:hAnsi="Arial"/>
          <w:sz w:val="20"/>
          <w:szCs w:val="20"/>
          <w:color w:val="auto"/>
        </w:rPr>
        <w:t>, that if any such award is subject to any performance criteria, then (i) if the measurement period for such performance criteria has not yet been fully completed, then the payment amount shall be at the target amount for such award and (ii) if the measurement period for such performance criteria has already been fully completed, then the payment of such award shall be at the same time and to the extent that other similarly situated executives receive payment as determined by the Compensation Committee (subject to satisfaction of the applicable performance criteria).</w:t>
      </w:r>
    </w:p>
    <w:p>
      <w:pPr>
        <w:spacing w:after="0" w:line="19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22"/>
          <w:szCs w:val="22"/>
          <w:color w:val="auto"/>
        </w:rPr>
        <w:t>This Agreement does not constitute a guarantee of employment or benefits for any definite period. Your employment may be terminated by you or the Company at any time, with</w:t>
      </w: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or without notice, liability (subject to the terms of this Agreement) or cause. With the exception of the provisions that, by their term, survive your death, this Agreement shall automatically terminate upon your death.</w:t>
      </w:r>
    </w:p>
    <w:p>
      <w:pPr>
        <w:spacing w:after="0" w:line="200"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21"/>
          <w:szCs w:val="21"/>
          <w:color w:val="auto"/>
        </w:rPr>
        <w:t>If and to the extent that any payment or benefit hereunder, or any plan, award or arrangement of the Company or its affiliates, is determined by the Company to constitute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and as determined by the Company), such payment or benefit shall not be made or provided before the date that is six months after the date of your separation from service (or your earlier death). Any amount not paid or benefit not provided in respect of the six-month period specified in the preceding sentence will be paid to you in a lump sum or provided to you as soon as practicable after the expiration of such six-month period. Each payment or benefit hereunder shall be treated as a separate payment for purposes of Section 409A to the extent Section 409A applies to such payments or benefits.</w:t>
      </w:r>
    </w:p>
    <w:p>
      <w:pPr>
        <w:spacing w:after="0" w:line="215" w:lineRule="exact"/>
        <w:rPr>
          <w:sz w:val="20"/>
          <w:szCs w:val="20"/>
          <w:color w:val="auto"/>
        </w:rPr>
      </w:pPr>
    </w:p>
    <w:p>
      <w:pPr>
        <w:jc w:val="both"/>
        <w:ind w:firstLine="1296"/>
        <w:spacing w:after="0" w:line="341" w:lineRule="auto"/>
        <w:rPr>
          <w:sz w:val="20"/>
          <w:szCs w:val="20"/>
          <w:color w:val="auto"/>
        </w:rPr>
      </w:pPr>
      <w:r>
        <w:rPr>
          <w:rFonts w:ascii="Arial" w:cs="Arial" w:eastAsia="Arial" w:hAnsi="Arial"/>
          <w:sz w:val="19"/>
          <w:szCs w:val="19"/>
          <w:color w:val="auto"/>
        </w:rPr>
        <w:t>To the extent you are entitled to any expense reimbursement from the Company that is subject to Section 409A, (i) the amount of any such expenses eligible for reimbursement in one calendar year shall not affect the expenses eligible for reimbursement in any other taxable year (except under any lifetime limit applicable to expenses for medical care), (ii) in no event shall any such expense be reimbursed after the last day of the calendar year following the calendar year in which you incurred such expense, and (iii) in no event shall any right to reimbursement be subject to liquidation or exchange for another benefit.</w:t>
      </w:r>
    </w:p>
    <w:p>
      <w:pPr>
        <w:spacing w:after="0" w:line="176" w:lineRule="exact"/>
        <w:rPr>
          <w:sz w:val="20"/>
          <w:szCs w:val="20"/>
          <w:color w:val="auto"/>
        </w:rPr>
      </w:pPr>
    </w:p>
    <w:p>
      <w:pPr>
        <w:jc w:val="both"/>
        <w:ind w:firstLine="1296"/>
        <w:spacing w:after="0" w:line="333" w:lineRule="auto"/>
        <w:rPr>
          <w:sz w:val="20"/>
          <w:szCs w:val="20"/>
          <w:color w:val="auto"/>
        </w:rPr>
      </w:pPr>
      <w:r>
        <w:rPr>
          <w:rFonts w:ascii="Arial" w:cs="Arial" w:eastAsia="Arial" w:hAnsi="Arial"/>
          <w:sz w:val="19"/>
          <w:szCs w:val="19"/>
          <w:color w:val="auto"/>
        </w:rPr>
        <w:t>The Company may withhold from any payment due to you hereunder any taxes that are required to be withheld under any law, rule or regulation. If any payment otherwise due to you hereunder would result in the imposition of the excise tax imposed by Section 4999 of the Internal Revenue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w:t>
      </w:r>
      <w:r>
        <w:rPr>
          <w:rFonts w:ascii="Arial" w:cs="Arial" w:eastAsia="Arial" w:hAnsi="Arial"/>
          <w:sz w:val="19"/>
          <w:szCs w:val="19"/>
          <w:i w:val="1"/>
          <w:iCs w:val="1"/>
          <w:color w:val="auto"/>
        </w:rPr>
        <w:t>i.e.</w:t>
      </w:r>
      <w:r>
        <w:rPr>
          <w:rFonts w:ascii="Arial" w:cs="Arial" w:eastAsia="Arial" w:hAnsi="Arial"/>
          <w:sz w:val="19"/>
          <w:szCs w:val="19"/>
          <w:color w:val="auto"/>
        </w:rPr>
        <w:t>, later payments will be reduced first) until the reduction specified is achieved.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 w:lineRule="exact"/>
        <w:rPr>
          <w:sz w:val="20"/>
          <w:szCs w:val="20"/>
          <w:color w:val="auto"/>
        </w:rPr>
      </w:pPr>
    </w:p>
    <w:p>
      <w:pPr>
        <w:jc w:val="both"/>
        <w:ind w:firstLine="1296"/>
        <w:spacing w:after="0" w:line="341" w:lineRule="auto"/>
        <w:rPr>
          <w:sz w:val="20"/>
          <w:szCs w:val="20"/>
          <w:color w:val="auto"/>
        </w:rPr>
      </w:pPr>
      <w:r>
        <w:rPr>
          <w:rFonts w:ascii="Arial" w:cs="Arial" w:eastAsia="Arial" w:hAnsi="Arial"/>
          <w:sz w:val="19"/>
          <w:szCs w:val="19"/>
          <w:color w:val="auto"/>
        </w:rPr>
        <w:t>The intent of the parties is that payments and benefits under this Agreement comply with Section 409A and applicable guidance issued thereunder or comply with an exemption from the application of Section 409A and, accordingly, all provisions of this Agreement shall be construed in a manner consistent with the requirements for avoiding taxes or penalties under Section 409A. Neither party shall take any action to accelerate or delay the payment of any monies and/or provision of any benefits that are subject to Section 409A in any manner that would not be in compliance with Section 409A.</w:t>
      </w:r>
    </w:p>
    <w:p>
      <w:pPr>
        <w:spacing w:after="0" w:line="17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22"/>
          <w:szCs w:val="22"/>
          <w:color w:val="auto"/>
        </w:rPr>
        <w:t>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survive the expiration or termination of your employment and/or this Agreement as well as your execution of the Severance Agreement as provided for herein.</w:t>
      </w:r>
    </w:p>
    <w:p>
      <w:pPr>
        <w:spacing w:after="0" w:line="223"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22"/>
          <w:szCs w:val="22"/>
          <w:color w:val="auto"/>
        </w:rPr>
        <w:t>You hereby represent to the Company that you are not subject to any contract, arrangement, agreement, policy or understanding, including any restrictive covenants obligations owed to any third-party (other than customary confidentiality restrictions imposed by your prior employer), that would in any way prevent, restrict or limit your ability to enter into and perform your obligations under this Agreement.</w:t>
      </w:r>
    </w:p>
    <w:p>
      <w:pPr>
        <w:spacing w:after="0" w:line="217"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22"/>
          <w:szCs w:val="22"/>
          <w:color w:val="auto"/>
        </w:rPr>
        <w:t>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spacing w:after="0" w:line="1" w:lineRule="exact"/>
        <w:rPr>
          <w:sz w:val="20"/>
          <w:szCs w:val="20"/>
          <w:color w:val="auto"/>
        </w:rPr>
      </w:pPr>
    </w:p>
    <w:p>
      <w:pPr>
        <w:jc w:val="both"/>
        <w:ind w:left="120" w:firstLine="1093"/>
        <w:spacing w:after="0" w:line="294" w:lineRule="auto"/>
        <w:rPr>
          <w:sz w:val="20"/>
          <w:szCs w:val="20"/>
          <w:color w:val="auto"/>
        </w:rPr>
      </w:pPr>
      <w:r>
        <w:rPr>
          <w:rFonts w:ascii="Arial" w:cs="Arial" w:eastAsia="Arial" w:hAnsi="Arial"/>
          <w:sz w:val="22"/>
          <w:szCs w:val="22"/>
          <w:b w:val="1"/>
          <w:bCs w:val="1"/>
          <w:color w:val="auto"/>
        </w:rPr>
        <w:t>To the extent permitted by law, you hereby waive any and all rights to a jury trial with respect to any claim arising out of or in any way connected with or related to this Agreement, your employment by the Company or the termination of your employment with the Company.</w:t>
      </w:r>
    </w:p>
    <w:p>
      <w:pPr>
        <w:spacing w:after="0" w:line="204" w:lineRule="exact"/>
        <w:rPr>
          <w:sz w:val="20"/>
          <w:szCs w:val="20"/>
          <w:color w:val="auto"/>
        </w:rPr>
      </w:pPr>
    </w:p>
    <w:p>
      <w:pPr>
        <w:jc w:val="both"/>
        <w:ind w:left="120" w:firstLine="1093"/>
        <w:spacing w:after="0" w:line="284" w:lineRule="auto"/>
        <w:rPr>
          <w:sz w:val="20"/>
          <w:szCs w:val="20"/>
          <w:color w:val="auto"/>
        </w:rPr>
      </w:pPr>
      <w:r>
        <w:rPr>
          <w:rFonts w:ascii="Arial" w:cs="Arial" w:eastAsia="Arial" w:hAnsi="Arial"/>
          <w:sz w:val="22"/>
          <w:szCs w:val="22"/>
          <w:b w:val="1"/>
          <w:bCs w:val="1"/>
          <w:color w:val="auto"/>
        </w:rPr>
        <w:t>This Agreement will be governed by and construed in accordance with the law of the State of New York applicable to contracts made and to be performed entirely within that State.</w:t>
      </w:r>
    </w:p>
    <w:p>
      <w:pPr>
        <w:spacing w:after="0" w:line="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22"/>
          <w:szCs w:val="22"/>
          <w:color w:val="auto"/>
        </w:rPr>
        <w:t>You and the Company hereby irrevocably submit to the jurisdiction of the courts of the State of New York and the federal courts of the United States of America located in the State of New York solely in respect of the interpretation and enforcement of the provisions of</w:t>
      </w: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this Agreement, and you and the Company hereby waive, and agree not to assert, as a defense that you are not subject thereto or that the venue thereof may not be appropriate.</w:t>
      </w:r>
    </w:p>
    <w:p>
      <w:pPr>
        <w:spacing w:after="0" w:line="200" w:lineRule="exact"/>
        <w:rPr>
          <w:sz w:val="20"/>
          <w:szCs w:val="20"/>
          <w:color w:val="auto"/>
        </w:rPr>
      </w:pPr>
    </w:p>
    <w:p>
      <w:pPr>
        <w:jc w:val="both"/>
        <w:ind w:firstLine="1296"/>
        <w:spacing w:after="0" w:line="346" w:lineRule="auto"/>
        <w:rPr>
          <w:sz w:val="20"/>
          <w:szCs w:val="20"/>
          <w:color w:val="auto"/>
        </w:rPr>
      </w:pPr>
      <w:r>
        <w:rPr>
          <w:rFonts w:ascii="Arial" w:cs="Arial" w:eastAsia="Arial" w:hAnsi="Arial"/>
          <w:sz w:val="19"/>
          <w:szCs w:val="19"/>
          <w:color w:val="auto"/>
        </w:rPr>
        <w:t>You and the Company hereby agree that mailing of notice, process or other papers in connection with any such action or proceeding in any manner as may be permitted by law shall be valid and sufficient service thereof if delivered to you at your address set forth above or to the Company at 11 Penn Plaza, New York, NY 10001, respectively, or to such other address as you or the Company may later designate in writing for the receipt of such notices.</w:t>
      </w:r>
    </w:p>
    <w:p>
      <w:pPr>
        <w:spacing w:after="0" w:line="171"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22"/>
          <w:szCs w:val="22"/>
          <w:color w:val="auto"/>
        </w:rPr>
        <w:t>This Agreement may not be amended or modified otherwise than by a written agreement executed by the parties hereto or their respective successors and legal representatives.</w:t>
      </w:r>
    </w:p>
    <w:p>
      <w:pPr>
        <w:spacing w:after="0" w:line="200" w:lineRule="exact"/>
        <w:rPr>
          <w:sz w:val="20"/>
          <w:szCs w:val="20"/>
          <w:color w:val="auto"/>
        </w:rPr>
      </w:pPr>
    </w:p>
    <w:p>
      <w:pPr>
        <w:jc w:val="both"/>
        <w:ind w:right="20" w:firstLine="1296"/>
        <w:spacing w:after="0" w:line="302" w:lineRule="auto"/>
        <w:rPr>
          <w:sz w:val="20"/>
          <w:szCs w:val="20"/>
          <w:color w:val="auto"/>
        </w:rPr>
      </w:pPr>
      <w:r>
        <w:rPr>
          <w:rFonts w:ascii="Arial" w:cs="Arial" w:eastAsia="Arial" w:hAnsi="Arial"/>
          <w:sz w:val="22"/>
          <w:szCs w:val="22"/>
          <w:color w:val="auto"/>
        </w:rPr>
        <w:t>This Agreement may be executed in counterparts, each of which shall be deemed to be an original, and all of which together shall constitute one and the same agreement.</w:t>
      </w:r>
    </w:p>
    <w:p>
      <w:pPr>
        <w:spacing w:after="0" w:line="20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22"/>
          <w:szCs w:val="22"/>
          <w:color w:val="auto"/>
        </w:rPr>
        <w:t>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Capitalized terms used in this Agreement, including in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attached hereto, shall have the meanings set forth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8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xml:space="preserve">” means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or imposition of unadjudicated probation for, in each case, any crime involving moral turpitude or any felony.</w:t>
      </w:r>
    </w:p>
    <w:p>
      <w:pPr>
        <w:spacing w:after="0" w:line="217" w:lineRule="exact"/>
        <w:rPr>
          <w:sz w:val="20"/>
          <w:szCs w:val="20"/>
          <w:color w:val="auto"/>
        </w:rPr>
      </w:pPr>
    </w:p>
    <w:p>
      <w:pPr>
        <w:jc w:val="both"/>
        <w:ind w:firstLine="1296"/>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means that (1) without your consent, (A) your base salary or annual bonus target (as each may be increased from time to time in the Compensation Committee’s discretion) is reduced, (B) your title is diminished, (C) you report to someone other than the Company’s President &amp; Chief Executive Officer or the Chairman of the Company’s Board of Directors, (D) your responsibilities as in effect immediately after the date hereof are thereafter materially diminished, (E) the Company materially breaches its obligations to you under this Agreement or, (F) the Company requires that your principal office be located more than fifty (50) miles from Manhattan, (2) you have given the Company written notice, referring</w:t>
      </w: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22"/>
          <w:szCs w:val="22"/>
          <w:color w:val="auto"/>
        </w:rPr>
        <w:t xml:space="preserve">specifically to this letter and definition, that you do not consent to such action, (3) the Company has not corrected such action within 30 days of receiving such notice,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(4) you voluntarily terminate your employment with the Company within 90 days following the happening of the action described in subsection (1) above.</w:t>
      </w:r>
    </w:p>
    <w:p>
      <w:pPr>
        <w:spacing w:after="0" w:line="21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22"/>
          <w:szCs w:val="22"/>
          <w:color w:val="auto"/>
        </w:rPr>
        <w:t>It is the parties’ intention that this Agreement not be construed more strictly with regard to you or the Company. This Agreement reflects the entire understanding and agreement of you and the Company with respect to the subject matter hereof and supersedes all prior understandings and agreements.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AMC NETWORKS INC.</w:t>
      </w:r>
    </w:p>
    <w:p>
      <w:pPr>
        <w:spacing w:after="0" w:line="200" w:lineRule="exact"/>
        <w:rPr>
          <w:sz w:val="20"/>
          <w:szCs w:val="20"/>
          <w:color w:val="auto"/>
        </w:rPr>
      </w:pPr>
    </w:p>
    <w:p>
      <w:pPr>
        <w:spacing w:after="0" w:line="398"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24130</wp:posOffset>
            </wp:positionV>
            <wp:extent cx="30861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Joshua W. Sapan</w:t>
      </w:r>
    </w:p>
    <w:p>
      <w:pPr>
        <w:spacing w:after="0" w:line="58"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398"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24130</wp:posOffset>
            </wp:positionV>
            <wp:extent cx="30861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Christina Spade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Date: January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ANNEX I</w:t>
      </w:r>
    </w:p>
    <w:p>
      <w:pPr>
        <w:spacing w:after="0" w:line="287" w:lineRule="exact"/>
        <w:rPr>
          <w:sz w:val="20"/>
          <w:szCs w:val="20"/>
          <w:color w:val="auto"/>
        </w:rPr>
      </w:pPr>
    </w:p>
    <w:p>
      <w:pPr>
        <w:ind w:right="20" w:firstLine="1296"/>
        <w:spacing w:after="0" w:line="387" w:lineRule="auto"/>
        <w:rPr>
          <w:sz w:val="20"/>
          <w:szCs w:val="20"/>
          <w:color w:val="auto"/>
        </w:rPr>
      </w:pPr>
      <w:r>
        <w:rPr>
          <w:rFonts w:ascii="Arial" w:cs="Arial" w:eastAsia="Arial" w:hAnsi="Arial"/>
          <w:sz w:val="19"/>
          <w:szCs w:val="19"/>
          <w:color w:val="auto"/>
        </w:rPr>
        <w:t>This Annex constitutes part of the Agreement dated January 12, 2021, by and between Christina Spade (“</w:t>
      </w:r>
      <w:r>
        <w:rPr>
          <w:rFonts w:ascii="Arial" w:cs="Arial" w:eastAsia="Arial" w:hAnsi="Arial"/>
          <w:sz w:val="19"/>
          <w:szCs w:val="19"/>
          <w:i w:val="1"/>
          <w:iCs w:val="1"/>
          <w:color w:val="auto"/>
        </w:rPr>
        <w:t>You</w:t>
      </w:r>
      <w:r>
        <w:rPr>
          <w:rFonts w:ascii="Arial" w:cs="Arial" w:eastAsia="Arial" w:hAnsi="Arial"/>
          <w:sz w:val="19"/>
          <w:szCs w:val="19"/>
          <w:color w:val="auto"/>
        </w:rPr>
        <w:t>”) and AMC Networks Inc. (the “</w:t>
      </w:r>
      <w:r>
        <w:rPr>
          <w:rFonts w:ascii="Arial" w:cs="Arial" w:eastAsia="Arial" w:hAnsi="Arial"/>
          <w:sz w:val="19"/>
          <w:szCs w:val="19"/>
          <w:i w:val="1"/>
          <w:iCs w:val="1"/>
          <w:color w:val="auto"/>
        </w:rPr>
        <w:t>Company</w:t>
      </w:r>
      <w:r>
        <w:rPr>
          <w:rFonts w:ascii="Arial" w:cs="Arial" w:eastAsia="Arial" w:hAnsi="Arial"/>
          <w:sz w:val="19"/>
          <w:szCs w:val="19"/>
          <w:color w:val="auto"/>
        </w:rPr>
        <w:t>”). Terms defined in the Agreement shall have the same meanings in this Annex.</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You agree to comply with the following covenants in addition to those set forth in the Agreement.</w:t>
      </w:r>
    </w:p>
    <w:p>
      <w:pPr>
        <w:spacing w:after="0" w:line="349" w:lineRule="exact"/>
        <w:rPr>
          <w:sz w:val="20"/>
          <w:szCs w:val="20"/>
          <w:color w:val="auto"/>
        </w:rPr>
      </w:pPr>
    </w:p>
    <w:p>
      <w:pPr>
        <w:ind w:left="880" w:hanging="854"/>
        <w:spacing w:after="0"/>
        <w:tabs>
          <w:tab w:leader="none" w:pos="88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52" w:lineRule="exact"/>
        <w:rPr>
          <w:rFonts w:ascii="Arial" w:cs="Arial" w:eastAsia="Arial" w:hAnsi="Arial"/>
          <w:sz w:val="22"/>
          <w:szCs w:val="22"/>
          <w:b w:val="1"/>
          <w:bCs w:val="1"/>
          <w:color w:val="auto"/>
        </w:rPr>
      </w:pPr>
    </w:p>
    <w:p>
      <w:pPr>
        <w:jc w:val="both"/>
        <w:ind w:firstLine="1304"/>
        <w:spacing w:after="0" w:line="299" w:lineRule="auto"/>
        <w:tabs>
          <w:tab w:leader="none" w:pos="1581"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You agree to keep the existence and terms of this Agreement confidential (unless it is made public by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(1) you are authorized to make any disclosure required of you by any federal, state or local laws or judicial proceedings, after providing the Company with prior written notice and an opportunity to respond to such disclosure (unless such notice is prohibited by law), (2) you may disclose this Agreement to your attorneys and advisers, (3) you and your representatives and agents may disclose to any and all persons, without limitation of any kind, the tax treatment and tax structure of this Agreement and all materials of any kind (including opinions or other tax analyses) that are provided to you relating to such tax treatment or structure, and (4) you may disclose this Agreement in connection with any action by you to enforce or defend your rights under this Agreement.</w:t>
      </w:r>
    </w:p>
    <w:p>
      <w:pPr>
        <w:spacing w:after="0" w:line="212" w:lineRule="exact"/>
        <w:rPr>
          <w:rFonts w:ascii="Arial" w:cs="Arial" w:eastAsia="Arial" w:hAnsi="Arial"/>
          <w:sz w:val="21"/>
          <w:szCs w:val="21"/>
          <w:color w:val="auto"/>
        </w:rPr>
      </w:pPr>
    </w:p>
    <w:p>
      <w:pPr>
        <w:jc w:val="both"/>
        <w:ind w:firstLine="1304"/>
        <w:spacing w:after="0" w:line="331" w:lineRule="auto"/>
        <w:tabs>
          <w:tab w:leader="none" w:pos="1593"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You agree to retain in strict confidence and not use for any purpose whatsoever or divulge, disseminate, copy, disclose to any third party, or otherwise use any Confidential Information, other than for legitimate business purposes of the Company and its affiliates. As used herein,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any non-public information of a confidential, proprietary, commercially sensitive or personal nature of, or regarding, the Company or any of its affiliates or any director, officer or member of senior management of any of the foregoing (collectively “</w:t>
      </w:r>
      <w:r>
        <w:rPr>
          <w:rFonts w:ascii="Arial" w:cs="Arial" w:eastAsia="Arial" w:hAnsi="Arial"/>
          <w:sz w:val="19"/>
          <w:szCs w:val="19"/>
          <w:i w:val="1"/>
          <w:iCs w:val="1"/>
          <w:color w:val="auto"/>
        </w:rPr>
        <w:t>Covered Parties</w:t>
      </w:r>
      <w:r>
        <w:rPr>
          <w:rFonts w:ascii="Arial" w:cs="Arial" w:eastAsia="Arial" w:hAnsi="Arial"/>
          <w:sz w:val="19"/>
          <w:szCs w:val="19"/>
          <w:color w:val="auto"/>
        </w:rPr>
        <w:t>”). The term Confidential Information includes information in written, digital, oral or any other format and includes, but is not limited to (i) information designated or treated as confidential, (ii) budgets, plans, forecasts or other financial or accounting data; (iii) subscriber, customer, guest, fan vendor or shareholder lists or data; (iv) technical or strategic information regarding the Covered Parties’ cable, data, telephone,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w:t>
      </w: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 w:lineRule="exact"/>
        <w:rPr>
          <w:sz w:val="20"/>
          <w:szCs w:val="20"/>
          <w:color w:val="auto"/>
        </w:rPr>
      </w:pPr>
    </w:p>
    <w:p>
      <w:pPr>
        <w:jc w:val="both"/>
        <w:spacing w:after="0" w:line="356" w:lineRule="auto"/>
        <w:rPr>
          <w:sz w:val="20"/>
          <w:szCs w:val="20"/>
          <w:color w:val="auto"/>
        </w:rPr>
      </w:pPr>
      <w:r>
        <w:rPr>
          <w:rFonts w:ascii="Arial" w:cs="Arial" w:eastAsia="Arial" w:hAnsi="Arial"/>
          <w:sz w:val="19"/>
          <w:szCs w:val="19"/>
          <w:color w:val="auto"/>
        </w:rPr>
        <w:t>employees,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pacing w:after="0" w:line="162" w:lineRule="exact"/>
        <w:rPr>
          <w:sz w:val="20"/>
          <w:szCs w:val="20"/>
          <w:color w:val="auto"/>
        </w:rPr>
      </w:pPr>
    </w:p>
    <w:p>
      <w:pPr>
        <w:jc w:val="both"/>
        <w:ind w:firstLine="1304"/>
        <w:spacing w:after="0" w:line="291" w:lineRule="auto"/>
        <w:tabs>
          <w:tab w:leader="none" w:pos="1635"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Exception for Disclosure Pursuant to Law</w:t>
      </w:r>
      <w:r>
        <w:rPr>
          <w:rFonts w:ascii="Arial" w:cs="Arial" w:eastAsia="Arial" w:hAnsi="Arial"/>
          <w:sz w:val="22"/>
          <w:szCs w:val="22"/>
          <w:color w:val="auto"/>
        </w:rPr>
        <w:t>. Notwithstanding the foregoing, the obligations set forth in subsection (b) above, other than with respect to subscriber or customer information, shall not apply to Confidential Information that is:</w:t>
      </w:r>
    </w:p>
    <w:p>
      <w:pPr>
        <w:spacing w:after="0" w:line="281" w:lineRule="exact"/>
        <w:rPr>
          <w:rFonts w:ascii="Arial" w:cs="Arial" w:eastAsia="Arial" w:hAnsi="Arial"/>
          <w:sz w:val="22"/>
          <w:szCs w:val="22"/>
          <w:color w:val="auto"/>
        </w:rPr>
      </w:pPr>
    </w:p>
    <w:p>
      <w:pPr>
        <w:ind w:left="900" w:hanging="874"/>
        <w:spacing w:after="0"/>
        <w:tabs>
          <w:tab w:leader="none" w:pos="9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already in the public domain;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900" w:hanging="874"/>
        <w:spacing w:after="0"/>
        <w:tabs>
          <w:tab w:leader="none" w:pos="9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disclosed to you by a third party with the right to disclose it in good faith;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6" w:lineRule="exact"/>
        <w:rPr>
          <w:rFonts w:ascii="Arial" w:cs="Arial" w:eastAsia="Arial" w:hAnsi="Arial"/>
          <w:sz w:val="22"/>
          <w:szCs w:val="22"/>
          <w:color w:val="auto"/>
        </w:rPr>
      </w:pPr>
    </w:p>
    <w:p>
      <w:pPr>
        <w:ind w:left="860" w:hanging="834"/>
        <w:spacing w:after="0"/>
        <w:tabs>
          <w:tab w:leader="none" w:pos="8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specifically exempted in writing by the applicable Covered Party from the applicability of this Agreement.</w:t>
      </w:r>
    </w:p>
    <w:p>
      <w:pPr>
        <w:spacing w:after="0" w:line="200" w:lineRule="exact"/>
        <w:rPr>
          <w:sz w:val="20"/>
          <w:szCs w:val="20"/>
          <w:color w:val="auto"/>
        </w:rPr>
      </w:pPr>
    </w:p>
    <w:p>
      <w:pPr>
        <w:spacing w:after="0" w:line="29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22"/>
          <w:szCs w:val="22"/>
          <w:color w:val="auto"/>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spacing w:after="0" w:line="214" w:lineRule="exact"/>
        <w:rPr>
          <w:sz w:val="20"/>
          <w:szCs w:val="20"/>
          <w:color w:val="auto"/>
        </w:rPr>
      </w:pPr>
    </w:p>
    <w:p>
      <w:pPr>
        <w:jc w:val="both"/>
        <w:ind w:firstLine="1296"/>
        <w:spacing w:after="0" w:line="336" w:lineRule="auto"/>
        <w:rPr>
          <w:sz w:val="20"/>
          <w:szCs w:val="20"/>
          <w:color w:val="auto"/>
        </w:rPr>
      </w:pPr>
      <w:r>
        <w:rPr>
          <w:rFonts w:ascii="Arial" w:cs="Arial" w:eastAsia="Arial" w:hAnsi="Arial"/>
          <w:sz w:val="19"/>
          <w:szCs w:val="19"/>
          <w:color w:val="auto"/>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06" w:lineRule="exact"/>
        <w:rPr>
          <w:sz w:val="20"/>
          <w:szCs w:val="20"/>
          <w:color w:val="auto"/>
        </w:rPr>
      </w:pPr>
    </w:p>
    <w:p>
      <w:pPr>
        <w:ind w:left="900" w:hanging="874"/>
        <w:spacing w:after="0"/>
        <w:tabs>
          <w:tab w:leader="none" w:pos="9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Non-Compete</w:t>
      </w:r>
    </w:p>
    <w:p>
      <w:pPr>
        <w:spacing w:after="0" w:line="253" w:lineRule="exact"/>
        <w:rPr>
          <w:sz w:val="20"/>
          <w:szCs w:val="20"/>
          <w:color w:val="auto"/>
        </w:rPr>
      </w:pPr>
    </w:p>
    <w:p>
      <w:pPr>
        <w:jc w:val="both"/>
        <w:ind w:firstLine="1296"/>
        <w:spacing w:after="0" w:line="331" w:lineRule="auto"/>
        <w:rPr>
          <w:sz w:val="20"/>
          <w:szCs w:val="20"/>
          <w:color w:val="auto"/>
        </w:rPr>
      </w:pPr>
      <w:r>
        <w:rPr>
          <w:rFonts w:ascii="Arial" w:cs="Arial" w:eastAsia="Arial" w:hAnsi="Arial"/>
          <w:sz w:val="19"/>
          <w:szCs w:val="19"/>
          <w:color w:val="auto"/>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Arial" w:cs="Arial" w:eastAsia="Arial" w:hAnsi="Arial"/>
          <w:sz w:val="19"/>
          <w:szCs w:val="19"/>
          <w:i w:val="1"/>
          <w:iCs w:val="1"/>
          <w:color w:val="auto"/>
        </w:rPr>
        <w:t>Competitive Entity</w:t>
      </w:r>
      <w:r>
        <w:rPr>
          <w:rFonts w:ascii="Arial" w:cs="Arial" w:eastAsia="Arial" w:hAnsi="Arial"/>
          <w:sz w:val="19"/>
          <w:szCs w:val="19"/>
          <w:color w:val="auto"/>
        </w:rPr>
        <w:t>” shall mean any person, entity or business that (i) competes with any of the Company’s or any of its affiliate’s programming or other existing businesses,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 For the avoidance of doubt, this agreement not to compete will expire on the Expiration Date if the termination of your employment with the Company occurs on the Expiration Date.</w:t>
      </w:r>
    </w:p>
    <w:p>
      <w:pPr>
        <w:spacing w:after="0" w:line="253" w:lineRule="exact"/>
        <w:rPr>
          <w:sz w:val="20"/>
          <w:szCs w:val="20"/>
          <w:color w:val="auto"/>
        </w:rPr>
      </w:pPr>
    </w:p>
    <w:p>
      <w:pPr>
        <w:ind w:left="900" w:hanging="874"/>
        <w:spacing w:after="0"/>
        <w:tabs>
          <w:tab w:leader="none" w:pos="90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Understandings</w:t>
      </w:r>
    </w:p>
    <w:p>
      <w:pPr>
        <w:spacing w:after="0" w:line="239"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spacing w:after="0" w:line="3" w:lineRule="exact"/>
        <w:rPr>
          <w:sz w:val="20"/>
          <w:szCs w:val="20"/>
          <w:color w:val="auto"/>
        </w:rPr>
      </w:pPr>
    </w:p>
    <w:p>
      <w:pPr>
        <w:jc w:val="both"/>
        <w:ind w:left="120" w:firstLine="1093"/>
        <w:spacing w:after="0" w:line="295" w:lineRule="auto"/>
        <w:rPr>
          <w:sz w:val="20"/>
          <w:szCs w:val="20"/>
          <w:color w:val="auto"/>
        </w:rPr>
      </w:pPr>
      <w:r>
        <w:rPr>
          <w:rFonts w:ascii="Arial" w:cs="Arial" w:eastAsia="Arial" w:hAnsi="Arial"/>
          <w:sz w:val="21"/>
          <w:szCs w:val="21"/>
          <w:color w:val="auto"/>
        </w:rPr>
        <w:t xml:space="preserve">This agreement in no way restricts or prevents you from providing truthful testimony concerning the Company or its affiliates (i) as required by court order or other legal process,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you afford the Company written notice and an opportunity to respond prior to such disclosure; or (ii) in proceedings to enforce or defend your rights under this agreement or any other written agreement between you and the Company or its affiliates.</w:t>
      </w:r>
    </w:p>
    <w:p>
      <w:pPr>
        <w:spacing w:after="0" w:line="1" w:lineRule="exact"/>
        <w:rPr>
          <w:sz w:val="20"/>
          <w:szCs w:val="20"/>
          <w:color w:val="auto"/>
        </w:rPr>
      </w:pPr>
    </w:p>
    <w:p>
      <w:pPr>
        <w:jc w:val="both"/>
        <w:ind w:firstLine="1296"/>
        <w:spacing w:after="0" w:line="341" w:lineRule="auto"/>
        <w:rPr>
          <w:sz w:val="20"/>
          <w:szCs w:val="20"/>
          <w:color w:val="auto"/>
        </w:rPr>
      </w:pPr>
      <w:r>
        <w:rPr>
          <w:rFonts w:ascii="Arial" w:cs="Arial" w:eastAsia="Arial" w:hAnsi="Arial"/>
          <w:sz w:val="19"/>
          <w:szCs w:val="19"/>
          <w:color w:val="auto"/>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Arial" w:cs="Arial" w:eastAsia="Arial" w:hAnsi="Arial"/>
          <w:sz w:val="19"/>
          <w:szCs w:val="19"/>
          <w:i w:val="1"/>
          <w:iCs w:val="1"/>
          <w:color w:val="auto"/>
        </w:rPr>
        <w:t>Materials</w:t>
      </w:r>
      <w:r>
        <w:rPr>
          <w:rFonts w:ascii="Arial" w:cs="Arial" w:eastAsia="Arial" w:hAnsi="Arial"/>
          <w:sz w:val="19"/>
          <w:szCs w:val="19"/>
          <w:color w:val="auto"/>
        </w:rPr>
        <w:t>”). The Company will</w:t>
      </w: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have the sole and exclusive authority to use the Materials in any manner that it deems appropriate, in perpetuity, without additional payment to you.</w:t>
      </w:r>
    </w:p>
    <w:p>
      <w:pPr>
        <w:spacing w:after="0" w:line="262" w:lineRule="exact"/>
        <w:rPr>
          <w:sz w:val="20"/>
          <w:szCs w:val="20"/>
          <w:color w:val="auto"/>
        </w:rPr>
      </w:pPr>
    </w:p>
    <w:p>
      <w:pPr>
        <w:ind w:left="900" w:hanging="874"/>
        <w:spacing w:after="0"/>
        <w:tabs>
          <w:tab w:leader="none" w:pos="90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Further Cooperation</w:t>
      </w:r>
    </w:p>
    <w:p>
      <w:pPr>
        <w:spacing w:after="0" w:line="253" w:lineRule="exact"/>
        <w:rPr>
          <w:sz w:val="20"/>
          <w:szCs w:val="20"/>
          <w:color w:val="auto"/>
        </w:rPr>
      </w:pPr>
    </w:p>
    <w:p>
      <w:pPr>
        <w:jc w:val="both"/>
        <w:ind w:firstLine="1296"/>
        <w:spacing w:after="0" w:line="326" w:lineRule="auto"/>
        <w:rPr>
          <w:sz w:val="20"/>
          <w:szCs w:val="20"/>
          <w:color w:val="auto"/>
        </w:rPr>
      </w:pPr>
      <w:r>
        <w:rPr>
          <w:rFonts w:ascii="Arial" w:cs="Arial" w:eastAsia="Arial" w:hAnsi="Arial"/>
          <w:sz w:val="19"/>
          <w:szCs w:val="19"/>
          <w:color w:val="auto"/>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 The Company will pay you for your services rendered under this provision at a rate of $6,800.00 per day for each day or part thereof, within 30 days of the approval of the invoice thereof.</w:t>
      </w:r>
    </w:p>
    <w:p>
      <w:pPr>
        <w:spacing w:after="0" w:line="2"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any such expense before it is incurred.</w:t>
      </w:r>
    </w:p>
    <w:p>
      <w:pPr>
        <w:spacing w:after="0" w:line="284" w:lineRule="exact"/>
        <w:rPr>
          <w:sz w:val="20"/>
          <w:szCs w:val="20"/>
          <w:color w:val="auto"/>
        </w:rPr>
      </w:pPr>
    </w:p>
    <w:p>
      <w:pPr>
        <w:ind w:left="900" w:hanging="874"/>
        <w:spacing w:after="0"/>
        <w:tabs>
          <w:tab w:leader="none" w:pos="90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No Hire or Solicit</w:t>
      </w:r>
    </w:p>
    <w:p>
      <w:pPr>
        <w:spacing w:after="0" w:line="239"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22"/>
          <w:szCs w:val="22"/>
          <w:color w:val="auto"/>
        </w:rPr>
        <w:t>For the term of the Agreement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w:t>
      </w:r>
    </w:p>
    <w:p>
      <w:pPr>
        <w:spacing w:after="0" w:line="217" w:lineRule="exact"/>
        <w:rPr>
          <w:sz w:val="20"/>
          <w:szCs w:val="20"/>
          <w:color w:val="auto"/>
        </w:rPr>
      </w:pPr>
    </w:p>
    <w:p>
      <w:pPr>
        <w:jc w:val="both"/>
        <w:ind w:firstLine="253"/>
        <w:spacing w:after="0" w:line="302" w:lineRule="auto"/>
        <w:rPr>
          <w:sz w:val="20"/>
          <w:szCs w:val="20"/>
          <w:color w:val="auto"/>
        </w:rPr>
      </w:pPr>
      <w:r>
        <w:rPr>
          <w:rFonts w:ascii="Arial" w:cs="Arial" w:eastAsia="Arial" w:hAnsi="Arial"/>
          <w:sz w:val="22"/>
          <w:szCs w:val="22"/>
          <w:color w:val="auto"/>
        </w:rPr>
        <w:t>This restriction does not apply to any employee who was discharged by the Company or any of its affiliates. In addition, this restriction will not prevent you from providing references.</w:t>
      </w:r>
    </w:p>
    <w:p>
      <w:pPr>
        <w:spacing w:after="0" w:line="262" w:lineRule="exact"/>
        <w:rPr>
          <w:sz w:val="20"/>
          <w:szCs w:val="20"/>
          <w:color w:val="auto"/>
        </w:rPr>
      </w:pPr>
    </w:p>
    <w:p>
      <w:pPr>
        <w:ind w:left="880" w:hanging="854"/>
        <w:spacing w:after="0"/>
        <w:tabs>
          <w:tab w:leader="none" w:pos="88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Acknowledgments</w:t>
      </w:r>
    </w:p>
    <w:p>
      <w:pPr>
        <w:spacing w:after="0" w:line="253" w:lineRule="exact"/>
        <w:rPr>
          <w:sz w:val="20"/>
          <w:szCs w:val="20"/>
          <w:color w:val="auto"/>
        </w:rPr>
      </w:pPr>
    </w:p>
    <w:p>
      <w:pPr>
        <w:ind w:firstLine="1296"/>
        <w:spacing w:after="0" w:line="302" w:lineRule="auto"/>
        <w:rPr>
          <w:sz w:val="20"/>
          <w:szCs w:val="20"/>
          <w:color w:val="auto"/>
        </w:rPr>
      </w:pPr>
      <w:r>
        <w:rPr>
          <w:rFonts w:ascii="Arial" w:cs="Arial" w:eastAsia="Arial" w:hAnsi="Arial"/>
          <w:sz w:val="22"/>
          <w:szCs w:val="22"/>
          <w:color w:val="auto"/>
        </w:rPr>
        <w:t xml:space="preserve">You acknowledge that the restrictions contained in this </w:t>
      </w:r>
      <w:r>
        <w:rPr>
          <w:rFonts w:ascii="Arial" w:cs="Arial" w:eastAsia="Arial" w:hAnsi="Arial"/>
          <w:sz w:val="22"/>
          <w:szCs w:val="22"/>
          <w:i w:val="1"/>
          <w:iCs w:val="1"/>
          <w:color w:val="auto"/>
        </w:rPr>
        <w:t>Annex</w:t>
      </w:r>
      <w:r>
        <w:rPr>
          <w:rFonts w:ascii="Arial" w:cs="Arial" w:eastAsia="Arial" w:hAnsi="Arial"/>
          <w:sz w:val="22"/>
          <w:szCs w:val="22"/>
          <w:color w:val="auto"/>
        </w:rPr>
        <w:t>, in light of the nature of the Company’s business and your position and responsibilities, are reasonable and</w:t>
      </w: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 xml:space="preserve">necessary to protect the legitimate interests of the Company. You acknowledge that the Company has no adequate remedy at law and would be irreparably harmed if you breach or threaten to breach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raise the defense that the Company has an adequate remedy at law. Nothing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shall be construed as prohibiting the Company from pursuing any other remedies at law or in equity that it may have or any other rights that it may have under any other agreement. If it is determined that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w:t>
      </w:r>
    </w:p>
    <w:p>
      <w:pPr>
        <w:spacing w:after="0" w:line="200" w:lineRule="exact"/>
        <w:rPr>
          <w:sz w:val="20"/>
          <w:szCs w:val="20"/>
          <w:color w:val="auto"/>
        </w:rPr>
      </w:pPr>
    </w:p>
    <w:p>
      <w:pPr>
        <w:spacing w:after="0" w:line="341" w:lineRule="exact"/>
        <w:rPr>
          <w:sz w:val="20"/>
          <w:szCs w:val="20"/>
          <w:color w:val="auto"/>
        </w:rPr>
      </w:pPr>
    </w:p>
    <w:p>
      <w:pPr>
        <w:ind w:left="880" w:hanging="854"/>
        <w:spacing w:after="0"/>
        <w:tabs>
          <w:tab w:leader="none" w:pos="88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Survival</w:t>
      </w:r>
    </w:p>
    <w:p>
      <w:pPr>
        <w:spacing w:after="0" w:line="253"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 xml:space="preserve">The covenants and agreement set forth in this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survive any termination or expiration of this Agreement and any termination of your employment with the Company, in accordance with their respective terms.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ind w:left="980"/>
              <w:spacing w:after="0"/>
              <w:rPr>
                <w:sz w:val="20"/>
                <w:szCs w:val="20"/>
                <w:color w:val="auto"/>
              </w:rPr>
            </w:pPr>
            <w:r>
              <w:rPr>
                <w:rFonts w:ascii="Arial" w:cs="Arial" w:eastAsia="Arial" w:hAnsi="Arial"/>
                <w:sz w:val="18"/>
                <w:szCs w:val="18"/>
                <w:color w:val="auto"/>
                <w:w w:val="93"/>
              </w:rPr>
              <w:t>Exhibit 21</w:t>
            </w:r>
          </w:p>
        </w:tc>
      </w:tr>
      <w:tr>
        <w:trPr>
          <w:trHeight w:val="810"/>
        </w:trPr>
        <w:tc>
          <w:tcPr>
            <w:tcW w:w="4040" w:type="dxa"/>
            <w:vAlign w:val="bottom"/>
          </w:tcPr>
          <w:p>
            <w:pPr>
              <w:spacing w:after="0"/>
              <w:rPr>
                <w:sz w:val="24"/>
                <w:szCs w:val="24"/>
                <w:color w:val="auto"/>
              </w:rPr>
            </w:pPr>
          </w:p>
        </w:tc>
        <w:tc>
          <w:tcPr>
            <w:tcW w:w="5440" w:type="dxa"/>
            <w:vAlign w:val="bottom"/>
            <w:gridSpan w:val="4"/>
          </w:tcPr>
          <w:p>
            <w:pPr>
              <w:jc w:val="center"/>
              <w:ind w:right="2320"/>
              <w:spacing w:after="0"/>
              <w:rPr>
                <w:sz w:val="20"/>
                <w:szCs w:val="20"/>
                <w:color w:val="auto"/>
              </w:rPr>
            </w:pPr>
            <w:r>
              <w:rPr>
                <w:rFonts w:ascii="Arial" w:cs="Arial" w:eastAsia="Arial" w:hAnsi="Arial"/>
                <w:sz w:val="18"/>
                <w:szCs w:val="18"/>
                <w:b w:val="1"/>
                <w:bCs w:val="1"/>
                <w:color w:val="auto"/>
                <w:w w:val="91"/>
              </w:rPr>
              <w:t>Material Subsidiaries of the Registrant</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40" w:type="dxa"/>
            <w:vAlign w:val="bottom"/>
          </w:tcPr>
          <w:p>
            <w:pPr>
              <w:spacing w:after="0"/>
              <w:rPr>
                <w:sz w:val="23"/>
                <w:szCs w:val="23"/>
                <w:color w:val="auto"/>
              </w:rPr>
            </w:pPr>
          </w:p>
        </w:tc>
        <w:tc>
          <w:tcPr>
            <w:tcW w:w="5440" w:type="dxa"/>
            <w:vAlign w:val="bottom"/>
            <w:gridSpan w:val="4"/>
          </w:tcPr>
          <w:p>
            <w:pPr>
              <w:jc w:val="center"/>
              <w:ind w:right="2320"/>
              <w:spacing w:after="0"/>
              <w:rPr>
                <w:sz w:val="20"/>
                <w:szCs w:val="20"/>
                <w:color w:val="auto"/>
              </w:rPr>
            </w:pPr>
            <w:r>
              <w:rPr>
                <w:rFonts w:ascii="Arial" w:cs="Arial" w:eastAsia="Arial" w:hAnsi="Arial"/>
                <w:sz w:val="18"/>
                <w:szCs w:val="18"/>
                <w:b w:val="1"/>
                <w:bCs w:val="1"/>
                <w:color w:val="auto"/>
                <w:w w:val="95"/>
              </w:rPr>
              <w:t>AMC Networks Inc.</w:t>
            </w:r>
          </w:p>
        </w:tc>
        <w:tc>
          <w:tcPr>
            <w:tcW w:w="1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4"/>
        </w:trPr>
        <w:tc>
          <w:tcPr>
            <w:tcW w:w="4040" w:type="dxa"/>
            <w:vAlign w:val="bottom"/>
          </w:tcPr>
          <w:p>
            <w:pPr>
              <w:ind w:left="3280"/>
              <w:spacing w:after="0"/>
              <w:rPr>
                <w:sz w:val="20"/>
                <w:szCs w:val="20"/>
                <w:color w:val="auto"/>
              </w:rPr>
            </w:pPr>
            <w:r>
              <w:rPr>
                <w:rFonts w:ascii="Arial" w:cs="Arial" w:eastAsia="Arial" w:hAnsi="Arial"/>
                <w:sz w:val="14"/>
                <w:szCs w:val="14"/>
                <w:b w:val="1"/>
                <w:bCs w:val="1"/>
                <w:color w:val="auto"/>
              </w:rPr>
              <w:t>Subsidiary</w:t>
            </w:r>
          </w:p>
        </w:tc>
        <w:tc>
          <w:tcPr>
            <w:tcW w:w="3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Jurisdiction of Formation</w:t>
            </w: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 Owned</w:t>
            </w:r>
          </w:p>
        </w:tc>
      </w:tr>
      <w:tr>
        <w:trPr>
          <w:trHeight w:val="229"/>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AMC Network Entertainment LLC</w:t>
            </w:r>
          </w:p>
        </w:tc>
        <w:tc>
          <w:tcPr>
            <w:tcW w:w="3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AMC Networks International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American Movie Classics IV Holding Corporation</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IFC 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Video Channel America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49.9%</w:t>
            </w:r>
          </w:p>
        </w:tc>
        <w:tc>
          <w:tcPr>
            <w:tcW w:w="2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Rainbow Media Holdings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Rainbow Programming Holdings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SundanceTV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 tv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bl>
    <w:p>
      <w:pPr>
        <w:sectPr>
          <w:pgSz w:w="11900" w:h="16838" w:orient="portrait"/>
          <w:cols w:equalWidth="0" w:num="1">
            <w:col w:w="11220"/>
          </w:cols>
          <w:pgMar w:left="340" w:top="139" w:right="3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w w:val="93"/>
              </w:rPr>
              <w:t>Exhibit 22</w:t>
            </w:r>
          </w:p>
        </w:tc>
      </w:tr>
      <w:tr>
        <w:trPr>
          <w:trHeight w:val="810"/>
        </w:trPr>
        <w:tc>
          <w:tcPr>
            <w:tcW w:w="9220" w:type="dxa"/>
            <w:vAlign w:val="bottom"/>
            <w:gridSpan w:val="2"/>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Arial" w:cs="Arial" w:eastAsia="Arial" w:hAnsi="Arial"/>
                <w:sz w:val="18"/>
                <w:szCs w:val="18"/>
                <w:color w:val="auto"/>
                <w:w w:val="92"/>
              </w:rPr>
              <w:t>As of December 31, 2020, the following subsidiaries of AMC Networks Inc. guarantee the notes issued by AMC Networks Inc.</w:t>
            </w:r>
          </w:p>
        </w:tc>
        <w:tc>
          <w:tcPr>
            <w:tcW w:w="2020" w:type="dxa"/>
            <w:vAlign w:val="bottom"/>
          </w:tcPr>
          <w:p>
            <w:pPr>
              <w:spacing w:after="0"/>
              <w:rPr>
                <w:sz w:val="23"/>
                <w:szCs w:val="23"/>
                <w:color w:val="auto"/>
              </w:rPr>
            </w:pPr>
          </w:p>
        </w:tc>
      </w:tr>
      <w:tr>
        <w:trPr>
          <w:trHeight w:val="294"/>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61st Street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 Entertainment LLC</w:t>
            </w:r>
          </w:p>
        </w:tc>
        <w:tc>
          <w:tcPr>
            <w:tcW w:w="2020" w:type="dxa"/>
            <w:vAlign w:val="bottom"/>
          </w:tcPr>
          <w:p>
            <w:pPr>
              <w:ind w:left="20"/>
              <w:spacing w:after="0"/>
              <w:rPr>
                <w:sz w:val="20"/>
                <w:szCs w:val="20"/>
                <w:color w:val="auto"/>
              </w:rPr>
            </w:pPr>
            <w:r>
              <w:rPr>
                <w:rFonts w:ascii="Arial" w:cs="Arial" w:eastAsia="Arial" w:hAnsi="Arial"/>
                <w:sz w:val="16"/>
                <w:szCs w:val="16"/>
                <w:color w:val="auto"/>
              </w:rPr>
              <w:t>New York</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International Asia-Pacific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International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Premiere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TV Studios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AMCN Properties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Animal Control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Anthem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Badlands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Louisiana</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Badlands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Benders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Brockmire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Cobalt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Comic Scribe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Crossed Pens Development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Digital Store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Dispatches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Expedition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Five Families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Five Moons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Geese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Ground Work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Hap and Leonard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Entertainment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Entertainment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Films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In Theaters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 w:right="3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2"/>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Television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Theatres Concessions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Theatres,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TV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TV Studios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TV Studios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IPTV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Kindred Spirit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Kopus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Kopus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Living With Yourself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Lodge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Lodge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Making Waves Studio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Mechanical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Monument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Newfound Lake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NOS4A2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Rhode Island</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Peach Pit Properties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Pens Down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Premier Quills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Rainbow Film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Rainbow Media Enterprises, Inc.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Rainbow Media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Rainbow Programming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Rectify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Rectify Productions III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Rectify Productions IV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Rectify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 Monday Programming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RNC Holding Corporation</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RNC II Holding Corporation</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Roughhouse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Selects VOD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Shudder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Sleuth Secrets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Stalwart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Stan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Stan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Sundance Channel Originals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Sundance Film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SundanceTV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The Son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14" w:right="33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Pr>
          <w:p>
            <w:pPr>
              <w:spacing w:after="0"/>
              <w:rPr>
                <w:sz w:val="18"/>
                <w:szCs w:val="18"/>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0"/>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Turn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Turn Productions 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Turn Productions IV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Turn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IV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IX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VI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VII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VIII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X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XI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Universe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Voom HD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WE tv Asia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 TV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WE tv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 TV Studios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Woodbury Studios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14" w:right="339" w:bottom="1440" w:gutter="0" w:footer="0" w:header="0"/>
        </w:sectPr>
      </w:pPr>
    </w:p>
    <w:bookmarkStart w:id="152" w:name="page153"/>
    <w:bookmarkEnd w:id="152"/>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consent to the incorporation by reference in the registration statement (No. 333-234695) on Form S-3 and (No. 333-214083) on Form S-8 of AMC Networks Inc. of our reports dated February 26, 2021, with respect to (i) the consolidated balance sheets of AMC Networks Inc. and subsidiaries (the Company) as of December 31, 2020 and 2019, the related consolidated statements of income, comprehensive income, stockholders' equity, and cash flows for each of the years in the three-year period ended December 31, 2020, and the related notes, and financial statement schedule II, and (ii) the effectiveness of the Company’s internal control over financial reporting as of December 31, 2020, which reports appear in the December 31, 2020 annual report on Form 10-K of AMC Networks Inc. Our reports on the Company’s consolidated financial statements refers to changes in accounting principle due to the Company’s adoption of ASU No. 2019-02, Improvements to Accounting for Costs of Films and License Agreements for Program Materials, as of January 1, 2020, and the adoption of ASU No. 2016-02, Leases (ASC 842), as of January 1,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1440"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8"/>
        <w:spacing w:after="0" w:line="308" w:lineRule="auto"/>
        <w:tabs>
          <w:tab w:leader="none" w:pos="19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480"/>
              <w:spacing w:after="0"/>
              <w:rPr>
                <w:sz w:val="20"/>
                <w:szCs w:val="20"/>
                <w:color w:val="auto"/>
              </w:rPr>
            </w:pPr>
            <w:r>
              <w:rPr>
                <w:rFonts w:ascii="Arial" w:cs="Arial" w:eastAsia="Arial" w:hAnsi="Arial"/>
                <w:sz w:val="18"/>
                <w:szCs w:val="18"/>
                <w:color w:val="auto"/>
              </w:rPr>
              <w:t>February 26, 2021</w:t>
            </w:r>
          </w:p>
        </w:tc>
        <w:tc>
          <w:tcPr>
            <w:tcW w:w="6360" w:type="dxa"/>
            <w:vAlign w:val="bottom"/>
            <w:gridSpan w:val="2"/>
          </w:tcPr>
          <w:p>
            <w:pPr>
              <w:ind w:left="2180"/>
              <w:spacing w:after="0"/>
              <w:rPr>
                <w:sz w:val="20"/>
                <w:szCs w:val="20"/>
                <w:color w:val="auto"/>
              </w:rPr>
            </w:pPr>
            <w:r>
              <w:rPr>
                <w:rFonts w:ascii="Arial" w:cs="Arial" w:eastAsia="Arial" w:hAnsi="Arial"/>
                <w:sz w:val="18"/>
                <w:szCs w:val="18"/>
                <w:color w:val="auto"/>
              </w:rPr>
              <w:t>By:  /s/ Joshua W. Sapan</w:t>
            </w:r>
          </w:p>
        </w:tc>
      </w:tr>
      <w:tr>
        <w:trPr>
          <w:trHeight w:val="222"/>
        </w:trPr>
        <w:tc>
          <w:tcPr>
            <w:tcW w:w="8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Joshua W. Sapan</w:t>
            </w:r>
          </w:p>
        </w:tc>
      </w:tr>
      <w:tr>
        <w:trPr>
          <w:trHeight w:val="230"/>
        </w:trPr>
        <w:tc>
          <w:tcPr>
            <w:tcW w:w="8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5"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Christina Spade, certify that:</w:t>
      </w:r>
    </w:p>
    <w:p>
      <w:pPr>
        <w:spacing w:after="0" w:line="171"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8"/>
        <w:spacing w:after="0" w:line="308" w:lineRule="auto"/>
        <w:tabs>
          <w:tab w:leader="none" w:pos="19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340"/>
              <w:spacing w:after="0"/>
              <w:rPr>
                <w:sz w:val="20"/>
                <w:szCs w:val="20"/>
                <w:color w:val="auto"/>
              </w:rPr>
            </w:pPr>
            <w:r>
              <w:rPr>
                <w:rFonts w:ascii="Arial" w:cs="Arial" w:eastAsia="Arial" w:hAnsi="Arial"/>
                <w:sz w:val="18"/>
                <w:szCs w:val="18"/>
                <w:color w:val="auto"/>
              </w:rPr>
              <w:t>February 26, 2021</w:t>
            </w:r>
          </w:p>
        </w:tc>
        <w:tc>
          <w:tcPr>
            <w:tcW w:w="6480" w:type="dxa"/>
            <w:vAlign w:val="bottom"/>
            <w:gridSpan w:val="2"/>
          </w:tcPr>
          <w:p>
            <w:pPr>
              <w:ind w:left="2300"/>
              <w:spacing w:after="0"/>
              <w:rPr>
                <w:sz w:val="20"/>
                <w:szCs w:val="20"/>
                <w:color w:val="auto"/>
              </w:rPr>
            </w:pPr>
            <w:r>
              <w:rPr>
                <w:rFonts w:ascii="Arial" w:cs="Arial" w:eastAsia="Arial" w:hAnsi="Arial"/>
                <w:sz w:val="18"/>
                <w:szCs w:val="18"/>
                <w:color w:val="auto"/>
              </w:rPr>
              <w:t>By:  /s/ Christina Spade</w:t>
            </w:r>
          </w:p>
        </w:tc>
      </w:tr>
      <w:tr>
        <w:trPr>
          <w:trHeight w:val="222"/>
        </w:trPr>
        <w:tc>
          <w:tcPr>
            <w:tcW w:w="7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Christina Spade</w:t>
            </w:r>
          </w:p>
        </w:tc>
      </w:tr>
      <w:tr>
        <w:trPr>
          <w:trHeight w:val="176"/>
        </w:trPr>
        <w:tc>
          <w:tcPr>
            <w:tcW w:w="7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w:t>
            </w:r>
          </w:p>
        </w:tc>
      </w:tr>
      <w:tr>
        <w:trPr>
          <w:trHeight w:val="230"/>
        </w:trPr>
        <w:tc>
          <w:tcPr>
            <w:tcW w:w="7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125"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Annual Report on Form 10-K for the period ended December 31, 2020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February 26, 2021</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Joshua W. Sapan</w:t>
            </w:r>
          </w:p>
        </w:tc>
        <w:tc>
          <w:tcPr>
            <w:tcW w:w="20" w:type="dxa"/>
            <w:vAlign w:val="bottom"/>
          </w:tcPr>
          <w:p>
            <w:pPr>
              <w:spacing w:after="0"/>
              <w:rPr>
                <w:sz w:val="20"/>
                <w:szCs w:val="20"/>
                <w:color w:val="auto"/>
              </w:rPr>
            </w:pPr>
          </w:p>
        </w:tc>
      </w:tr>
      <w:tr>
        <w:trPr>
          <w:trHeight w:val="222"/>
        </w:trPr>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Joshua W. Sapan</w:t>
            </w:r>
          </w:p>
        </w:tc>
        <w:tc>
          <w:tcPr>
            <w:tcW w:w="2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60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20"/>
              <w:spacing w:after="0"/>
              <w:rPr>
                <w:sz w:val="20"/>
                <w:szCs w:val="20"/>
                <w:color w:val="auto"/>
              </w:rPr>
            </w:pPr>
            <w:r>
              <w:rPr>
                <w:rFonts w:ascii="Arial" w:cs="Arial" w:eastAsia="Arial" w:hAnsi="Arial"/>
                <w:sz w:val="18"/>
                <w:szCs w:val="18"/>
                <w:color w:val="auto"/>
              </w:rPr>
              <w:t>February 26, 2021</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Christina Spade</w:t>
            </w:r>
          </w:p>
        </w:tc>
        <w:tc>
          <w:tcPr>
            <w:tcW w:w="20" w:type="dxa"/>
            <w:vAlign w:val="bottom"/>
            <w:tcBorders>
              <w:bottom w:val="single" w:sz="8" w:color="auto"/>
            </w:tcBorders>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Christina Spade</w:t>
            </w:r>
          </w:p>
        </w:tc>
        <w:tc>
          <w:tcPr>
            <w:tcW w:w="20" w:type="dxa"/>
            <w:vAlign w:val="bottom"/>
          </w:tcPr>
          <w:p>
            <w:pPr>
              <w:spacing w:after="0"/>
              <w:rPr>
                <w:sz w:val="19"/>
                <w:szCs w:val="19"/>
                <w:color w:val="auto"/>
              </w:rPr>
            </w:pPr>
          </w:p>
        </w:tc>
      </w:tr>
      <w:tr>
        <w:trPr>
          <w:trHeight w:val="176"/>
        </w:trPr>
        <w:tc>
          <w:tcPr>
            <w:tcW w:w="5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w:t>
            </w:r>
          </w:p>
        </w:tc>
        <w:tc>
          <w:tcPr>
            <w:tcW w:w="20" w:type="dxa"/>
            <w:vAlign w:val="bottom"/>
          </w:tcPr>
          <w:p>
            <w:pPr>
              <w:spacing w:after="0"/>
              <w:rPr>
                <w:sz w:val="15"/>
                <w:szCs w:val="15"/>
                <w:color w:val="auto"/>
              </w:rPr>
            </w:pPr>
          </w:p>
        </w:tc>
      </w:tr>
      <w:tr>
        <w:trPr>
          <w:trHeight w:val="230"/>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lvl w:ilvl="1">
      <w:lvlJc w:val="left"/>
      <w:lvlText w:val="•"/>
      <w:numFmt w:val="bullet"/>
      <w:start w:val="1"/>
    </w:lvl>
  </w:abstractNum>
  <w:abstractNum w:abstractNumId="13">
    <w:nsid w:val="153EA438"/>
    <w:multiLevelType w:val="hybridMultilevel"/>
    <w:lvl w:ilvl="0">
      <w:lvlJc w:val="left"/>
      <w:lvlText w:val="•"/>
      <w:numFmt w:val="bullet"/>
      <w:start w:val="1"/>
    </w:lvl>
    <w:lvl w:ilvl="1">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1)"/>
      <w:numFmt w:val="lowerLetter"/>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Roman"/>
      <w:start w:val="2"/>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21"/>
    </w:lvl>
  </w:abstractNum>
  <w:abstractNum w:abstractNumId="33">
    <w:nsid w:val="1BA026FA"/>
    <w:multiLevelType w:val="hybridMultilevel"/>
    <w:lvl w:ilvl="0">
      <w:lvlJc w:val="left"/>
      <w:lvlText w:val="%1"/>
      <w:numFmt w:val="decimal"/>
      <w:start w:val="32"/>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lvl w:ilvl="1">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1"/>
    </w:lvl>
  </w:abstractNum>
  <w:abstractNum w:abstractNumId="40">
    <w:nsid w:val="4F4EF005"/>
    <w:multiLevelType w:val="hybridMultilevel"/>
    <w:lvl w:ilvl="0">
      <w:lvlJc w:val="left"/>
      <w:lvlText w:val="(%1)"/>
      <w:numFmt w:val="lowerLetter"/>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4"/>
    </w:lvl>
  </w:abstractNum>
  <w:abstractNum w:abstractNumId="43">
    <w:nsid w:val="275AC794"/>
    <w:multiLevelType w:val="hybridMultilevel"/>
    <w:lvl w:ilvl="0">
      <w:lvlJc w:val="left"/>
      <w:lvlText w:val="%1."/>
      <w:numFmt w:val="decimal"/>
      <w:start w:val="6"/>
    </w:lvl>
    <w:lvl w:ilvl="1">
      <w:lvlJc w:val="left"/>
      <w:lvlText w:val="(%2)"/>
      <w:numFmt w:val="lowerLetter"/>
      <w:start w:val="1"/>
    </w:lvl>
  </w:abstractNum>
  <w:abstractNum w:abstractNumId="44">
    <w:nsid w:val="39386575"/>
    <w:multiLevelType w:val="hybridMultilevel"/>
    <w:lvl w:ilvl="0">
      <w:lvlJc w:val="left"/>
      <w:lvlText w:val="(%1)"/>
      <w:numFmt w:val="lowerLetter"/>
      <w:start w:val="5"/>
    </w:lvl>
  </w:abstractNum>
  <w:abstractNum w:abstractNumId="45">
    <w:nsid w:val="1CF10FD8"/>
    <w:multiLevelType w:val="hybridMultilevel"/>
    <w:lvl w:ilvl="0">
      <w:lvlJc w:val="left"/>
      <w:lvlText w:val="(%1)"/>
      <w:numFmt w:val="lowerLetter"/>
      <w:start w:val="7"/>
    </w:lvl>
  </w:abstractNum>
  <w:abstractNum w:abstractNumId="46">
    <w:nsid w:val="180115BE"/>
    <w:multiLevelType w:val="hybridMultilevel"/>
    <w:lvl w:ilvl="0">
      <w:lvlJc w:val="left"/>
      <w:lvlText w:val="%1."/>
      <w:numFmt w:val="decimal"/>
      <w:start w:val="8"/>
    </w:lvl>
  </w:abstractNum>
  <w:abstractNum w:abstractNumId="47">
    <w:nsid w:val="235BA861"/>
    <w:multiLevelType w:val="hybridMultilevel"/>
    <w:lvl w:ilvl="0">
      <w:lvlJc w:val="left"/>
      <w:lvlText w:val="%1."/>
      <w:numFmt w:val="decimal"/>
      <w:start w:val="11"/>
    </w:lvl>
  </w:abstractNum>
  <w:abstractNum w:abstractNumId="48">
    <w:nsid w:val="47398C89"/>
    <w:multiLevelType w:val="hybridMultilevel"/>
    <w:lvl w:ilvl="0">
      <w:lvlJc w:val="left"/>
      <w:lvlText w:val="%1."/>
      <w:numFmt w:val="decimal"/>
      <w:start w:val="17"/>
    </w:lvl>
  </w:abstractNum>
  <w:abstractNum w:abstractNumId="49">
    <w:nsid w:val="354FE9F9"/>
    <w:multiLevelType w:val="hybridMultilevel"/>
    <w:lvl w:ilvl="0">
      <w:lvlJc w:val="left"/>
      <w:lvlText w:val="%1."/>
      <w:numFmt w:val="decimal"/>
      <w:start w:val="20"/>
    </w:lvl>
  </w:abstractNum>
  <w:abstractNum w:abstractNumId="50">
    <w:nsid w:val="15B5AF5C"/>
    <w:multiLevelType w:val="hybridMultilevel"/>
    <w:lvl w:ilvl="0">
      <w:lvlJc w:val="left"/>
      <w:lvlText w:val="%1."/>
      <w:numFmt w:val="decimal"/>
      <w:start w:val="26"/>
    </w:lvl>
  </w:abstractNum>
  <w:abstractNum w:abstractNumId="51">
    <w:nsid w:val="741226BB"/>
    <w:multiLevelType w:val="hybridMultilevel"/>
    <w:lvl w:ilvl="0">
      <w:lvlJc w:val="left"/>
      <w:lvlText w:val="(%1)"/>
      <w:numFmt w:val="upperLetter"/>
      <w:start w:val="4"/>
    </w:lvl>
  </w:abstractNum>
  <w:abstractNum w:abstractNumId="52">
    <w:nsid w:val="D34B6A8"/>
    <w:multiLevelType w:val="hybridMultilevel"/>
    <w:lvl w:ilvl="0">
      <w:lvlJc w:val="left"/>
      <w:lvlText w:val="(%1)"/>
      <w:numFmt w:val="upperLetter"/>
      <w:start w:val="6"/>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decimal"/>
      <w:start w:val="3"/>
    </w:lvl>
    <w:lvl w:ilvl="1">
      <w:lvlJc w:val="left"/>
      <w:lvlText w:val="(%2)"/>
      <w:numFmt w:val="lowerRoman"/>
      <w:start w:val="2"/>
    </w:lvl>
    <w:lvl w:ilvl="2">
      <w:lvlJc w:val="left"/>
      <w:lvlText w:val="(%3)"/>
      <w:numFmt w:val="lowerRoman"/>
      <w:start w:val="2"/>
    </w:lvl>
  </w:abstractNum>
  <w:abstractNum w:abstractNumId="56">
    <w:nsid w:val="7E0C57B1"/>
    <w:multiLevelType w:val="hybridMultilevel"/>
    <w:lvl w:ilvl="0">
      <w:lvlJc w:val="left"/>
      <w:lvlText w:val="(%1)"/>
      <w:numFmt w:val="lowerRoman"/>
      <w:start w:val="4"/>
    </w:lvl>
  </w:abstractNum>
  <w:abstractNum w:abstractNumId="57">
    <w:nsid w:val="77AE35EB"/>
    <w:multiLevelType w:val="hybridMultilevel"/>
    <w:lvl w:ilvl="0">
      <w:lvlJc w:val="left"/>
      <w:lvlText w:val="%1."/>
      <w:numFmt w:val="decimal"/>
      <w:start w:val="1"/>
    </w:lvl>
    <w:lvl w:ilvl="1">
      <w:lvlJc w:val="left"/>
      <w:lvlText w:val="(%2)"/>
      <w:numFmt w:val="lowerLetter"/>
      <w:start w:val="1"/>
    </w:lvl>
  </w:abstractNum>
  <w:abstractNum w:abstractNumId="58">
    <w:nsid w:val="579BE4F1"/>
    <w:multiLevelType w:val="hybridMultilevel"/>
    <w:lvl w:ilvl="0">
      <w:lvlJc w:val="left"/>
      <w:lvlText w:val="%1"/>
      <w:numFmt w:val="decimal"/>
      <w:start w:val="1"/>
    </w:lvl>
    <w:lvl w:ilvl="1">
      <w:lvlJc w:val="left"/>
      <w:lvlText w:val="(%2)"/>
      <w:numFmt w:val="lowerLetter"/>
      <w:start w:val="3"/>
    </w:lvl>
  </w:abstractNum>
  <w:abstractNum w:abstractNumId="59">
    <w:nsid w:val="310C50B3"/>
    <w:multiLevelType w:val="hybridMultilevel"/>
    <w:lvl w:ilvl="0">
      <w:lvlJc w:val="left"/>
      <w:lvlText w:val="%1)"/>
      <w:numFmt w:val="decimal"/>
      <w:start w:val="1"/>
    </w:lvl>
    <w:lvl w:ilvl="1">
      <w:lvlJc w:val="left"/>
      <w:lvlText w:val="%2"/>
      <w:numFmt w:val="lowerLetter"/>
      <w:start w:val="1"/>
    </w:lvl>
  </w:abstractNum>
  <w:abstractNum w:abstractNumId="60">
    <w:nsid w:val="5FF87E05"/>
    <w:multiLevelType w:val="hybridMultilevel"/>
    <w:lvl w:ilvl="0">
      <w:lvlJc w:val="left"/>
      <w:lvlText w:val="%1."/>
      <w:numFmt w:val="decimal"/>
      <w:start w:val="2"/>
    </w:lvl>
  </w:abstractNum>
  <w:abstractNum w:abstractNumId="61">
    <w:nsid w:val="2F305DEF"/>
    <w:multiLevelType w:val="hybridMultilevel"/>
    <w:lvl w:ilvl="0">
      <w:lvlJc w:val="left"/>
      <w:lvlText w:val="%1."/>
      <w:numFmt w:val="decimal"/>
      <w:start w:val="3"/>
    </w:lvl>
  </w:abstractNum>
  <w:abstractNum w:abstractNumId="62">
    <w:nsid w:val="25A70BF7"/>
    <w:multiLevelType w:val="hybridMultilevel"/>
    <w:lvl w:ilvl="0">
      <w:lvlJc w:val="left"/>
      <w:lvlText w:val="%1."/>
      <w:numFmt w:val="decimal"/>
      <w:start w:val="4"/>
    </w:lvl>
  </w:abstractNum>
  <w:abstractNum w:abstractNumId="63">
    <w:nsid w:val="1DBABF00"/>
    <w:multiLevelType w:val="hybridMultilevel"/>
    <w:lvl w:ilvl="0">
      <w:lvlJc w:val="left"/>
      <w:lvlText w:val="%1."/>
      <w:numFmt w:val="decimal"/>
      <w:start w:val="5"/>
    </w:lvl>
  </w:abstractNum>
  <w:abstractNum w:abstractNumId="64">
    <w:nsid w:val="4AD084E9"/>
    <w:multiLevelType w:val="hybridMultilevel"/>
    <w:lvl w:ilvl="0">
      <w:lvlJc w:val="left"/>
      <w:lvlText w:val="%1."/>
      <w:numFmt w:val="decimal"/>
      <w:start w:val="6"/>
    </w:lvl>
  </w:abstractNum>
  <w:abstractNum w:abstractNumId="65">
    <w:nsid w:val="1F48EAA1"/>
    <w:multiLevelType w:val="hybridMultilevel"/>
    <w:lvl w:ilvl="0">
      <w:lvlJc w:val="left"/>
      <w:lvlText w:val="%1."/>
      <w:numFmt w:val="decimal"/>
      <w:start w:val="7"/>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2" Type="http://schemas.openxmlformats.org/officeDocument/2006/relationships/image" Target="media/image91.png"/><Relationship Id="rId128"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98" Type="http://schemas.openxmlformats.org/officeDocument/2006/relationships/hyperlink" Target="http://www.sec.gov/Archives/edgar/data/1514991/000119312518230456/d586184dex21.htm" TargetMode="External"/><Relationship Id="rId99" Type="http://schemas.openxmlformats.org/officeDocument/2006/relationships/hyperlink" Target="http://www.sec.gov/Archives/edgar/data/1514991/000095012311063740/y91900exv99w4.htm" TargetMode="External"/><Relationship Id="rId100" Type="http://schemas.openxmlformats.org/officeDocument/2006/relationships/hyperlink" Target="http://www.sec.gov/Archives/edgar/data/1514991/000095012311063740/y91900exv99w5.htm" TargetMode="External"/><Relationship Id="rId101" Type="http://schemas.openxmlformats.org/officeDocument/2006/relationships/hyperlink" Target="http://www.sec.gov/Archives/edgar/data/1514991/000095012311056616/y91125a5exv3w5.htm" TargetMode="External"/><Relationship Id="rId102" Type="http://schemas.openxmlformats.org/officeDocument/2006/relationships/hyperlink" Target="http://www.sec.gov/Archives/edgar/data/1514991/000095012311056616/y91125a5exv3w6.htm" TargetMode="External"/><Relationship Id="rId103" Type="http://schemas.openxmlformats.org/officeDocument/2006/relationships/hyperlink" Target="http://www.sec.gov/Archives/edgar/data/1514991/000095012311063740/y91900exv99w2.htm" TargetMode="External"/><Relationship Id="rId104" Type="http://schemas.openxmlformats.org/officeDocument/2006/relationships/hyperlink" Target="http://www.sec.gov/Archives/edgar/data/1289606/000119312512496189/d448133dex41.htm" TargetMode="External"/><Relationship Id="rId105" Type="http://schemas.openxmlformats.org/officeDocument/2006/relationships/hyperlink" Target="http://www.sec.gov/Archives/edgar/data/1514991/000119312512504955/d456114dex41.htm" TargetMode="External"/><Relationship Id="rId106" Type="http://schemas.openxmlformats.org/officeDocument/2006/relationships/hyperlink" Target="http://www.sec.gov/Archives/edgar/data/1514991/000119312517240565/d435389dex41.htm" TargetMode="External"/><Relationship Id="rId107" Type="http://schemas.openxmlformats.org/officeDocument/2006/relationships/hyperlink" Target="http://www.sec.gov/Archives/edgar/data/1514991/000119312516523870/d144606dex41.htm" TargetMode="External"/><Relationship Id="rId108" Type="http://schemas.openxmlformats.org/officeDocument/2006/relationships/hyperlink" Target="http://www.sec.gov/Archives/edgar/data/1514991/000119312517240565/d435389dex42.htm" TargetMode="External"/><Relationship Id="rId109" Type="http://schemas.openxmlformats.org/officeDocument/2006/relationships/hyperlink" Target="https://www.sec.gov/Archives/edgar/data/1514991/000119312521032506/d78130dex42.htm" TargetMode="External"/><Relationship Id="rId110" Type="http://schemas.openxmlformats.org/officeDocument/2006/relationships/hyperlink" Target="http://www.sec.gov/Archives/edgar/data/1514991/000095012311056616/y91125a5exv10w2.htm" TargetMode="External"/><Relationship Id="rId111" Type="http://schemas.openxmlformats.org/officeDocument/2006/relationships/hyperlink" Target="http://www.sec.gov/Archives/edgar/data/1514991/000095012311056616/y91125a5exv10w5.htm" TargetMode="External"/><Relationship Id="rId113" Type="http://schemas.openxmlformats.org/officeDocument/2006/relationships/hyperlink" Target="http://www.sec.gov/Archives/edgar/data/1514991/000119312517240565/d435389dex101.htm" TargetMode="External"/><Relationship Id="rId114" Type="http://schemas.openxmlformats.org/officeDocument/2006/relationships/hyperlink" Target="https://www.sec.gov/Archives/edgar/data/1514991/000119312521032506/d78130dex101.htm" TargetMode="External"/><Relationship Id="rId115" Type="http://schemas.openxmlformats.org/officeDocument/2006/relationships/hyperlink" Target="https://www.sec.gov/Archives/edgar/data/1514991/000151499120000033/amcx-6302020xex102.htm" TargetMode="External"/><Relationship Id="rId116" Type="http://schemas.openxmlformats.org/officeDocument/2006/relationships/hyperlink" Target="http://www.sec.gov/Archives/edgar/data/1514991/000095012311056616/y91125a5exv10w13.htm" TargetMode="External"/><Relationship Id="rId117" Type="http://schemas.openxmlformats.org/officeDocument/2006/relationships/hyperlink" Target="https://www.sec.gov/Archives/edgar/data/1514991/000119312520246295/d899294dex101.htm" TargetMode="External"/><Relationship Id="rId118" Type="http://schemas.openxmlformats.org/officeDocument/2006/relationships/hyperlink" Target="http://www.sec.gov/Archives/edgar/data/1514991/000151499114000012/amcx-4292014xex101.htm" TargetMode="External"/><Relationship Id="rId119" Type="http://schemas.openxmlformats.org/officeDocument/2006/relationships/hyperlink" Target="http://www.sec.gov/Archives/edgar/data/1514991/000151499116000066/exhibit101.htm" TargetMode="External"/><Relationship Id="rId120" Type="http://schemas.openxmlformats.org/officeDocument/2006/relationships/hyperlink" Target="http://www.sec.gov/Archives/edgar/data/1514991/000151499118000024/amcx101218ex-101.htm" TargetMode="External"/><Relationship Id="rId121" Type="http://schemas.openxmlformats.org/officeDocument/2006/relationships/hyperlink" Target="http://www.sec.gov/Archives/edgar/data/1514991/000151499118000024/amcx101218ex-102.htm" TargetMode="External"/><Relationship Id="rId122" Type="http://schemas.openxmlformats.org/officeDocument/2006/relationships/hyperlink" Target="http://www.sec.gov/Archives/edgar/data/1514991/000151499119000014/amcx-3312019xex102.htm" TargetMode="External"/><Relationship Id="rId123" Type="http://schemas.openxmlformats.org/officeDocument/2006/relationships/hyperlink" Target="https://www.sec.gov/Archives/edgar/data/1514991/000151499120000038/exhibit101october162020.htm" TargetMode="External"/><Relationship Id="rId124" Type="http://schemas.openxmlformats.org/officeDocument/2006/relationships/hyperlink" Target="http://www.sec.gov/Archives/edgar/data/1514991/000095012311056616/y91125a5exv10w22.htm" TargetMode="External"/><Relationship Id="rId125" Type="http://schemas.openxmlformats.org/officeDocument/2006/relationships/hyperlink" Target="http://www.sec.gov/Archives/edgar/data/1514991/000119312512347653/d392047dex104.htm" TargetMode="External"/><Relationship Id="rId126" Type="http://schemas.openxmlformats.org/officeDocument/2006/relationships/hyperlink" Target="http://www.sec.gov/Archives/edgar/data/1514991/000151499116000043/amcx-12312015xex1032.htm" TargetMode="External"/><Relationship Id="rId127" Type="http://schemas.openxmlformats.org/officeDocument/2006/relationships/hyperlink" Target="http://www.sec.gov/Archives/edgar/data/1514991/000151499116000066/exhibit102.htm" TargetMode="External"/><Relationship Id="rId129" Type="http://schemas.openxmlformats.org/officeDocument/2006/relationships/hyperlink" Target="https://www.sec.gov/Archives/edgar/data/1514991/000151499120000033/amcx-6302020xex101.htm" TargetMode="External"/><Relationship Id="rId130" Type="http://schemas.openxmlformats.org/officeDocument/2006/relationships/hyperlink" Target="http://www.sec.gov/Archives/edgar/data/1514991/000119312516561271/d145700ddef14a.htm#toc145700_46" TargetMode="External"/><Relationship Id="rId131" Type="http://schemas.openxmlformats.org/officeDocument/2006/relationships/hyperlink" Target="http://www.sec.gov/Archives/edgar/data/1514991/000151499116000061/amcx-6302016xex101.htm" TargetMode="External"/><Relationship Id="rId132" Type="http://schemas.openxmlformats.org/officeDocument/2006/relationships/hyperlink" Target="http://www.sec.gov/Archives/edgar/data/1514991/000151499118000004/amcx-12312017xex1021.htm" TargetMode="External"/><Relationship Id="rId133" Type="http://schemas.openxmlformats.org/officeDocument/2006/relationships/hyperlink" Target="http://www.sec.gov/Archives/edgar/data/1514991/000151499118000004/amcx-12312017xex1022.htm" TargetMode="External"/><Relationship Id="rId134" Type="http://schemas.openxmlformats.org/officeDocument/2006/relationships/hyperlink" Target="https://www.sec.gov/Archives/edgar/data/1514991/000151499120000018/amcx-3312020xex101.htm" TargetMode="External"/><Relationship Id="rId135" Type="http://schemas.openxmlformats.org/officeDocument/2006/relationships/hyperlink" Target="http://www.sec.gov/Archives/edgar/data/1514991/000151499119000014/amcx-3312019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2021-02-26T17:09:27Z</dcterms:created>
  <dcterms:modified xsi:type="dcterms:W3CDTF">2021-02-26T17:09:27Z</dcterms:modified>
</cp:coreProperties>
</file>