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193040</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144145</wp:posOffset>
            </wp:positionV>
            <wp:extent cx="2855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1420" w:hanging="541"/>
        <w:spacing w:after="0"/>
        <w:tabs>
          <w:tab w:leader="none" w:pos="14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7" w:lineRule="exact"/>
        <w:rPr>
          <w:sz w:val="24"/>
          <w:szCs w:val="24"/>
          <w:color w:val="auto"/>
        </w:rPr>
      </w:pPr>
    </w:p>
    <w:p>
      <w:pPr>
        <w:ind w:left="1420" w:hanging="541"/>
        <w:spacing w:after="0"/>
        <w:tabs>
          <w:tab w:leader="none" w:pos="14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6" w:lineRule="exact"/>
        <w:rPr>
          <w:sz w:val="24"/>
          <w:szCs w:val="24"/>
          <w:color w:val="auto"/>
        </w:rPr>
      </w:pPr>
    </w:p>
    <w:p>
      <w:pPr>
        <w:ind w:left="426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214630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AMC Networks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137795</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2100" w:type="dxa"/>
        <w:tblCellMar>
          <w:top w:w="0" w:type="dxa"/>
          <w:left w:w="0" w:type="dxa"/>
          <w:bottom w:w="0" w:type="dxa"/>
          <w:right w:w="0" w:type="dxa"/>
        </w:tblCellMar>
      </w:tblPr>
      <w:tr>
        <w:trPr>
          <w:trHeight w:val="234"/>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91"/>
              </w:rPr>
              <w:t>Delaware</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5360" w:type="dxa"/>
            <w:vAlign w:val="bottom"/>
            <w:gridSpan w:val="2"/>
          </w:tcPr>
          <w:p>
            <w:pPr>
              <w:jc w:val="center"/>
              <w:ind w:right="2928"/>
              <w:spacing w:after="0"/>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360" w:type="dxa"/>
            <w:vAlign w:val="bottom"/>
            <w:gridSpan w:val="2"/>
          </w:tcPr>
          <w:p>
            <w:pPr>
              <w:jc w:val="center"/>
              <w:ind w:right="2928"/>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gridSpan w:val="2"/>
          </w:tcPr>
          <w:p>
            <w:pPr>
              <w:jc w:val="center"/>
              <w:ind w:left="4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89"/>
              </w:rPr>
              <w:t>11 Penn Plaza,</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5360" w:type="dxa"/>
            <w:vAlign w:val="bottom"/>
            <w:gridSpan w:val="2"/>
          </w:tcPr>
          <w:p>
            <w:pPr>
              <w:jc w:val="center"/>
              <w:ind w:right="2928"/>
              <w:spacing w:after="0"/>
              <w:rPr>
                <w:sz w:val="20"/>
                <w:szCs w:val="20"/>
                <w:color w:val="auto"/>
              </w:rPr>
            </w:pPr>
            <w:r>
              <w:rPr>
                <w:rFonts w:ascii="Arial" w:cs="Arial" w:eastAsia="Arial" w:hAnsi="Arial"/>
                <w:sz w:val="18"/>
                <w:szCs w:val="18"/>
                <w:b w:val="1"/>
                <w:bCs w:val="1"/>
                <w:color w:val="auto"/>
                <w:w w:val="95"/>
              </w:rPr>
              <w:t>New York, NY</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10001</w:t>
            </w:r>
          </w:p>
        </w:tc>
      </w:tr>
      <w:tr>
        <w:trPr>
          <w:trHeight w:val="218"/>
        </w:trPr>
        <w:tc>
          <w:tcPr>
            <w:tcW w:w="5360" w:type="dxa"/>
            <w:vAlign w:val="bottom"/>
            <w:gridSpan w:val="2"/>
          </w:tcPr>
          <w:p>
            <w:pPr>
              <w:jc w:val="center"/>
              <w:ind w:right="29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gridSpan w:val="2"/>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5360" w:type="dxa"/>
            <w:vAlign w:val="bottom"/>
            <w:gridSpan w:val="2"/>
          </w:tcPr>
          <w:p>
            <w:pPr>
              <w:jc w:val="right"/>
              <w:ind w:right="1108"/>
              <w:spacing w:after="0"/>
              <w:rPr>
                <w:sz w:val="20"/>
                <w:szCs w:val="20"/>
                <w:color w:val="auto"/>
              </w:rPr>
            </w:pPr>
            <w:r>
              <w:rPr>
                <w:rFonts w:ascii="Arial" w:cs="Arial" w:eastAsia="Arial" w:hAnsi="Arial"/>
                <w:sz w:val="18"/>
                <w:szCs w:val="18"/>
                <w:b w:val="1"/>
                <w:bCs w:val="1"/>
                <w:color w:val="auto"/>
              </w:rPr>
              <w:t>(212) 324-8500</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8"/>
        </w:trPr>
        <w:tc>
          <w:tcPr>
            <w:tcW w:w="1360" w:type="dxa"/>
            <w:vAlign w:val="bottom"/>
          </w:tcPr>
          <w:p>
            <w:pPr>
              <w:spacing w:after="0"/>
              <w:rPr>
                <w:sz w:val="18"/>
                <w:szCs w:val="18"/>
                <w:color w:val="auto"/>
              </w:rPr>
            </w:pPr>
          </w:p>
        </w:tc>
        <w:tc>
          <w:tcPr>
            <w:tcW w:w="4000" w:type="dxa"/>
            <w:vAlign w:val="bottom"/>
          </w:tcPr>
          <w:p>
            <w:pPr>
              <w:jc w:val="center"/>
              <w:ind w:left="44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8"/>
        </w:trPr>
        <w:tc>
          <w:tcPr>
            <w:tcW w:w="1360" w:type="dxa"/>
            <w:vAlign w:val="bottom"/>
          </w:tcPr>
          <w:p>
            <w:pPr>
              <w:spacing w:after="0"/>
              <w:rPr>
                <w:sz w:val="16"/>
                <w:szCs w:val="16"/>
                <w:color w:val="auto"/>
              </w:rPr>
            </w:pPr>
          </w:p>
        </w:tc>
        <w:tc>
          <w:tcPr>
            <w:tcW w:w="40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r>
    </w:tbl>
    <w:p>
      <w:pPr>
        <w:spacing w:after="0" w:line="26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(as defined in Exchange Act Rule 12b-2).</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20" w:type="dxa"/>
            <w:vAlign w:val="bottom"/>
          </w:tcPr>
          <w:p>
            <w:pPr>
              <w:ind w:left="278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280" w:type="dxa"/>
            <w:vAlign w:val="bottom"/>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124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58"/>
        </w:trPr>
        <w:tc>
          <w:tcPr>
            <w:tcW w:w="8280" w:type="dxa"/>
            <w:vAlign w:val="bottom"/>
          </w:tcPr>
          <w:p>
            <w:pPr>
              <w:spacing w:after="0"/>
              <w:rPr>
                <w:sz w:val="20"/>
                <w:szCs w:val="20"/>
                <w:color w:val="auto"/>
              </w:rPr>
            </w:pPr>
            <w:r>
              <w:rPr>
                <w:rFonts w:ascii="Arial" w:cs="Arial" w:eastAsia="Arial" w:hAnsi="Arial"/>
                <w:sz w:val="18"/>
                <w:szCs w:val="18"/>
                <w:color w:val="auto"/>
              </w:rPr>
              <w:t>The number of shares of common stock outstanding as of July 27, 2018:</w:t>
            </w:r>
          </w:p>
        </w:tc>
        <w:tc>
          <w:tcPr>
            <w:tcW w:w="1240" w:type="dxa"/>
            <w:vAlign w:val="bottom"/>
          </w:tcPr>
          <w:p>
            <w:pPr>
              <w:spacing w:after="0"/>
              <w:rPr>
                <w:sz w:val="24"/>
                <w:szCs w:val="24"/>
                <w:color w:val="auto"/>
              </w:rPr>
            </w:pPr>
          </w:p>
        </w:tc>
      </w:tr>
      <w:tr>
        <w:trPr>
          <w:trHeight w:val="432"/>
        </w:trPr>
        <w:tc>
          <w:tcPr>
            <w:tcW w:w="8280" w:type="dxa"/>
            <w:vAlign w:val="bottom"/>
          </w:tcPr>
          <w:p>
            <w:pPr>
              <w:ind w:left="1300"/>
              <w:spacing w:after="0"/>
              <w:rPr>
                <w:sz w:val="20"/>
                <w:szCs w:val="20"/>
                <w:color w:val="auto"/>
              </w:rPr>
            </w:pPr>
            <w:r>
              <w:rPr>
                <w:rFonts w:ascii="Arial" w:cs="Arial" w:eastAsia="Arial" w:hAnsi="Arial"/>
                <w:sz w:val="18"/>
                <w:szCs w:val="18"/>
                <w:color w:val="auto"/>
              </w:rPr>
              <w:t>Class A Common Stock par value $0.01 per share</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w w:val="99"/>
              </w:rPr>
              <w:t>45,443,965</w:t>
            </w:r>
          </w:p>
        </w:tc>
      </w:tr>
      <w:tr>
        <w:trPr>
          <w:trHeight w:val="270"/>
        </w:trPr>
        <w:tc>
          <w:tcPr>
            <w:tcW w:w="8280" w:type="dxa"/>
            <w:vAlign w:val="bottom"/>
          </w:tcPr>
          <w:p>
            <w:pPr>
              <w:ind w:left="1300"/>
              <w:spacing w:after="0"/>
              <w:rPr>
                <w:sz w:val="20"/>
                <w:szCs w:val="20"/>
                <w:color w:val="auto"/>
              </w:rPr>
            </w:pPr>
            <w:r>
              <w:rPr>
                <w:rFonts w:ascii="Arial" w:cs="Arial" w:eastAsia="Arial" w:hAnsi="Arial"/>
                <w:sz w:val="18"/>
                <w:szCs w:val="18"/>
                <w:color w:val="auto"/>
              </w:rPr>
              <w:t>Class B Common Stock par value $0.01 per share</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w w:val="99"/>
              </w:rPr>
              <w:t>11,484,408</w:t>
            </w:r>
          </w:p>
        </w:tc>
      </w:tr>
    </w:tbl>
    <w:p>
      <w:pPr>
        <w:sectPr>
          <w:pgSz w:w="11900" w:h="16838" w:orient="portrait"/>
          <w:cols w:equalWidth="0" w:num="1">
            <w:col w:w="11420"/>
          </w:cols>
          <w:pgMar w:left="240" w:top="517"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AMC NETWORKS INC. AND SUBSIDIARIES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58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7400" w:type="dxa"/>
            <w:vAlign w:val="bottom"/>
            <w:gridSpan w:val="7"/>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708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w:t>
              </w:r>
            </w:hyperlink>
          </w:p>
        </w:tc>
        <w:tc>
          <w:tcPr>
            <w:tcW w:w="6600" w:type="dxa"/>
            <w:vAlign w:val="bottom"/>
            <w:gridSpan w:val="5"/>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544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6300" w:type="dxa"/>
            <w:vAlign w:val="bottom"/>
            <w:gridSpan w:val="4"/>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602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7020" w:type="dxa"/>
            <w:vAlign w:val="bottom"/>
            <w:gridSpan w:val="15"/>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Item 2. Management’s Discussion and Analysis of Financial Condition and Results of Operations</w:t>
              </w:r>
            </w:hyperlink>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900" w:type="dxa"/>
            <w:vAlign w:val="bottom"/>
            <w:gridSpan w:val="14"/>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Item 3. Quantitative and Qualitative Disclosures About Market Risk</w:t>
              </w:r>
            </w:hyperlink>
          </w:p>
        </w:tc>
        <w:tc>
          <w:tcPr>
            <w:tcW w:w="21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7"/>
            <w:shd w:val="clear" w:color="auto" w:fill="0000EE"/>
          </w:tcPr>
          <w:p>
            <w:pPr>
              <w:spacing w:after="0" w:line="20" w:lineRule="exact"/>
              <w:rPr>
                <w:sz w:val="1"/>
                <w:szCs w:val="1"/>
                <w:color w:val="auto"/>
              </w:rPr>
            </w:pPr>
          </w:p>
        </w:tc>
        <w:tc>
          <w:tcPr>
            <w:tcW w:w="544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Item 4.</w:t>
              </w:r>
            </w:hyperlink>
          </w:p>
        </w:tc>
        <w:tc>
          <w:tcPr>
            <w:tcW w:w="4360" w:type="dxa"/>
            <w:vAlign w:val="bottom"/>
            <w:gridSpan w:val="12"/>
          </w:tcPr>
          <w:p>
            <w:pPr>
              <w:ind w:left="20"/>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17"/>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 OTHER INFORMATION</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Item 1.</w:t>
              </w:r>
            </w:hyperlink>
          </w:p>
        </w:tc>
        <w:tc>
          <w:tcPr>
            <w:tcW w:w="19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782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Item 2.</w:t>
              </w:r>
            </w:hyperlink>
          </w:p>
        </w:tc>
        <w:tc>
          <w:tcPr>
            <w:tcW w:w="9800" w:type="dxa"/>
            <w:vAlign w:val="bottom"/>
            <w:gridSpan w:val="14"/>
          </w:tcPr>
          <w:p>
            <w:pPr>
              <w:ind w:left="20"/>
              <w:spacing w:after="0"/>
              <w:rPr>
                <w:rFonts w:ascii="Arial" w:cs="Arial" w:eastAsia="Arial" w:hAnsi="Arial"/>
                <w:sz w:val="18"/>
                <w:szCs w:val="18"/>
                <w:color w:val="0000EE"/>
              </w:rPr>
            </w:pPr>
            <w:hyperlink w:anchor="page55">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740" w:type="dxa"/>
            <w:vAlign w:val="bottom"/>
            <w:gridSpan w:val="10"/>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Item 6.</w:t>
              </w:r>
            </w:hyperlink>
          </w:p>
        </w:tc>
        <w:tc>
          <w:tcPr>
            <w:tcW w:w="620" w:type="dxa"/>
            <w:vAlign w:val="bottom"/>
            <w:gridSpan w:val="2"/>
          </w:tcPr>
          <w:p>
            <w:pPr>
              <w:ind w:left="20"/>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Exhibits</w:t>
              </w:r>
            </w:hyperlink>
          </w:p>
        </w:tc>
        <w:tc>
          <w:tcPr>
            <w:tcW w:w="3740" w:type="dxa"/>
            <w:vAlign w:val="bottom"/>
            <w:gridSpan w:val="10"/>
          </w:tcPr>
          <w:p>
            <w:pPr>
              <w:spacing w:after="0"/>
              <w:rPr>
                <w:sz w:val="21"/>
                <w:szCs w:val="21"/>
                <w:color w:val="auto"/>
              </w:rPr>
            </w:pPr>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18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EE"/>
                <w:w w:val="96"/>
              </w:rPr>
            </w:pPr>
            <w:hyperlink w:anchor="page56">
              <w:r>
                <w:rPr>
                  <w:rFonts w:ascii="Arial" w:cs="Arial" w:eastAsia="Arial" w:hAnsi="Arial"/>
                  <w:sz w:val="18"/>
                  <w:szCs w:val="18"/>
                  <w:b w:val="1"/>
                  <w:bCs w:val="1"/>
                  <w:color w:val="0000EE"/>
                  <w:w w:val="96"/>
                </w:rPr>
                <w:t>SIGNATURES</w:t>
              </w:r>
            </w:hyperlink>
          </w:p>
        </w:tc>
        <w:tc>
          <w:tcPr>
            <w:tcW w:w="942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56">
              <w:r>
                <w:rPr>
                  <w:rFonts w:ascii="Arial" w:cs="Arial" w:eastAsia="Arial" w:hAnsi="Arial"/>
                  <w:sz w:val="18"/>
                  <w:szCs w:val="18"/>
                  <w:color w:val="0000FF"/>
                </w:rPr>
                <w:t>54</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63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rPr>
          <w:sz w:val="20"/>
          <w:szCs w:val="20"/>
          <w:color w:val="auto"/>
        </w:rPr>
      </w:pPr>
      <w:r>
        <w:rPr>
          <w:rFonts w:ascii="Arial" w:cs="Arial" w:eastAsia="Arial" w:hAnsi="Arial"/>
          <w:sz w:val="18"/>
          <w:szCs w:val="18"/>
          <w:b w:val="1"/>
          <w:bCs w:val="1"/>
          <w:color w:val="auto"/>
        </w:rPr>
        <w:t>Item 1. Financial Statements.</w:t>
      </w:r>
    </w:p>
    <w:p>
      <w:pPr>
        <w:ind w:left="4040"/>
        <w:spacing w:after="0"/>
        <w:rPr>
          <w:sz w:val="20"/>
          <w:szCs w:val="20"/>
          <w:color w:val="auto"/>
        </w:rPr>
      </w:pPr>
      <w:r>
        <w:rPr>
          <w:rFonts w:ascii="Arial" w:cs="Arial" w:eastAsia="Arial" w:hAnsi="Arial"/>
          <w:sz w:val="16"/>
          <w:szCs w:val="16"/>
          <w:b w:val="1"/>
          <w:bCs w:val="1"/>
          <w:color w:val="auto"/>
        </w:rPr>
        <w:t>AMC NETWORKS INC. AND SUBSIDIARIES</w:t>
      </w:r>
    </w:p>
    <w:p>
      <w:pPr>
        <w:ind w:left="378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12"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18"/>
                <w:szCs w:val="18"/>
                <w:color w:val="auto"/>
              </w:rPr>
            </w:pPr>
          </w:p>
        </w:tc>
        <w:tc>
          <w:tcPr>
            <w:tcW w:w="164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416,124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558,783</w:t>
            </w:r>
          </w:p>
        </w:tc>
        <w:tc>
          <w:tcPr>
            <w:tcW w:w="0" w:type="dxa"/>
            <w:vAlign w:val="bottom"/>
          </w:tcPr>
          <w:p>
            <w:pPr>
              <w:spacing w:after="0"/>
              <w:rPr>
                <w:sz w:val="1"/>
                <w:szCs w:val="1"/>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w w:val="99"/>
              </w:rPr>
              <w:t>Accounts receivable, trade (including amounts due from related parties, net, less allowance for doubtful</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80"/>
              <w:spacing w:after="0"/>
              <w:rPr>
                <w:sz w:val="20"/>
                <w:szCs w:val="20"/>
                <w:color w:val="auto"/>
              </w:rPr>
            </w:pPr>
            <w:r>
              <w:rPr>
                <w:rFonts w:ascii="Arial" w:cs="Arial" w:eastAsia="Arial" w:hAnsi="Arial"/>
                <w:sz w:val="16"/>
                <w:szCs w:val="16"/>
                <w:color w:val="auto"/>
              </w:rPr>
              <w:t>accounts of $9,582 and $9,691)</w:t>
            </w:r>
          </w:p>
        </w:tc>
        <w:tc>
          <w:tcPr>
            <w:tcW w:w="28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818,730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775,891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program rights,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453,450</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110,437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91,726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1,808,157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1,879,850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Property and equipment, net of accumulated depreciation of $280,301 and $259,919</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214,054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183,514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Program rights,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1,218,682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1,319,279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carriage fees, net</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23,671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29,924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479,163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457,242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710,047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695,158</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592,046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447,937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5,073,367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5,032,985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105,015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102,197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216,481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263,076</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program rights obligations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347,076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327,549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46,433</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4,630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4,847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735,393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744,102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Program rights obligations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442,665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534,980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3,103,056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3,099,257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23,739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26,277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liability, net</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109,698</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173,756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136,122</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4,628,208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4,650,436</w:t>
            </w:r>
          </w:p>
        </w:tc>
        <w:tc>
          <w:tcPr>
            <w:tcW w:w="0" w:type="dxa"/>
            <w:vAlign w:val="bottom"/>
          </w:tcPr>
          <w:p>
            <w:pPr>
              <w:spacing w:after="0"/>
              <w:rPr>
                <w:sz w:val="1"/>
                <w:szCs w:val="1"/>
                <w:color w:val="auto"/>
              </w:rPr>
            </w:pP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249,739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218,604</w:t>
            </w:r>
          </w:p>
        </w:tc>
        <w:tc>
          <w:tcPr>
            <w:tcW w:w="0" w:type="dxa"/>
            <w:vAlign w:val="bottom"/>
          </w:tcPr>
          <w:p>
            <w:pPr>
              <w:spacing w:after="0"/>
              <w:rPr>
                <w:sz w:val="1"/>
                <w:szCs w:val="1"/>
                <w:color w:val="auto"/>
              </w:rPr>
            </w:pPr>
          </w:p>
        </w:tc>
      </w:tr>
      <w:tr>
        <w:trPr>
          <w:trHeight w:val="231"/>
        </w:trPr>
        <w:tc>
          <w:tcPr>
            <w:tcW w:w="76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Class A Common Stock, $0.01 par value, 360,000 shares authorized, 63,235 and 62,721 shares issued and 45,444</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and 49,601 shares outstanding,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Paid-in capital</w:t>
            </w: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215,989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191,303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1,045,806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766,725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Treasury stock, at cost (17,791 and 13,120 shares Class A Common Stock, respectively)</w:t>
            </w:r>
          </w:p>
        </w:tc>
        <w:tc>
          <w:tcPr>
            <w:tcW w:w="2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(951,850)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(709,440)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(144,793)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(114,386)</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AMC Networks stockholders' equity</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165,899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134,944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Non-redeemable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29,001</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195,420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163,945</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5,073,367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5,032,985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ind w:left="404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STATEMENTS OF INCOME</w:t>
      </w:r>
    </w:p>
    <w:p>
      <w:pPr>
        <w:ind w:left="43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Revenues, net (including revenues, net from related parties of $1,547,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$1,512, $3,174 and $3,079, respectively)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761,385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710,545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1,502,208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1,430,734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Technical and operating (excluding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334,845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633,457</w:t>
            </w: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w w:val="99"/>
              </w:rPr>
              <w:t>Selling, general and administrative (including charges from related</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5620" w:type="dxa"/>
            <w:vAlign w:val="bottom"/>
          </w:tcPr>
          <w:p>
            <w:pPr>
              <w:ind w:left="600"/>
              <w:spacing w:after="0"/>
              <w:rPr>
                <w:sz w:val="20"/>
                <w:szCs w:val="20"/>
                <w:color w:val="auto"/>
              </w:rPr>
            </w:pPr>
            <w:r>
              <w:rPr>
                <w:rFonts w:ascii="Arial" w:cs="Arial" w:eastAsia="Arial" w:hAnsi="Arial"/>
                <w:sz w:val="18"/>
                <w:szCs w:val="18"/>
                <w:color w:val="auto"/>
              </w:rPr>
              <w:t>parties of $206, $415, $668 and $989, respectively)</w:t>
            </w:r>
          </w:p>
        </w:tc>
        <w:tc>
          <w:tcPr>
            <w:tcW w:w="2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171,376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162,273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337,825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325,982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17,112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 (credit)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569,854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534,755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1,077,022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1,023,273</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175,790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425,186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407,461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(61,217)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7,259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30,028</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(64,892)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(23,930)</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167,819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360,294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383,531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(60,193)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(133,275)</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250,256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(11,442)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106,181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102,598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263,051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238,814</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30"/>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57,758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59,354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67,117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58,387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66,789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60,044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67,771</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250,256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47,684</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Unrealized gain (loss) on interest rate swaps</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(loss) on available for sale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2,938</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Other comprehensive income, before income taxes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36,557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50,761</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Other comprehensive income, net of income taxes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37,022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49,629</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297,453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299,885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(13,364)</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AMC Networks'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115,939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138,089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290,717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286,521</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Net income including noncontrolling interests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270,868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250,256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44,099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and related charges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17,112</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35,072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27,595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and write-off of program rights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433,023</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Amortization of deferred carriage fees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8,803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8,803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Unrealized foreign currency transaction gain</w:t>
            </w:r>
          </w:p>
        </w:tc>
        <w:tc>
          <w:tcPr>
            <w:tcW w:w="38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(8,118)</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8100" w:type="dxa"/>
            <w:vAlign w:val="bottom"/>
          </w:tcPr>
          <w:p>
            <w:pPr>
              <w:ind w:left="700"/>
              <w:spacing w:after="0"/>
              <w:rPr>
                <w:sz w:val="20"/>
                <w:szCs w:val="20"/>
                <w:color w:val="auto"/>
              </w:rPr>
            </w:pPr>
            <w:r>
              <w:rPr>
                <w:rFonts w:ascii="Arial" w:cs="Arial" w:eastAsia="Arial" w:hAnsi="Arial"/>
                <w:sz w:val="16"/>
                <w:szCs w:val="16"/>
                <w:color w:val="auto"/>
              </w:rPr>
              <w:t>Unrealized gain on derivative contracts, net</w:t>
            </w:r>
          </w:p>
        </w:tc>
        <w:tc>
          <w:tcPr>
            <w:tcW w:w="3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(17,322)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(21,790)</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38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3,800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4,551</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Bad debt expense</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2,208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11,914</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Other, net</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6,944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(3,642)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(40,419)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(43,503)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(31,141)</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Program rights and obligations, net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(471,385)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(458,480)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Income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(10,094)</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Deferred revenue</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(9,908)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carriage fees,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Accounts payable, accrued liabilities and other liabilities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(45,850)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(43,595)</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165,977</w:t>
            </w:r>
          </w:p>
        </w:tc>
        <w:tc>
          <w:tcPr>
            <w:tcW w:w="0" w:type="dxa"/>
            <w:vAlign w:val="bottom"/>
          </w:tcPr>
          <w:p>
            <w:pPr>
              <w:spacing w:after="0"/>
              <w:rPr>
                <w:sz w:val="1"/>
                <w:szCs w:val="1"/>
                <w:color w:val="auto"/>
              </w:rPr>
            </w:pPr>
          </w:p>
        </w:tc>
      </w:tr>
      <w:tr>
        <w:trPr>
          <w:trHeight w:val="231"/>
        </w:trPr>
        <w:tc>
          <w:tcPr>
            <w:tcW w:w="81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expenditures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(39,936)</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Return of capital from investees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in and loans to investees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(43,000)</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Payments for acquisition of a business, net of cash acquired</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(34,879)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(82,936)</w:t>
            </w:r>
          </w:p>
        </w:tc>
        <w:tc>
          <w:tcPr>
            <w:tcW w:w="0" w:type="dxa"/>
            <w:vAlign w:val="bottom"/>
          </w:tcPr>
          <w:p>
            <w:pPr>
              <w:spacing w:after="0"/>
              <w:rPr>
                <w:sz w:val="1"/>
                <w:szCs w:val="1"/>
                <w:color w:val="auto"/>
              </w:rPr>
            </w:pPr>
          </w:p>
        </w:tc>
      </w:tr>
      <w:tr>
        <w:trPr>
          <w:trHeight w:val="231"/>
        </w:trPr>
        <w:tc>
          <w:tcPr>
            <w:tcW w:w="81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(110,965)</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Deemed repurchases of restricted stock units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(15,734)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(13,373)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treasury stock</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(244,374)</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stock option exercises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4,317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(12,930)</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(384,168)</w:t>
            </w:r>
          </w:p>
        </w:tc>
        <w:tc>
          <w:tcPr>
            <w:tcW w:w="0" w:type="dxa"/>
            <w:vAlign w:val="bottom"/>
          </w:tcPr>
          <w:p>
            <w:pPr>
              <w:spacing w:after="0"/>
              <w:rPr>
                <w:sz w:val="1"/>
                <w:szCs w:val="1"/>
                <w:color w:val="auto"/>
              </w:rPr>
            </w:pP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Net decrease in cash and cash equivalents from operations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(144,263)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(301,127)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9,217</w:t>
            </w:r>
          </w:p>
        </w:tc>
        <w:tc>
          <w:tcPr>
            <w:tcW w:w="0" w:type="dxa"/>
            <w:vAlign w:val="bottom"/>
          </w:tcPr>
          <w:p>
            <w:pPr>
              <w:spacing w:after="0"/>
              <w:rPr>
                <w:sz w:val="1"/>
                <w:szCs w:val="1"/>
                <w:color w:val="auto"/>
              </w:rPr>
            </w:pP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558,783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481,389</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416,124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189,479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60" w:top="369" w:right="23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60" w:top="36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170" w:lineRule="exact"/>
        <w:rPr>
          <w:sz w:val="20"/>
          <w:szCs w:val="20"/>
          <w:color w:val="auto"/>
        </w:rPr>
      </w:pPr>
    </w:p>
    <w:p>
      <w:pPr>
        <w:jc w:val="both"/>
        <w:ind w:left="660" w:hanging="328"/>
        <w:spacing w:after="0" w:line="302"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54" w:lineRule="exact"/>
        <w:rPr>
          <w:rFonts w:ascii="Arial" w:cs="Arial" w:eastAsia="Arial" w:hAnsi="Arial"/>
          <w:sz w:val="16"/>
          <w:szCs w:val="16"/>
          <w:i w:val="1"/>
          <w:iCs w:val="1"/>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Principally includes AMC Networks International (AMCNI), the Company's international programming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 portfolio of channels in Europe, Latin America, the Middle East and parts of Asia and Africa; IFC Films, the Company's independent film distribution business; Levity Entertainment Group ("Levity") (acquired April 20, 2018), our production services and comedy venues company; and our subscription streaming services, Sundance Now and Shudder. AMCNI – DMC, the broadcast solutions unit of certain networks of AMCNI and third-party networks is included through the date sold, July 12,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These unaudited condensed consolidated financial statements include the accounts of AMC Networks and its majority owned or controlled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transactions and balances have been eliminated in consolidation.</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2017 contained in the Company's Annual Report on Form 10-K ("2017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 Rights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periodically reviews the programming usefulness of its licensed and owned original program rights based on a series of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a write-off of the unamortized cost is included in technical and operating expense. Program rights write-offs were $3.9 million and $1.4 million for the three months ended June 30, 2018 and June 30, 2017, respectively. Program rights write-offs were $9.2 million and $1.8 million for the six months ended June 30, 2018 and June 30, 2017,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derivative assets and liabilities, certain stock compensation awards, the useful lives and methodologies used to amortize and assess recoverability of program rights, the estimated useful lives of intangible assets, valuation and recoverability of goodwill and intangible assets and income tax assets and liabilities.</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7" w:name="page8"/>
    <w:bookmarkEnd w:id="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The Company adopted Accounting Standards Update ("ASU") No. 2016-01 </w:t>
      </w:r>
      <w:r>
        <w:rPr>
          <w:rFonts w:ascii="Arial" w:cs="Arial" w:eastAsia="Arial" w:hAnsi="Arial"/>
          <w:sz w:val="16"/>
          <w:szCs w:val="16"/>
          <w:i w:val="1"/>
          <w:iCs w:val="1"/>
          <w:color w:val="auto"/>
        </w:rPr>
        <w:t>Financial Instruments-Recognition and Measurement of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Financial Liabilities </w:t>
      </w:r>
      <w:r>
        <w:rPr>
          <w:rFonts w:ascii="Arial" w:cs="Arial" w:eastAsia="Arial" w:hAnsi="Arial"/>
          <w:sz w:val="16"/>
          <w:szCs w:val="16"/>
          <w:color w:val="auto"/>
        </w:rPr>
        <w:t>on January 1, 2018, which requires that investments in equity securities (excluding equity method investments) be measured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with changes in fair value recognized in earnings. Under prior accounting guidance, changes in fair value of available-for-sale equity securities were recorded in other comprehensive income. The adoption did not have a significant impact to these condensed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Revenue Recognition Standard</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on January 1, 2018, using the modified retrospective method for all contracts not completed as of the date of adoption. The reported results as of and for the three and six month periods ended June 30, 2018 reflect the application of the new standard, while the reported results for 2017 have not been adjusted to reflect the new standard and were prepared under prior revenue recognition accounting guidance.</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adoption of the new standard did not result in significant changes in the way the Company records distribution and advertising revenues. However, as a result of applying the new standard, there are certain components of the Company’s distribution revenues where the new standard generally results in earlier recognition of revenue compared to its historical policies due to: (i) the requirement to estimate and recognize variable consideration prior to such amounts becoming fixed and determinable, (ii) recognition of royalties in the period of usage, and (iii) recognition of certain arrangements with minimum guarantees on a time-based (straight-line) basis. See Note 2 for more information. As a result of adopting Topic 606, the Company recorded an increase to opening retained earnings of approximately $12.8 million, net of tax, as of January 1, 2018.</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changes to the opening balances of current assets, total assets, current liabilities and total liabilities resulting from the adoption of the new guidance.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320" w:type="dxa"/>
            <w:vAlign w:val="bottom"/>
          </w:tcPr>
          <w:p>
            <w:pPr>
              <w:spacing w:after="0"/>
              <w:rPr>
                <w:sz w:val="17"/>
                <w:szCs w:val="17"/>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Impact of</w:t>
            </w:r>
          </w:p>
        </w:tc>
        <w:tc>
          <w:tcPr>
            <w:tcW w:w="300" w:type="dxa"/>
            <w:vAlign w:val="bottom"/>
          </w:tcPr>
          <w:p>
            <w:pPr>
              <w:spacing w:after="0"/>
              <w:rPr>
                <w:sz w:val="17"/>
                <w:szCs w:val="17"/>
                <w:color w:val="auto"/>
              </w:rPr>
            </w:pPr>
          </w:p>
        </w:tc>
        <w:tc>
          <w:tcPr>
            <w:tcW w:w="1400" w:type="dxa"/>
            <w:vAlign w:val="bottom"/>
          </w:tcPr>
          <w:p>
            <w:pPr>
              <w:jc w:val="right"/>
              <w:ind w:right="393"/>
              <w:spacing w:after="0"/>
              <w:rPr>
                <w:sz w:val="20"/>
                <w:szCs w:val="20"/>
                <w:color w:val="auto"/>
              </w:rPr>
            </w:pPr>
            <w:r>
              <w:rPr>
                <w:rFonts w:ascii="Arial" w:cs="Arial" w:eastAsia="Arial" w:hAnsi="Arial"/>
                <w:sz w:val="16"/>
                <w:szCs w:val="16"/>
                <w:b w:val="1"/>
                <w:bCs w:val="1"/>
                <w:color w:val="auto"/>
              </w:rPr>
              <w:t>January 1,</w:t>
            </w:r>
          </w:p>
        </w:tc>
      </w:tr>
      <w:tr>
        <w:trPr>
          <w:trHeight w:val="237"/>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Adoption</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2018</w:t>
            </w: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1,879,850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1,883,508</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5,032,985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5,052,884</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744,937</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4,650,436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7,115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4,657,551</w:t>
            </w: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amount by which each financial statement line item has been affected in the current reporting period by the application of Topic 606 compared to historical policies is not material, therefore, comparative disclosures have been omitted.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ASU 2016-02 requires lessees to record most of their leases on the balance sheet, which will be recognized as a right-of-use asset and a lease liability. The Company will be required to classify each separate lease component as an operating or finance lease at the lease commencement date. Initial measurement of the right-of-use asset and lease liability is the same for operating and finance leases, however expense recognition and amortization of the right-of-use asset differs. Operating leases will reflect lease expense on a straight-line basis similar to current operating leases. The straight-line expense will reflect the interest expense on the lease liability (effective interest method) and amortization of the right-of-use asset, which will be presented as a single line item in the operating expense section of the income statement. Finance leases will reflect a front-loaded expense pattern similar to the pattern for current capital leases. ASU 2016-02 is effective for the first quarter of 2019, with early adoption permitted. The Company is currently determining its implementation approach and assessing the impact the adoption will have on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("transaction price"). To the extent the transaction price includes variable consideration, the Company estimates the amount of variable consideration that should be included in the transaction price utilizing the most likely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w:t>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8" w:name="page9"/>
    <w:bookmarkEnd w:id="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performance and all information that is reasonably available. Amounts collected on behalf of others (including taxes), where the Company is an agent, are excluded from revenue.</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When determining the transaction price of a contract, an adjustment is made if payment from a customer occurs either significantly before or significantly after performance, resulting in a significant financing component. Applying a practical expedient in the new standard, the Company does not assess whether a significant financing component exists if the period between when the Company performs its obligations under the contract and when the customer pays is one year or less.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 pricing guidelines related to the performance obligations.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Contracts may be modified to account for changes in contract specifications and requirements. Contract modifications exist when the modification either creates new or changes existing enforceable rights and obligations. The effect of a contract modification on the transaction price and measure of progress for the performance obligation to which it relates, is recognized as an adjustment to revenue (either as an increase in or a reduction of revenue) on a cumulative catch-up basis.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primarily earns revenue from the distribution of its programming services, including licensing of its programming and other content, and advertising. The Company’s revenue recognition policies that summarize the nature, amount, timing and uncertainty associated with each major source of revenue from contracts with customers is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majority of the Company’s distribution revenues relate to sales-based and usage-based royalties which are recognized on the later of (i) when the subsequent sale or usage occurs and (ii) when the performance obligation to which some or all of the sales-based or usage-based royalty has been allocated has been satisfied or partially satisfied. Occasionally, the Company incurs costs to obtain a distribution contract and these costs are amortized over the period of the related distribution contract as a reduction of revenue.</w:t>
      </w:r>
    </w:p>
    <w:p>
      <w:pPr>
        <w:spacing w:after="0" w:line="1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Subscription fee revenue: Subscription fees are earned from cable and other multichannel video programming distribution platforms, including direct broadcast satellite ("DBS"), platforms operated by telecommunications providers and virtual multichannel video programming distributors (collectively "distributors"), for the rights to use the Company's network programming under multi-year contracts, commonly referred to as "affiliation agreements." The Company's performance obligations under affiliation agreements are satisfied as the Company provides its programming over the term of the agreement. The transaction price is represented by subscription fees that are generally based upon (i) contractual rates applied to the number of the distributor's subscribers who receive or can receive our programming ("rate-per-subscriber"), or (ii) fixed contractual monthly fees ("fixed fee").</w:t>
      </w:r>
    </w:p>
    <w:p>
      <w:pPr>
        <w:spacing w:after="0" w:line="16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rate-per-subscriber agreements, the Company applies the sales-based or usage-based royalty guidance, and accordingly, recognizes revenue in the period of the distributor’s usage, based on the subscription fee earned during the period.</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Fixed fee affiliation agreements are generally billed in monthly installments, and such amounts may vary over the term of the contract. In cases where the invoice amount corresponds directly with the value to the affiliate of the performance to-date, the Company recognizes revenue based on the invoiced amount. In cases where changes in fees during the contract term do not correspond directly to the value of the performance to-date (for example, if the fees vary over the contract term due to a significant financing or credit risk component), the Company recognizes the total amount of fixed transaction price over the contract period using a time-based (e.g., straight-line) measure of progress.</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Certain of the Company’s fixed fee affiliation agreements contain guaranteed minimum fees that are recoupable during the term of the agreement, and variable fees based on rates-per-subscriber after the guaranteed minimum is recouped. The Company recognizes revenue for the fixed consideration over the minimum guarantee period and recognizes variable fees only when cumulative consideration exceeds the minimum guarantee.</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Subscription revenue from the Company's direct-to-consumer subscription streaming services is recognized as the streaming service is provided to customers.</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Content licensing revenue: The Company licenses its original programming content to certain distributors under subscription video on-demand ("SVOD"), pay-per-view ("PPV") and electronic sell-through ("EST") arrangements. Under these arrangements, our performance obligation is to provide the distributor the right to use our programming as it exists at a point in time.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SVOD arrangements, the Company adjusts the transaction price for the time value of money in cases where license fees are paid over several years. SVOD licensing revenue is recognized at the later of the beginning of the license period, or when we provide the programming to the distributor. The Company recognizes a contract asset for the difference between the revenue recognized and the amount we are permitted to invoice.</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PPV and EST license fee arrangements, the Company applies the sales-based or usage-based royalty guidance and recognizes revenue in the period of end-customer purchases, based on the fees earned during the period.</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also licenses trademarks, logos, brands, derivative character copyrights, etc. under multi-year arrangements. Under these arrangements, the Company may receive a non-refundable minimum guarantee that is recoupable against a volume-based royalty throughout the term of the agreement. The Company adjusts the transaction price for the time value of money in cases where license fees are paid over several years. The Company recognizes revenue for the minimum guarantee on a straight-line basis over the term of the agreement, and recognizes variable fees only when cumulative consideration exceeds the minimum guarantee.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production services arrangements, the Company recognizes revenue based on the percentage of cost incurred to total estimated cost of the contract.</w:t>
      </w:r>
    </w:p>
    <w:p>
      <w:pPr>
        <w:spacing w:after="0" w:line="24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payment terms vary by the type and location of customer. Generally, payment terms are 30-45 days after revenue is earned. In certain limited circumstances, agreements with customers have payment terms in excess of one-year after satisfaction of the performance obligation.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generates revenues from the sale of advertising time on its networks. In such arrangements, the Company generally promises to air a certain number of commercials (spots) and to generate guaranteed viewer ratings for an audience demographic (impressions) over a period that generally does not exceed one year. The promise to deliver impressions by airing spots represents the Company’s performance obligation. Advertising revenues are recognized, net of agency commissions, as commercials are aired, to the extent that guaranteed viewer ratings are achieved. A contract liability is recognized to the extent the guaranteed viewer ratings are not met, and is subsequently recognized as revenue either when the Company provides the required additional advertising or the guarantee obligation contractually expires, which is generally within one year. Generally, payment terms are 30 days after revenue is earned.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new standard requires disclosure of the aggregate amount of transaction price that is allocated to performance obligations that have not yet been satisfied as of June 30, 2018. However, the guidance does not apply to sales-based or usage-based royalty arrangements and also provides certain practical expedients that allow companies to omit this disclosure requirement for (i) contracts with an original expected length of one year or less, (ii) contracts for which revenue is recognized at the amount to which the Company has the right to invoice for services performed and (iii) variable consideration related to a wholly unsatisfied performance obligation.</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2018, other than contracts for which the Company has applied the practical expedients, the aggregate amount of transaction price allocated to remaining performance obligations was not material to our consolidated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receivables, contract assets and contract liabilities on the Consolidated Balance Sheet.</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certain types of contracts with customers, the Company may recognize revenue in advance of the contractual right to invoice the customer, resulting in an amount recorded to contract assets. Once the Company has an unconditional right to consideration under a contract, the contract assets are reclassified to account receivables.</w:t>
      </w:r>
    </w:p>
    <w:p>
      <w:pPr>
        <w:spacing w:after="0" w:line="18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When consideration is received, or such consideration is unconditionally due, from a customer prior to transferring goods or services to the customer under the terms of a contract, a contract liability is recorded. Contract liabilities are recognized as revenue when, or as, control of the products or services is transferred to the customer and all revenue recognition criteria have been met. The primary source of the Company’s contract liabilities relates to advertising sales arrangements and content licensing arrangements. As noted above, the Company’s programming networks generally guarantee viewer ratings for its programming. If these guaranteed viewer ratings are not met, the Company is required to provide additional advertising units to the advertiser. For these types of arrangements, a portion of the related revenue is deferred if the guaranteed ratings are not met, representing a contract liability, and is subsequently recognized either when the Company provides the required additional advertising time or the guarantee obligation contractually expires. In certain content licensing arrangements, payment may be received in advance of a distributor's</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ability to exhibit a program. Such payments are recorded as a contract liability and subsequently recognized when the program becomes available for exhibition.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91"/>
              </w:rPr>
              <w:t xml:space="preserve">December 31, 2017 </w:t>
            </w:r>
            <w:r>
              <w:rPr>
                <w:rFonts w:ascii="Arial" w:cs="Arial" w:eastAsia="Arial" w:hAnsi="Arial"/>
                <w:sz w:val="21"/>
                <w:szCs w:val="21"/>
                <w:b w:val="1"/>
                <w:bCs w:val="1"/>
                <w:color w:val="auto"/>
                <w:w w:val="91"/>
                <w:vertAlign w:val="superscript"/>
              </w:rPr>
              <w:t>(a)</w:t>
            </w: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from contracts with customers: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Accounts receivable (including long-term, included in Other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1,019,499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926,089</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34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Contract liabilities (Deferred revenue)</w:t>
            </w:r>
          </w:p>
        </w:tc>
        <w:tc>
          <w:tcPr>
            <w:tcW w:w="34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62,191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46,433</w:t>
            </w:r>
          </w:p>
        </w:tc>
      </w:tr>
      <w:tr>
        <w:trPr>
          <w:trHeight w:val="27"/>
        </w:trPr>
        <w:tc>
          <w:tcPr>
            <w:tcW w:w="7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As noted above, prior period amounts have not been adjusted under the modified retrospective method.</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recognized for the six months ended June 30, 2018 relating to the contract liability at December 31, 2017 was $27.7 million</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4"/>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2800" w:type="dxa"/>
            <w:vAlign w:val="bottom"/>
            <w:gridSpan w:val="3"/>
          </w:tcPr>
          <w:p>
            <w:pPr>
              <w:jc w:val="right"/>
              <w:ind w:right="35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8"/>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57,758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66,224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59,354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dilution:</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654</w:t>
            </w: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58,387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66,789</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60,044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67,771</w:t>
            </w: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Approximately 1.5 million and 1.0 million restricted stock units outstanding as of June 30, 2018 and June 30, 2017, respectively, have been excluded from diluted weighted average common shares outstanding since a performance condition for these awards was not met in each of the respective periods. As of June 30, 2017, there were approximately 0.4 million stock options that would have been anti-dilutive to the diluted weighted average common shares outstanding.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March 7, 2016, the Company announced that its Board of Directors authorized a program to repurchase up to $500 million of its outstanding shares of common stock (the "Stock Repurchase Program"). On June 6, 2017, the Board of Directors approved an increase of $500 million and on June 13, 2018, the Board of Directors approved an additional increase of $500 million in the amount authorized for a total of $1.5 billion authorized under the Stock Repurchase Program. The Stock Repurchase Program has no pre-established closing date and may be suspended or discontinued at any time. For the six months ended June 30, 2018, the Company repurchased 4.7 million shares of its Class A common stock at an average purchase price of approximately $51.89 per share. As of June 30, 2018, the Company has $600.1 million available for repurchase under the Stock Repurchase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Levity Entertainment Group LLC</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20, 2018, the Company acquired a 57% controlling interest in Levity Entertainment Group LLC ("Levity"), a media company that owns and operates comedy venues as well as produces original content for distribution, for a total purchase price of $48.4 million. The purchase price consisted of $35.0 million payment for the outstanding Class B Common Units of Levity and the acquisition of Series L Preferred Units for $13.4 million. The Company views this acquisition as complementary to its business and programming content strategy.</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accounted for the acquisition of Levity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represents primarily the potential economic benefits that the Company believes may arise from the acquisition. The goodwill associated with the Levity acquisition is generally deductible for tax purposes.</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acquisition accounting for Levity as reflected in these condensed consolidated financial statements is preliminary and based on current estimates and currently available information, and is subject to revision based on final determinations of fair value and final allocations of purchase price to the identifiable assets and liabilities acquired. The primary estimated fair values that are not yet finalized relate to the valuation of property and equipment, intangible assets, other assets, current liabilities, and redeemable noncontrolling interests.</w:t>
      </w:r>
    </w:p>
    <w:p>
      <w:pPr>
        <w:spacing w:after="0" w:line="187"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 following table summarizes the preliminary valuation of the tangible and identifiable intangible assets acquired and liabilities assumed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controlling interest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48,350</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30,533</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6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78,883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Allocation to net assets acquired: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17,251</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20,663</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45,613</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(23,951)</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(21,394)</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Noncontrolling interests acquired</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net assets acquired</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53,605</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25,278</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6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78,883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following unaudited pro forma financial information is based on (i) the historical financial statements of AMC Networks and (ii) the historical financial statements of Levity and is intended to provide information about how the acquisition may have affected the Company's historical consolidated financial statements if it had occurred as of January 1, 2017. The unaudited pro forma information has been prepared for comparative purposes only and includes adjustments for estimated additional depreciation and amortization expense as a result of tangible and identifiable intangible assets acquired. The pro forma information is not necessarily indicative of the results of operations that would have been achieved had the acquisition taken place on the date indicated or that may result in the future.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Unaudited Pro Forma Financial</w:t>
            </w:r>
          </w:p>
        </w:tc>
        <w:tc>
          <w:tcPr>
            <w:tcW w:w="140" w:type="dxa"/>
            <w:vAlign w:val="bottom"/>
          </w:tcPr>
          <w:p>
            <w:pPr>
              <w:spacing w:after="0"/>
              <w:rPr>
                <w:sz w:val="17"/>
                <w:szCs w:val="17"/>
                <w:color w:val="auto"/>
              </w:rPr>
            </w:pPr>
          </w:p>
        </w:tc>
        <w:tc>
          <w:tcPr>
            <w:tcW w:w="2700" w:type="dxa"/>
            <w:vAlign w:val="bottom"/>
            <w:gridSpan w:val="4"/>
          </w:tcPr>
          <w:p>
            <w:pPr>
              <w:jc w:val="center"/>
              <w:ind w:right="32"/>
              <w:spacing w:after="0"/>
              <w:rPr>
                <w:sz w:val="20"/>
                <w:szCs w:val="20"/>
                <w:color w:val="auto"/>
              </w:rPr>
            </w:pPr>
            <w:r>
              <w:rPr>
                <w:rFonts w:ascii="Arial" w:cs="Arial" w:eastAsia="Arial" w:hAnsi="Arial"/>
                <w:sz w:val="16"/>
                <w:szCs w:val="16"/>
                <w:b w:val="1"/>
                <w:bCs w:val="1"/>
                <w:color w:val="auto"/>
                <w:w w:val="93"/>
              </w:rPr>
              <w:t>Unaudited Pro Forma Financial</w:t>
            </w:r>
          </w:p>
        </w:tc>
      </w:tr>
      <w:tr>
        <w:trPr>
          <w:trHeight w:val="203"/>
        </w:trPr>
        <w:tc>
          <w:tcPr>
            <w:tcW w:w="5620" w:type="dxa"/>
            <w:vAlign w:val="bottom"/>
          </w:tcPr>
          <w:p>
            <w:pPr>
              <w:spacing w:after="0"/>
              <w:rPr>
                <w:sz w:val="17"/>
                <w:szCs w:val="17"/>
                <w:color w:val="auto"/>
              </w:rPr>
            </w:pPr>
          </w:p>
        </w:tc>
        <w:tc>
          <w:tcPr>
            <w:tcW w:w="296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2"/>
              </w:rPr>
              <w:t>Information for the three months ended</w:t>
            </w:r>
          </w:p>
        </w:tc>
        <w:tc>
          <w:tcPr>
            <w:tcW w:w="140" w:type="dxa"/>
            <w:vAlign w:val="bottom"/>
          </w:tcPr>
          <w:p>
            <w:pPr>
              <w:spacing w:after="0"/>
              <w:rPr>
                <w:sz w:val="17"/>
                <w:szCs w:val="17"/>
                <w:color w:val="auto"/>
              </w:rPr>
            </w:pPr>
          </w:p>
        </w:tc>
        <w:tc>
          <w:tcPr>
            <w:tcW w:w="2700" w:type="dxa"/>
            <w:vAlign w:val="bottom"/>
            <w:gridSpan w:val="4"/>
          </w:tcPr>
          <w:p>
            <w:pPr>
              <w:jc w:val="center"/>
              <w:ind w:right="32"/>
              <w:spacing w:after="0"/>
              <w:rPr>
                <w:sz w:val="20"/>
                <w:szCs w:val="20"/>
                <w:color w:val="auto"/>
              </w:rPr>
            </w:pPr>
            <w:r>
              <w:rPr>
                <w:rFonts w:ascii="Arial" w:cs="Arial" w:eastAsia="Arial" w:hAnsi="Arial"/>
                <w:sz w:val="16"/>
                <w:szCs w:val="16"/>
                <w:b w:val="1"/>
                <w:bCs w:val="1"/>
                <w:color w:val="auto"/>
                <w:w w:val="91"/>
              </w:rPr>
              <w:t>Information for the six months ended</w:t>
            </w:r>
          </w:p>
        </w:tc>
      </w:tr>
      <w:tr>
        <w:trPr>
          <w:trHeight w:val="23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774"/>
              <w:spacing w:after="0"/>
              <w:rPr>
                <w:sz w:val="20"/>
                <w:szCs w:val="20"/>
                <w:color w:val="auto"/>
              </w:rPr>
            </w:pPr>
            <w:r>
              <w:rPr>
                <w:rFonts w:ascii="Arial" w:cs="Arial" w:eastAsia="Arial" w:hAnsi="Arial"/>
                <w:sz w:val="16"/>
                <w:szCs w:val="16"/>
                <w:b w:val="1"/>
                <w:bCs w:val="1"/>
                <w:color w:val="auto"/>
                <w:w w:val="90"/>
              </w:rPr>
              <w:t>June 30,</w:t>
            </w:r>
          </w:p>
        </w:tc>
        <w:tc>
          <w:tcPr>
            <w:tcW w:w="980" w:type="dxa"/>
            <w:vAlign w:val="bottom"/>
            <w:tcBorders>
              <w:bottom w:val="single" w:sz="8" w:color="auto"/>
            </w:tcBorders>
          </w:tcPr>
          <w:p>
            <w:pPr>
              <w:spacing w:after="0"/>
              <w:rPr>
                <w:sz w:val="20"/>
                <w:szCs w:val="20"/>
                <w:color w:val="auto"/>
              </w:rPr>
            </w:pP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772,078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741,058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1,552,633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1,491,746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from operations, net of income taxes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105,291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103,287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261,809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239,447</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basic</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per share, diluted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3.53</w:t>
            </w:r>
          </w:p>
        </w:tc>
      </w:tr>
    </w:tbl>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Revenues, net and operating income attributable to Levity of $29.6 million and $1.2 million, respectively are included in the consolidated statement of income from the acquisition date, April 20, 2018, to June 30, 2018. For the six months ended June 30, 2018, the Company incurred acquisition related costs of $1.2 million which are included in selling, general and administrative expense.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holds several investments and loans in non-consolidated entities. Equity method investments were $93.7 million at June 30, 2018 and $61.3 million at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RLJE</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5, 2018, a subsidiary of the Company entered into a Stock Purchase Agreement (the "Stock Purchase Agreement") with JH Partners Evergreen Fund, L.P., Forrestal, LLC, JH Investment Partners III, L.P., and JH Investment Partners GP Fund III, LLC (collectively, "JH Partners"). Under the terms of the Stock Purchase Agreement, the Company purchased (i) 678,095 shares of common stock of RLJ Entertainment, Inc., ("RLJE"), (ii) 747,945 warrants to purchase shares of common stock of RLJE with an adjusted exercise price of $1.50 per share issued, and (iii) 7,479.432 shares of Series D-1 preferred stock of RLJE. The total purchase price was $17.2 million.</w:t>
      </w:r>
    </w:p>
    <w:p>
      <w:pPr>
        <w:spacing w:after="0" w:line="18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February 26, 2018, the Company delivered a letter to RLJE pursuant to which the Company proposed to acquire all of the outstanding shares of RLJE not currently owned by the Company or entities affiliated with Robert L. Johnson for a purchase price of $4.25 per share in cash. Through this offer, the Company intends for RLJE to become a majority-owned subsidiary of the Company, with a minority stake held by Mr. Johnson.</w:t>
      </w:r>
    </w:p>
    <w:p>
      <w:pPr>
        <w:spacing w:after="0" w:line="16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July 29, 2018, the Company, Digital Entertainment Holdings LLC, a wholly owned subsidiary of the Company ("DEH"), and River Merger Sub Inc., a owned subsidiary of DEH ("Merger Sub"), and RLJE entered into an Agreement and Plan of Merger (the "Merger Agreement") pursuant to which the Company has agreed to acquire all of the outstanding shares of RLJE not currently owned by the Company or entities affiliated with Robert L. Johnson for a purchase price of approximately $65.3 million, or $6.25 per share in cash. The Merger Agreement provides that, upon the terms and subject to the conditions set forth therein, Merger Sub will merge with and into RLJE, with RLJE continuing as the surviving corporation and a subsidiary of DEH (the "Merger").</w:t>
      </w:r>
    </w:p>
    <w:p>
      <w:pPr>
        <w:spacing w:after="0" w:line="15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Pursuant to the Merger Agreement, at the effective time of the Merger (the "Effective Time"), each share of RLJE’s common stock, par value $0.001 per share (the "RLJE Common Stock"), issued and outstanding immediately prior to the Effective Time, except for certain excluded shares (which include shares beneficially owned by the Company, DEH and their affiliates), will be automatically converted into the right to receive $6.25 in cash without interest (the "Per Share Merger Consideration"). The Merger Agreement also includes provisions for the payment at the Effective Time of consideration, calculated based on the amount of the Per Share Merger Consideration, to the holders of outstanding RLJE preferred stock who elect to receive such cash consideration and holders of warrants to purchase RLJE Common Stock, except for certain excluded shares (which include shares beneficially owned by the Company, DEH and their affiliates). Such holders of outstanding RLJE preferred stock will be entitled to receive $7.81 per underlying share of RLJE Common Stock, in accordance with the terms of the RLJE preferred stock, if they elect cash as their consideration. Such holders of outstanding warrants will be paid the difference between $6.25 and the per share exercise price of their warrants.</w:t>
      </w:r>
    </w:p>
    <w:p>
      <w:pPr>
        <w:spacing w:after="0" w:line="18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Merger Agreement contains certain customary termination rights for DEH and RLJE and further provides that (i) a termination fee equal to $6.75 million will be payable to DEH by RLJE in connection with termination of the Merger Agreement due to a change of recommendation by the Special Committee of the RLJE board of directors (the "RLJE Special Committee") to accept a Superior Proposal (as defined in the Merger Agreement) and (ii) the documented, out-of-pocket expenses of DEH incurred in connection with the Merger Agreement up to a maximum of $3 million will be payable to DEH by RLJE in connection with the termination of the Merger Agreement due to a change of recommendation by the RLJE Special Committee as a result of an Intervening Event (as defined in the Merger Agreement).</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Consummation of the Merger is subject to customary conditions, including conditions relating to (i) the approval of the Merger Agreement by the requisite vote of the RLJE stockholders, (ii) the absence of any order, law or other legal restraint preventing or making unlawful the consummation of the Merger and (iii) the absence of a Material Adverse Effect (as defined in the Merger Agreement) that remains in effect.</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Robert L. Johnson will hold a minority stake in DEH following the Merger. Simultaneously with the execution of the Merger Agreement, DEH has entered into separate arrangements with Mr. Johnson related to the contribution of his RLJE securities to DEH immediately prior to the Merger, his vote for and support of the Merger and governance matters following the Merger.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included in Miscellaneous, net in the condensed consolidated statement of income.</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Investments in marketable equity securities were $7.8 million at June 30, 2018 and $10.7 million at December 31, 2017 and are included in Other assets in the condensed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included in Miscellaneous, net in the condensed consolidated statement of income.</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March 5, 2018, the Company made an investment in fuboTV Inc. of $25.0 million, and on April 6, 2018, the Company provided a senior secured term loan to fuboTV Inc. of $25.0 million with a maturity date of April 6, 2023.</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June 2018, the Company recognized an impairment charge of $10.0 million related to the partial write-down of one of its non-marketable equity securities.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Investments in non-marketable equity securities were $72.2 million at June 30, 2018 and $46.8 million at December 31, 2017 and are included in Other assets in the condensed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National Networks</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20"/>
                <w:szCs w:val="20"/>
                <w:color w:val="auto"/>
              </w:rPr>
            </w:pPr>
          </w:p>
        </w:tc>
        <w:tc>
          <w:tcPr>
            <w:tcW w:w="1380" w:type="dxa"/>
            <w:vAlign w:val="bottom"/>
          </w:tcPr>
          <w:p>
            <w:pPr>
              <w:jc w:val="right"/>
              <w:ind w:right="631"/>
              <w:spacing w:after="0"/>
              <w:rPr>
                <w:sz w:val="20"/>
                <w:szCs w:val="20"/>
                <w:color w:val="auto"/>
              </w:rPr>
            </w:pPr>
            <w:r>
              <w:rPr>
                <w:rFonts w:ascii="Arial" w:cs="Arial" w:eastAsia="Arial" w:hAnsi="Arial"/>
                <w:sz w:val="16"/>
                <w:szCs w:val="16"/>
                <w:b w:val="1"/>
                <w:bCs w:val="1"/>
                <w:color w:val="auto"/>
              </w:rPr>
              <w:t>Total</w:t>
            </w:r>
          </w:p>
        </w:tc>
      </w:tr>
      <w:tr>
        <w:trPr>
          <w:trHeight w:val="250"/>
        </w:trPr>
        <w:tc>
          <w:tcPr>
            <w:tcW w:w="5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239,759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455,399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695,158</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25,278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25,278</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"second component" goodwill</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(9,733)</w:t>
            </w:r>
          </w:p>
        </w:tc>
      </w:tr>
      <w:tr>
        <w:trPr>
          <w:trHeight w:val="27"/>
        </w:trPr>
        <w:tc>
          <w:tcPr>
            <w:tcW w:w="5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239,103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470,944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710,047</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carrying amount of goodwill for the International and Other segment relates to the acquisition of Levity (see Note 4).</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reduction of $0.7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June 30, 2018</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33"/>
              <w:spacing w:after="0"/>
              <w:rPr>
                <w:sz w:val="20"/>
                <w:szCs w:val="20"/>
                <w:color w:val="auto"/>
              </w:rPr>
            </w:pPr>
            <w:r>
              <w:rPr>
                <w:rFonts w:ascii="Arial" w:cs="Arial" w:eastAsia="Arial" w:hAnsi="Arial"/>
                <w:sz w:val="16"/>
                <w:szCs w:val="16"/>
                <w:b w:val="1"/>
                <w:bCs w:val="1"/>
                <w:color w:val="auto"/>
              </w:rPr>
              <w:t>Estimated Useful</w:t>
            </w: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jc w:val="right"/>
              <w:ind w:right="533"/>
              <w:spacing w:after="0"/>
              <w:rPr>
                <w:sz w:val="20"/>
                <w:szCs w:val="20"/>
                <w:color w:val="auto"/>
              </w:rPr>
            </w:pPr>
            <w:r>
              <w:rPr>
                <w:rFonts w:ascii="Arial" w:cs="Arial" w:eastAsia="Arial" w:hAnsi="Arial"/>
                <w:sz w:val="16"/>
                <w:szCs w:val="16"/>
                <w:b w:val="1"/>
                <w:bCs w:val="1"/>
                <w:color w:val="auto"/>
              </w:rPr>
              <w:t>Lives</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548,389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(181,307)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367,082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to 25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30,773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years</w:t>
            </w: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71,493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56,140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 to 20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5,268</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to 15 years</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677,554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(218,291)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459,263</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697,454</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(218,291)</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479,163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1"/>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December 31, 2017</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527,713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(167,911)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359,802</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32,877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53,761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39,341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639,157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(201,815)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437,342</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659,057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(201,815)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457,242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amortizable intangible assets is a result of the acquisition of Levity.</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Aggregate amortization expense for amortizable intangible assets for the six months ended June 30, 2018 and 2017 was $19.1 million and $18.1 million, respectively. Estimated aggregate amortization expense for intangible assets subject to amortization for each of the following five years is: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8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5"/>
        </w:trPr>
        <w:tc>
          <w:tcPr>
            <w:tcW w:w="1940" w:type="dxa"/>
            <w:vAlign w:val="bottom"/>
            <w:gridSpan w:val="2"/>
          </w:tcPr>
          <w:p>
            <w:pPr>
              <w:ind w:left="40"/>
              <w:spacing w:after="0"/>
              <w:rPr>
                <w:sz w:val="20"/>
                <w:szCs w:val="20"/>
                <w:color w:val="auto"/>
              </w:rPr>
            </w:pPr>
            <w:r>
              <w:rPr>
                <w:rFonts w:ascii="Arial" w:cs="Arial" w:eastAsia="Arial" w:hAnsi="Arial"/>
                <w:sz w:val="16"/>
                <w:szCs w:val="16"/>
                <w:b w:val="1"/>
                <w:bCs w:val="1"/>
                <w:color w:val="auto"/>
                <w:w w:val="89"/>
              </w:rPr>
              <w:t>Years Ending December 31,</w:t>
            </w:r>
          </w:p>
        </w:tc>
        <w:tc>
          <w:tcPr>
            <w:tcW w:w="8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84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4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38,555</w:t>
            </w: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39,553</w:t>
            </w: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39,195</w:t>
            </w: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39,193</w:t>
            </w: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39,181</w:t>
            </w:r>
          </w:p>
        </w:tc>
      </w:tr>
      <w:tr>
        <w:trPr>
          <w:trHeight w:val="567"/>
        </w:trPr>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40" w:type="dxa"/>
            <w:vAlign w:val="bottom"/>
          </w:tcPr>
          <w:p>
            <w:pPr>
              <w:jc w:val="right"/>
              <w:ind w:right="4490"/>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Liabilities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June 30, 2018</w:t>
            </w:r>
          </w:p>
        </w:tc>
        <w:tc>
          <w:tcPr>
            <w:tcW w:w="200" w:type="dxa"/>
            <w:vAlign w:val="bottom"/>
          </w:tcPr>
          <w:p>
            <w:pPr>
              <w:spacing w:after="0"/>
              <w:rPr>
                <w:sz w:val="20"/>
                <w:szCs w:val="20"/>
                <w:color w:val="auto"/>
              </w:rPr>
            </w:pPr>
          </w:p>
        </w:tc>
        <w:tc>
          <w:tcPr>
            <w:tcW w:w="1720" w:type="dxa"/>
            <w:vAlign w:val="bottom"/>
          </w:tcPr>
          <w:p>
            <w:pPr>
              <w:jc w:val="right"/>
              <w:ind w:right="211"/>
              <w:spacing w:after="0"/>
              <w:rPr>
                <w:sz w:val="20"/>
                <w:szCs w:val="20"/>
                <w:color w:val="auto"/>
              </w:rPr>
            </w:pPr>
            <w:r>
              <w:rPr>
                <w:rFonts w:ascii="Arial" w:cs="Arial" w:eastAsia="Arial" w:hAnsi="Arial"/>
                <w:sz w:val="16"/>
                <w:szCs w:val="16"/>
                <w:b w:val="1"/>
                <w:bCs w:val="1"/>
                <w:color w:val="auto"/>
                <w:w w:val="97"/>
              </w:rPr>
              <w:t>December 31, 2017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Employee related costs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71,850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117,850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97,495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95,406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216,481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263,076</w:t>
            </w: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Long-term Debt</w:t>
            </w: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400" w:type="dxa"/>
            <w:vAlign w:val="bottom"/>
            <w:gridSpan w:val="2"/>
          </w:tcPr>
          <w:p>
            <w:pPr>
              <w:ind w:left="420"/>
              <w:spacing w:after="0"/>
              <w:rPr>
                <w:sz w:val="20"/>
                <w:szCs w:val="20"/>
                <w:color w:val="auto"/>
              </w:rPr>
            </w:pPr>
            <w:r>
              <w:rPr>
                <w:rFonts w:ascii="Arial" w:cs="Arial" w:eastAsia="Arial" w:hAnsi="Arial"/>
                <w:sz w:val="18"/>
                <w:szCs w:val="18"/>
                <w:color w:val="auto"/>
              </w:rPr>
              <w:t>The Company's long-term debt consists of the following:</w:t>
            </w: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Borders>
              <w:bottom w:val="single" w:sz="8" w:color="CCEEFF"/>
            </w:tcBorders>
          </w:tcPr>
          <w:p>
            <w:pPr>
              <w:spacing w:after="0"/>
              <w:rPr>
                <w:sz w:val="24"/>
                <w:szCs w:val="24"/>
                <w:color w:val="auto"/>
              </w:rPr>
            </w:pPr>
          </w:p>
        </w:tc>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June 30, 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4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360"/>
              <w:spacing w:after="0"/>
              <w:rPr>
                <w:sz w:val="20"/>
                <w:szCs w:val="20"/>
                <w:color w:val="auto"/>
              </w:rPr>
            </w:pPr>
            <w:r>
              <w:rPr>
                <w:rFonts w:ascii="Arial" w:cs="Arial" w:eastAsia="Arial" w:hAnsi="Arial"/>
                <w:sz w:val="18"/>
                <w:szCs w:val="18"/>
                <w:color w:val="auto"/>
              </w:rPr>
              <w:t>Term Loan A Facility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360"/>
              <w:spacing w:after="0"/>
              <w:rPr>
                <w:sz w:val="20"/>
                <w:szCs w:val="20"/>
                <w:color w:val="auto"/>
              </w:rPr>
            </w:pPr>
            <w:r>
              <w:rPr>
                <w:rFonts w:ascii="Arial" w:cs="Arial" w:eastAsia="Arial" w:hAnsi="Arial"/>
                <w:sz w:val="18"/>
                <w:szCs w:val="18"/>
                <w:color w:val="auto"/>
              </w:rPr>
              <w:t>4.75% Notes due August 2025</w:t>
            </w:r>
          </w:p>
        </w:tc>
        <w:tc>
          <w:tcPr>
            <w:tcW w:w="3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5.00% Notes due April 2024</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360"/>
              <w:spacing w:after="0"/>
              <w:rPr>
                <w:sz w:val="20"/>
                <w:szCs w:val="20"/>
                <w:color w:val="auto"/>
              </w:rPr>
            </w:pPr>
            <w:r>
              <w:rPr>
                <w:rFonts w:ascii="Arial" w:cs="Arial" w:eastAsia="Arial" w:hAnsi="Arial"/>
                <w:sz w:val="18"/>
                <w:szCs w:val="18"/>
                <w:color w:val="auto"/>
              </w:rPr>
              <w:t>4.75% Notes due December 2022</w:t>
            </w:r>
          </w:p>
        </w:tc>
        <w:tc>
          <w:tcPr>
            <w:tcW w:w="3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00" w:type="dxa"/>
            <w:vAlign w:val="bottom"/>
            <w:gridSpan w:val="2"/>
          </w:tcPr>
          <w:p>
            <w:pPr>
              <w:ind w:left="20"/>
              <w:spacing w:after="0"/>
              <w:rPr>
                <w:sz w:val="20"/>
                <w:szCs w:val="20"/>
                <w:color w:val="auto"/>
              </w:rPr>
            </w:pPr>
            <w:r>
              <w:rPr>
                <w:rFonts w:ascii="Arial" w:cs="Arial" w:eastAsia="Arial" w:hAnsi="Arial"/>
                <w:sz w:val="18"/>
                <w:szCs w:val="18"/>
                <w:color w:val="auto"/>
              </w:rPr>
              <w:t>Unamortized discount</w:t>
            </w: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(31,521)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(33,776)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costs</w:t>
            </w: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(15,423)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3,103,056</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3,099,257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June 30, 2018. Total undrawn revolver commitments are available to be drawn for general corporate purposes of the Company.</w:t>
      </w:r>
    </w:p>
    <w:p>
      <w:pPr>
        <w:spacing w:after="0" w:line="170" w:lineRule="exact"/>
        <w:rPr>
          <w:sz w:val="20"/>
          <w:szCs w:val="20"/>
          <w:color w:val="auto"/>
        </w:rPr>
      </w:pPr>
    </w:p>
    <w:p>
      <w:pPr>
        <w:ind w:left="60" w:firstLine="405"/>
        <w:spacing w:after="0" w:line="308" w:lineRule="auto"/>
        <w:rPr>
          <w:sz w:val="20"/>
          <w:szCs w:val="20"/>
          <w:color w:val="auto"/>
        </w:rPr>
      </w:pPr>
      <w:r>
        <w:rPr>
          <w:rFonts w:ascii="Arial" w:cs="Arial" w:eastAsia="Arial" w:hAnsi="Arial"/>
          <w:sz w:val="17"/>
          <w:szCs w:val="17"/>
          <w:color w:val="auto"/>
        </w:rPr>
        <w:t>As a result of the acquisition of Levity, the Company has two lines of credit totaling $4 million. The lines of credit bear interest at the greater of 3.5% or the prime rate and mature on August 25, 2018. There were no outstanding borrowings on either line of credit as of June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June 30, 2018 and December 31,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II</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040" w:type="dxa"/>
            <w:vAlign w:val="bottom"/>
            <w:tcBorders>
              <w:top w:val="single" w:sz="8" w:color="CCEEFF"/>
              <w:bottom w:val="single" w:sz="8" w:color="CCEEFF"/>
            </w:tcBorders>
            <w:shd w:val="clear" w:color="auto" w:fill="CCEEFF"/>
          </w:tcPr>
          <w:p>
            <w:pPr>
              <w:ind w:left="1920"/>
              <w:spacing w:after="0"/>
              <w:rPr>
                <w:sz w:val="20"/>
                <w:szCs w:val="20"/>
                <w:color w:val="auto"/>
              </w:rPr>
            </w:pPr>
            <w:r>
              <w:rPr>
                <w:rFonts w:ascii="Arial" w:cs="Arial" w:eastAsia="Arial" w:hAnsi="Arial"/>
                <w:sz w:val="16"/>
                <w:szCs w:val="16"/>
                <w:b w:val="1"/>
                <w:bCs w:val="1"/>
                <w:color w:val="auto"/>
              </w:rPr>
              <w:t>At June 30, 2018: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15,541</w:t>
            </w: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7,827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7,827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34,690</w:t>
            </w:r>
          </w:p>
        </w:tc>
      </w:tr>
      <w:tr>
        <w:trPr>
          <w:trHeight w:val="243"/>
        </w:trPr>
        <w:tc>
          <w:tcPr>
            <w:tcW w:w="5040" w:type="dxa"/>
            <w:vAlign w:val="bottom"/>
          </w:tcPr>
          <w:p>
            <w:pPr>
              <w:ind w:left="36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760</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3,146</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42,548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51,411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Foreign currency derivatives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3,798</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740"/>
              <w:spacing w:after="0"/>
              <w:rPr>
                <w:sz w:val="20"/>
                <w:szCs w:val="20"/>
                <w:color w:val="auto"/>
              </w:rPr>
            </w:pPr>
            <w:r>
              <w:rPr>
                <w:rFonts w:ascii="Arial" w:cs="Arial" w:eastAsia="Arial" w:hAnsi="Arial"/>
                <w:sz w:val="16"/>
                <w:szCs w:val="16"/>
                <w:b w:val="1"/>
                <w:bCs w:val="1"/>
                <w:color w:val="auto"/>
              </w:rPr>
              <w:t>At December 31, 2017: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100,615</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10,709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10,709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9,948</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1,444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3,801</w:t>
            </w: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Other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37,065</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Foreign currency derivatives</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4,475</w:t>
            </w:r>
          </w:p>
        </w:tc>
      </w:tr>
    </w:tbl>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17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Company's interest rate swap contracts, foreign currency derivatives and the embedded derivative for the interest on the RLJE Term Loans to be paid in shares of RLJE common stock (see Note 10) are classified within Level II of the fair value hierarchy and their fair values are determined based on a market approach valuation technique that uses readily observable market parameters and the consideration of counterparty risk.</w:t>
      </w:r>
    </w:p>
    <w:p>
      <w:pPr>
        <w:spacing w:after="0" w:line="166"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October 14, 2016, Digital Entertainment Holdings LLC (“DEH”), a wholly-owned subsidiary of the Company, and RLJE entered into a Credit and Guaranty Agreement pursuant to which DEH provided term loans to RLJE (the “RLJE Term Loans”). In connection with the RLJE Credit and Guaranty Agreement, DEH received warrants to purchase at least 20 million shares of RLJE’s common stock, at a price of $3.00 per share (the “RLJE Warrants”). The RLJE Warrants held by the Company are classified within Level III of the fair value hierarchy and the Company determines the value of the RLJE Warrants using a Black Scholes option pricing model. Inputs to the model are stock price volatility, contractual warrant terms (remaining life of the warrants), exercise price, risk-free interest rate, and the RLJE stock price. The equity volatility used is based on the equity volatility of RLJE with an adjustment for the changes in the capital structure of RLJE. In arriving at the concluded value of the warrants, a discount for the lack of marketability (DLOM) of 32% was applied. The DLOM, which is unobservable, is determined using the Finnerty Average-Strike Put Option Marketability Discount Model (Finnerty Model), which was applied with a security-specific volatility for the warrants. For the three and six months ended June 30, 2018, the Company recorded a gain of $1.5 million and $9.6 million, respectively, related to the RLJE Warrants which is included in Miscellaneous, net in the condensed consolidated statement of income. For the three and six months ended June 30, 2017, the Company recorded a gain of $8.2 million and $17.2 million, respectively.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June 30, 2018, the Company does not have any other assets or liabilities measured at fair value on a recurring basis that would be considered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Fair value measurements are also used in nonrecurring valuations performed in connection with acquisition accounting. These nonrecurring valuations primarily include the valuation of affiliate and customer relationships intangible assets, advertiser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relationship intangible assets and property and equipment. All of our nonrecurring valuations use significant unobservable inputs and therefore fall under Level III of the fair value hierarchy.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gridSpan w:val="5"/>
          </w:tcPr>
          <w:p>
            <w:pPr>
              <w:jc w:val="right"/>
              <w:ind w:right="10"/>
              <w:spacing w:after="0"/>
              <w:rPr>
                <w:sz w:val="20"/>
                <w:szCs w:val="20"/>
                <w:color w:val="auto"/>
              </w:rPr>
            </w:pPr>
            <w:r>
              <w:rPr>
                <w:rFonts w:ascii="Arial" w:cs="Arial" w:eastAsia="Arial" w:hAnsi="Arial"/>
                <w:sz w:val="16"/>
                <w:szCs w:val="16"/>
                <w:b w:val="1"/>
                <w:bCs w:val="1"/>
                <w:color w:val="auto"/>
              </w:rPr>
              <w:t>June 30, 2018</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6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ind w:left="10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ind w:left="8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50"/>
        </w:trPr>
        <w:tc>
          <w:tcPr>
            <w:tcW w:w="7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738,414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748,125</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785,595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768,000</w:t>
            </w:r>
          </w:p>
        </w:tc>
        <w:tc>
          <w:tcPr>
            <w:tcW w:w="20" w:type="dxa"/>
            <w:vAlign w:val="bottom"/>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985,142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987,500</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593,905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601,500</w:t>
            </w:r>
          </w:p>
        </w:tc>
        <w:tc>
          <w:tcPr>
            <w:tcW w:w="20" w:type="dxa"/>
            <w:vAlign w:val="bottom"/>
          </w:tcPr>
          <w:p>
            <w:pPr>
              <w:spacing w:after="0"/>
              <w:rPr>
                <w:sz w:val="23"/>
                <w:szCs w:val="23"/>
                <w:color w:val="auto"/>
              </w:rPr>
            </w:pPr>
          </w:p>
        </w:tc>
      </w:tr>
      <w:tr>
        <w:trPr>
          <w:trHeight w:val="237"/>
        </w:trPr>
        <w:tc>
          <w:tcPr>
            <w:tcW w:w="8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3,103,056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3,105,125</w:t>
            </w:r>
          </w:p>
        </w:tc>
        <w:tc>
          <w:tcPr>
            <w:tcW w:w="2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1"/>
        </w:trPr>
        <w:tc>
          <w:tcPr>
            <w:tcW w:w="8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6"/>
          </w:tcPr>
          <w:p>
            <w:pPr>
              <w:jc w:val="right"/>
              <w:ind w:right="1213"/>
              <w:spacing w:after="0"/>
              <w:rPr>
                <w:sz w:val="20"/>
                <w:szCs w:val="20"/>
                <w:color w:val="auto"/>
              </w:rPr>
            </w:pPr>
            <w:r>
              <w:rPr>
                <w:rFonts w:ascii="Arial" w:cs="Arial" w:eastAsia="Arial" w:hAnsi="Arial"/>
                <w:sz w:val="16"/>
                <w:szCs w:val="16"/>
                <w:b w:val="1"/>
                <w:bCs w:val="1"/>
                <w:color w:val="auto"/>
              </w:rPr>
              <w:t>December 31, 2017</w:t>
            </w:r>
          </w:p>
        </w:tc>
        <w:tc>
          <w:tcPr>
            <w:tcW w:w="20" w:type="dxa"/>
            <w:vAlign w:val="bottom"/>
          </w:tcPr>
          <w:p>
            <w:pPr>
              <w:spacing w:after="0"/>
              <w:rPr>
                <w:sz w:val="24"/>
                <w:szCs w:val="24"/>
                <w:color w:val="auto"/>
              </w:rPr>
            </w:pPr>
          </w:p>
        </w:tc>
      </w:tr>
      <w:tr>
        <w:trPr>
          <w:trHeight w:val="33"/>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88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8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ind w:left="12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50"/>
        </w:trPr>
        <w:tc>
          <w:tcPr>
            <w:tcW w:w="74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737,140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748,125</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784,757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793,000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984,056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1,012,500</w:t>
            </w:r>
          </w:p>
        </w:tc>
        <w:tc>
          <w:tcPr>
            <w:tcW w:w="20" w:type="dxa"/>
            <w:vAlign w:val="bottom"/>
          </w:tcPr>
          <w:p>
            <w:pPr>
              <w:spacing w:after="0"/>
              <w:rPr>
                <w:sz w:val="21"/>
                <w:szCs w:val="21"/>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593,304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612,750</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8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3,099,257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3,166,375</w:t>
            </w:r>
          </w:p>
        </w:tc>
        <w:tc>
          <w:tcPr>
            <w:tcW w:w="20" w:type="dxa"/>
            <w:vAlign w:val="bottom"/>
            <w:tcBorders>
              <w:top w:val="single" w:sz="8" w:color="auto"/>
            </w:tcBorders>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June 30, 2018, the Company had interest rate swap contracts outstanding with notional amounts aggregating $200.0 million that are not designated as hedging instruments. The Company's outstanding interest rate swap contracts mature in October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Derivatives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RLJE Warrants held by the Company meet the definition of a derivative and are included in Other assets in the consolidated balance sheet. In addition, the interest on the RLJE Term Loans to be paid in shares of RLJE common stock is an embedded derivative. Both the RLJE Warrants and the embedded derivative for the future interest to be paid in shares of RLJE common stock</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are remeasured at the end of each period with changes in fair value recorded in the consolidated statements of income. For the three months ended June 30, 2018 and 2017, the Company recorded a gain of $0.6 million and $9.9 million, respectively, and for the six months ended June 30, 2018 and 2017, the Company recorded a gain of $12.3 million and $21.1 million, respectively, related to these derivatives, which is included in Miscellaneous, net in the condensed consolidated statement of income.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4360" w:type="dxa"/>
            <w:vAlign w:val="bottom"/>
            <w:gridSpan w:val="2"/>
          </w:tcPr>
          <w:p>
            <w:pPr>
              <w:ind w:left="1620"/>
              <w:spacing w:after="0"/>
              <w:rPr>
                <w:sz w:val="20"/>
                <w:szCs w:val="20"/>
                <w:color w:val="auto"/>
              </w:rPr>
            </w:pPr>
            <w:r>
              <w:rPr>
                <w:rFonts w:ascii="Arial" w:cs="Arial" w:eastAsia="Arial" w:hAnsi="Arial"/>
                <w:sz w:val="16"/>
                <w:szCs w:val="16"/>
                <w:b w:val="1"/>
                <w:bCs w:val="1"/>
                <w:color w:val="auto"/>
              </w:rPr>
              <w:t>Balance Sheet</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360" w:type="dxa"/>
            <w:vAlign w:val="bottom"/>
            <w:gridSpan w:val="2"/>
          </w:tcPr>
          <w:p>
            <w:pPr>
              <w:ind w:left="1820"/>
              <w:spacing w:after="0"/>
              <w:rPr>
                <w:sz w:val="20"/>
                <w:szCs w:val="20"/>
                <w:color w:val="auto"/>
              </w:rPr>
            </w:pPr>
            <w:r>
              <w:rPr>
                <w:rFonts w:ascii="Arial" w:cs="Arial" w:eastAsia="Arial" w:hAnsi="Arial"/>
                <w:sz w:val="16"/>
                <w:szCs w:val="16"/>
                <w:b w:val="1"/>
                <w:bCs w:val="1"/>
                <w:color w:val="auto"/>
              </w:rPr>
              <w:t>Location</w:t>
            </w:r>
          </w:p>
        </w:tc>
        <w:tc>
          <w:tcPr>
            <w:tcW w:w="280" w:type="dxa"/>
            <w:vAlign w:val="bottom"/>
          </w:tcPr>
          <w:p>
            <w:pPr>
              <w:spacing w:after="0"/>
              <w:rPr>
                <w:sz w:val="20"/>
                <w:szCs w:val="20"/>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2017</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8"/>
              </w:rPr>
              <w:t>Derivatives not designated as hedging instruments:</w:t>
            </w:r>
          </w:p>
        </w:tc>
        <w:tc>
          <w:tcPr>
            <w:tcW w:w="4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2,858</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51,411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37,065</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1,223</w:t>
            </w:r>
          </w:p>
        </w:tc>
      </w:tr>
      <w:tr>
        <w:trPr>
          <w:trHeight w:val="27"/>
        </w:trPr>
        <w:tc>
          <w:tcPr>
            <w:tcW w:w="4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3,252</w:t>
            </w:r>
          </w:p>
        </w:tc>
      </w:tr>
      <w:tr>
        <w:trPr>
          <w:trHeight w:val="27"/>
        </w:trPr>
        <w:tc>
          <w:tcPr>
            <w:tcW w:w="400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designated as hedging instruments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8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Gain or (Loss) on Derivatives</w:t>
            </w:r>
          </w:p>
        </w:tc>
        <w:tc>
          <w:tcPr>
            <w:tcW w:w="120" w:type="dxa"/>
            <w:vAlign w:val="bottom"/>
          </w:tcPr>
          <w:p>
            <w:pPr>
              <w:spacing w:after="0"/>
              <w:rPr>
                <w:sz w:val="17"/>
                <w:szCs w:val="17"/>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Location of Gain or (Loss) in</w:t>
            </w: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920" w:type="dxa"/>
            <w:vAlign w:val="bottom"/>
          </w:tcPr>
          <w:p>
            <w:pPr>
              <w:spacing w:after="0"/>
              <w:rPr>
                <w:sz w:val="18"/>
                <w:szCs w:val="18"/>
                <w:color w:val="auto"/>
              </w:rPr>
            </w:pPr>
          </w:p>
        </w:tc>
        <w:tc>
          <w:tcPr>
            <w:tcW w:w="2160" w:type="dxa"/>
            <w:vAlign w:val="bottom"/>
            <w:gridSpan w:val="3"/>
          </w:tcPr>
          <w:p>
            <w:pPr>
              <w:jc w:val="right"/>
              <w:ind w:right="860"/>
              <w:spacing w:after="0"/>
              <w:rPr>
                <w:sz w:val="20"/>
                <w:szCs w:val="20"/>
                <w:color w:val="auto"/>
              </w:rPr>
            </w:pPr>
            <w:r>
              <w:rPr>
                <w:rFonts w:ascii="Arial" w:cs="Arial" w:eastAsia="Arial" w:hAnsi="Arial"/>
                <w:sz w:val="16"/>
                <w:szCs w:val="16"/>
                <w:b w:val="1"/>
                <w:bCs w:val="1"/>
                <w:color w:val="auto"/>
                <w:w w:val="90"/>
              </w:rPr>
              <w:t>Recognized in OCI</w:t>
            </w:r>
          </w:p>
        </w:tc>
        <w:tc>
          <w:tcPr>
            <w:tcW w:w="1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Earnings</w:t>
            </w:r>
          </w:p>
        </w:tc>
        <w:tc>
          <w:tcPr>
            <w:tcW w:w="940" w:type="dxa"/>
            <w:vAlign w:val="bottom"/>
          </w:tcPr>
          <w:p>
            <w:pPr>
              <w:spacing w:after="0"/>
              <w:rPr>
                <w:sz w:val="18"/>
                <w:szCs w:val="18"/>
                <w:color w:val="auto"/>
              </w:rPr>
            </w:pPr>
          </w:p>
        </w:tc>
        <w:tc>
          <w:tcPr>
            <w:tcW w:w="212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w w:val="95"/>
              </w:rPr>
              <w:t>into Earnings (a)</w:t>
            </w:r>
          </w:p>
        </w:tc>
      </w:tr>
      <w:tr>
        <w:trPr>
          <w:trHeight w:val="33"/>
        </w:trPr>
        <w:tc>
          <w:tcPr>
            <w:tcW w:w="30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31"/>
        </w:trPr>
        <w:tc>
          <w:tcPr>
            <w:tcW w:w="3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 June 30,</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 June 30,</w:t>
            </w:r>
          </w:p>
        </w:tc>
      </w:tr>
      <w:tr>
        <w:trPr>
          <w:trHeight w:val="33"/>
        </w:trPr>
        <w:tc>
          <w:tcPr>
            <w:tcW w:w="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r>
      <w:tr>
        <w:trPr>
          <w:trHeight w:val="231"/>
        </w:trPr>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16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1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2017</w:t>
            </w:r>
          </w:p>
        </w:tc>
      </w:tr>
      <w:tr>
        <w:trPr>
          <w:trHeight w:val="33"/>
        </w:trPr>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-8255</wp:posOffset>
            </wp:positionV>
            <wp:extent cx="721233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60" w:space="360"/>
            <w:col w:w="8500"/>
          </w:cols>
          <w:pgMar w:left="240" w:top="125" w:right="239" w:bottom="1440" w:gutter="0" w:footer="0" w:header="0"/>
          <w:type w:val="continuous"/>
        </w:sectPr>
      </w:pPr>
    </w:p>
    <w:p>
      <w:pPr>
        <w:ind w:left="80"/>
        <w:spacing w:after="0"/>
        <w:tabs>
          <w:tab w:leader="none" w:pos="2920" w:val="left"/>
          <w:tab w:leader="none" w:pos="4100" w:val="left"/>
          <w:tab w:leader="none" w:pos="4540" w:val="left"/>
          <w:tab w:leader="none" w:pos="5640" w:val="left"/>
          <w:tab w:leader="none" w:pos="6580" w:val="left"/>
          <w:tab w:leader="none" w:pos="8380" w:val="left"/>
          <w:tab w:leader="none" w:pos="9540" w:val="left"/>
          <w:tab w:leader="none" w:pos="9960" w:val="left"/>
          <w:tab w:leader="none" w:pos="1102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31750</wp:posOffset>
            </wp:positionV>
            <wp:extent cx="19380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020" cy="26035"/>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31750</wp:posOffset>
            </wp:positionV>
            <wp:extent cx="196405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64055" cy="26035"/>
                    </a:xfrm>
                    <a:prstGeom prst="rect">
                      <a:avLst/>
                    </a:prstGeom>
                    <a:noFill/>
                  </pic:spPr>
                </pic:pic>
              </a:graphicData>
            </a:graphic>
          </wp:anchor>
        </w:drawing>
      </w:r>
    </w:p>
    <w:p>
      <w:pPr>
        <w:spacing w:after="0" w:line="273" w:lineRule="exact"/>
        <w:rPr>
          <w:sz w:val="20"/>
          <w:szCs w:val="20"/>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hedging relationships or related to any amount excluded from the assessment of hedge effectiveness for the three months ended June 30, 2018 and 2017.</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4"/>
          </w:tcPr>
          <w:p>
            <w:pPr>
              <w:ind w:left="600"/>
              <w:spacing w:after="0"/>
              <w:rPr>
                <w:sz w:val="20"/>
                <w:szCs w:val="20"/>
                <w:color w:val="auto"/>
              </w:rPr>
            </w:pPr>
            <w:r>
              <w:rPr>
                <w:rFonts w:ascii="Arial" w:cs="Arial" w:eastAsia="Arial" w:hAnsi="Arial"/>
                <w:sz w:val="16"/>
                <w:szCs w:val="16"/>
                <w:b w:val="1"/>
                <w:bCs w:val="1"/>
                <w:color w:val="auto"/>
              </w:rPr>
              <w:t>Gain or (Loss) Reclassified</w:t>
            </w:r>
          </w:p>
        </w:tc>
      </w:tr>
      <w:tr>
        <w:trPr>
          <w:trHeight w:val="203"/>
        </w:trPr>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Location of Gain or (Loss) in</w:t>
            </w: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920" w:type="dxa"/>
            <w:vAlign w:val="bottom"/>
          </w:tcPr>
          <w:p>
            <w:pPr>
              <w:spacing w:after="0"/>
              <w:rPr>
                <w:sz w:val="18"/>
                <w:szCs w:val="18"/>
                <w:color w:val="auto"/>
              </w:rPr>
            </w:pPr>
          </w:p>
        </w:tc>
        <w:tc>
          <w:tcPr>
            <w:tcW w:w="220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Earnings</w:t>
            </w:r>
          </w:p>
        </w:tc>
        <w:tc>
          <w:tcPr>
            <w:tcW w:w="940" w:type="dxa"/>
            <w:vAlign w:val="bottom"/>
          </w:tcPr>
          <w:p>
            <w:pPr>
              <w:spacing w:after="0"/>
              <w:rPr>
                <w:sz w:val="18"/>
                <w:szCs w:val="18"/>
                <w:color w:val="auto"/>
              </w:rPr>
            </w:pPr>
          </w:p>
        </w:tc>
        <w:tc>
          <w:tcPr>
            <w:tcW w:w="2120" w:type="dxa"/>
            <w:vAlign w:val="bottom"/>
            <w:gridSpan w:val="3"/>
          </w:tcPr>
          <w:p>
            <w:pPr>
              <w:jc w:val="center"/>
              <w:ind w:right="860"/>
              <w:spacing w:after="0"/>
              <w:rPr>
                <w:sz w:val="20"/>
                <w:szCs w:val="20"/>
                <w:color w:val="auto"/>
              </w:rPr>
            </w:pPr>
            <w:r>
              <w:rPr>
                <w:rFonts w:ascii="Arial" w:cs="Arial" w:eastAsia="Arial" w:hAnsi="Arial"/>
                <w:sz w:val="16"/>
                <w:szCs w:val="16"/>
                <w:b w:val="1"/>
                <w:bCs w:val="1"/>
                <w:color w:val="auto"/>
                <w:w w:val="93"/>
              </w:rPr>
              <w:t>into Earnings (a)</w:t>
            </w:r>
          </w:p>
        </w:tc>
      </w:tr>
      <w:tr>
        <w:trPr>
          <w:trHeight w:val="33"/>
        </w:trPr>
        <w:tc>
          <w:tcPr>
            <w:tcW w:w="31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31"/>
        </w:trPr>
        <w:tc>
          <w:tcPr>
            <w:tcW w:w="31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ind w:left="60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9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r>
      <w:tr>
        <w:trPr>
          <w:trHeight w:val="231"/>
        </w:trPr>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22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580"/>
              <w:spacing w:after="0"/>
              <w:rPr>
                <w:sz w:val="20"/>
                <w:szCs w:val="20"/>
                <w:color w:val="auto"/>
              </w:rPr>
            </w:pPr>
            <w:r>
              <w:rPr>
                <w:rFonts w:ascii="Arial" w:cs="Arial" w:eastAsia="Arial" w:hAnsi="Arial"/>
                <w:sz w:val="16"/>
                <w:szCs w:val="16"/>
                <w:b w:val="1"/>
                <w:bCs w:val="1"/>
                <w:color w:val="auto"/>
                <w:w w:val="95"/>
              </w:rPr>
              <w:t>2018</w:t>
            </w:r>
          </w:p>
        </w:tc>
        <w:tc>
          <w:tcPr>
            <w:tcW w:w="212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2017</w:t>
            </w:r>
          </w:p>
        </w:tc>
      </w:tr>
      <w:tr>
        <w:trPr>
          <w:trHeight w:val="33"/>
        </w:trPr>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-8255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20" w:space="360"/>
            <w:col w:w="8540"/>
          </w:cols>
          <w:pgMar w:left="240" w:top="125" w:right="239" w:bottom="1440" w:gutter="0" w:footer="0" w:header="0"/>
          <w:type w:val="continuous"/>
        </w:sectPr>
      </w:pPr>
    </w:p>
    <w:p>
      <w:pPr>
        <w:ind w:left="40"/>
        <w:spacing w:after="0"/>
        <w:tabs>
          <w:tab w:leader="none" w:pos="2880" w:val="left"/>
          <w:tab w:leader="none" w:pos="4060" w:val="left"/>
          <w:tab w:leader="none" w:pos="4520" w:val="left"/>
          <w:tab w:leader="none" w:pos="5600" w:val="left"/>
          <w:tab w:leader="none" w:pos="6580" w:val="left"/>
          <w:tab w:leader="none" w:pos="8380" w:val="left"/>
          <w:tab w:leader="none" w:pos="9540" w:val="left"/>
          <w:tab w:leader="none" w:pos="9960" w:val="left"/>
          <w:tab w:leader="none" w:pos="1102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256</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31750</wp:posOffset>
            </wp:positionV>
            <wp:extent cx="19380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2603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31750</wp:posOffset>
            </wp:positionV>
            <wp:extent cx="198120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1200" cy="26035"/>
                    </a:xfrm>
                    <a:prstGeom prst="rect">
                      <a:avLst/>
                    </a:prstGeom>
                    <a:noFill/>
                  </pic:spPr>
                </pic:pic>
              </a:graphicData>
            </a:graphic>
          </wp:anchor>
        </w:drawing>
      </w:r>
    </w:p>
    <w:p>
      <w:pPr>
        <w:spacing w:after="0" w:line="273" w:lineRule="exact"/>
        <w:rPr>
          <w:sz w:val="20"/>
          <w:szCs w:val="20"/>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hedging relationships or related to any amount excluded from the assessment of hedge effectiveness for the six months ended June 30, 2018 and 2017.</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type w:val="continuous"/>
        </w:sectPr>
      </w:pPr>
    </w:p>
    <w:bookmarkStart w:id="19" w:name="page20"/>
    <w:bookmarkEnd w:id="1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not designated as hedging instruments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Location of Gain or (Loss)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26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Recognized in Earnings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2980" w:type="dxa"/>
            <w:vAlign w:val="bottom"/>
          </w:tcPr>
          <w:p>
            <w:pPr>
              <w:spacing w:after="0"/>
              <w:rPr>
                <w:sz w:val="18"/>
                <w:szCs w:val="18"/>
                <w:color w:val="auto"/>
              </w:rPr>
            </w:pPr>
          </w:p>
        </w:tc>
        <w:tc>
          <w:tcPr>
            <w:tcW w:w="26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on Derivatives</w:t>
            </w:r>
          </w:p>
        </w:tc>
        <w:tc>
          <w:tcPr>
            <w:tcW w:w="260" w:type="dxa"/>
            <w:vAlign w:val="bottom"/>
          </w:tcPr>
          <w:p>
            <w:pPr>
              <w:spacing w:after="0"/>
              <w:rPr>
                <w:sz w:val="18"/>
                <w:szCs w:val="18"/>
                <w:color w:val="auto"/>
              </w:rPr>
            </w:pPr>
          </w:p>
        </w:tc>
        <w:tc>
          <w:tcPr>
            <w:tcW w:w="5540" w:type="dxa"/>
            <w:vAlign w:val="bottom"/>
            <w:gridSpan w:val="10"/>
          </w:tcPr>
          <w:p>
            <w:pPr>
              <w:jc w:val="right"/>
              <w:ind w:right="552"/>
              <w:spacing w:after="0"/>
              <w:rPr>
                <w:sz w:val="20"/>
                <w:szCs w:val="20"/>
                <w:color w:val="auto"/>
              </w:rPr>
            </w:pPr>
            <w:r>
              <w:rPr>
                <w:rFonts w:ascii="Arial" w:cs="Arial" w:eastAsia="Arial" w:hAnsi="Arial"/>
                <w:sz w:val="16"/>
                <w:szCs w:val="16"/>
                <w:b w:val="1"/>
                <w:bCs w:val="1"/>
                <w:color w:val="auto"/>
                <w:w w:val="99"/>
              </w:rPr>
              <w:t>Amount of Gain or (Loss) Recognized in Earnings on Derivatives</w:t>
            </w:r>
          </w:p>
        </w:tc>
      </w:tr>
      <w:tr>
        <w:trPr>
          <w:trHeight w:val="33"/>
        </w:trPr>
        <w:tc>
          <w:tcPr>
            <w:tcW w:w="298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r>
      <w:tr>
        <w:trPr>
          <w:trHeight w:val="231"/>
        </w:trPr>
        <w:tc>
          <w:tcPr>
            <w:tcW w:w="29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20"/>
                <w:szCs w:val="20"/>
                <w:color w:val="auto"/>
              </w:rPr>
            </w:pPr>
          </w:p>
        </w:tc>
        <w:tc>
          <w:tcPr>
            <w:tcW w:w="254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2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211"/>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8"/>
              </w:rPr>
              <w:t>Derivatives not designated as hedging</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1"/>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2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29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Miscellaneous,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Other derivatives</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Miscellaneous, net</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12,289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21,063</w:t>
            </w:r>
          </w:p>
        </w:tc>
      </w:tr>
      <w:tr>
        <w:trPr>
          <w:trHeight w:val="27"/>
        </w:trPr>
        <w:tc>
          <w:tcPr>
            <w:tcW w:w="298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11,786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19,555</w:t>
            </w:r>
          </w:p>
        </w:tc>
      </w:tr>
      <w:tr>
        <w:trPr>
          <w:trHeight w:val="20"/>
        </w:trPr>
        <w:tc>
          <w:tcPr>
            <w:tcW w:w="2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For the three and six months ended June 30, 2018, income tax expense was $32.5 million and $89.4 million, respectively, representing an effective tax rate of 23% and 25%, respectively, as compared to the federal statutory rate of 21%. For the three months ended June 30, 2018, the effective tax rate differs from the federal statutory due primarily to state and local income tax expense of $2.3 million. For the six months ended June 30, 2018, the effective tax rate differs from the federal statutory rate due primarily to tax expense of $16.1 million for an increase in valuation allowances for foreign taxes and U.S. foreign tax credits; state and local income tax expense of $6.2 million; a tax benefit of $8.3 million for the one-time rate change on deferred tax assets and liabilities that resulted from the extension of certain television production cost deductions included in the Bipartisan Budget Act of 2018 (enacted February 9, 2018); and a tax benefit from foreign subsidiary earnings indefinitely reinvested outside the U.S. of $5.8 million.</w:t>
      </w:r>
    </w:p>
    <w:p>
      <w:pPr>
        <w:spacing w:after="0" w:line="17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For the three and six months ended June 30, 2017, income tax expense was $60.2 million and $133.3 million, respectively, representing an effective tax rate of 36% and 35%, respectively, as compared to the federal statutory rate of 35%. For the three months ended June 30, 2017, the effective tax rate differs from the federal statutory rate due primarily to tax expense of $5.2 million resulting from an increase in the valuation allowances for foreign and local taxes; state and local income tax expense of $2.6 million; partially offset by a tax benefit from the domestic production activities deduction of $4.4 million; and a tax benefit from foreign subsidiary earnings indefinitely reinvested outside the U.S. of $2.6 million. For the six months ended June 30, 2017, the items resulting in variances from the federal statutory rate primarily consist of a tax benefit of $10.3 million from the domestic production activities deduction; a tax benefit from foreign subsidiary earnings indefinitely reinvested outside the U.S. of $6.7 million; tax expense of $7.5 million resulting from an increase in the valuation allowances for foreign and local taxes; and state and local income tax expense of $6.0 million.</w:t>
      </w:r>
    </w:p>
    <w:p>
      <w:pPr>
        <w:spacing w:after="0" w:line="1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June 30, 2018, the Company had foreign tax credit carry forwards of approximately $15.6 million, expiring on various dates from 2024 through 2025. These carryforwards have been reduced by a valuation allowance of $15.6 million as it is more likely than not that these carry forwards will not be realized. For the six months ended June 30, 2018, $0.7 million relating to amortization of tax deductible second component goodwill was realized as a reduction in tax liability (as determined on a 'with-and-without' approach).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2018, the Company's contractual obligations not reflected on the Company's condensed consolidated balance sheet decreased $101.5 million to $1.3 billion. The decrease relates to payments for program commitments and the expiration of payment guarantees to a production service company for certain production related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The Company believes that the asserted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9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On January 18, 2018, the 2013 Plaintiffs filed a second action in New York Supreme Court in connection with Darabont’s services on </w:t>
      </w:r>
      <w:r>
        <w:rPr>
          <w:rFonts w:ascii="Arial" w:cs="Arial" w:eastAsia="Arial" w:hAnsi="Arial"/>
          <w:sz w:val="16"/>
          <w:szCs w:val="16"/>
          <w:i w:val="1"/>
          <w:iCs w:val="1"/>
          <w:color w:val="auto"/>
        </w:rPr>
        <w:t>The Walking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Dead </w:t>
      </w:r>
      <w:r>
        <w:rPr>
          <w:rFonts w:ascii="Arial" w:cs="Arial" w:eastAsia="Arial" w:hAnsi="Arial"/>
          <w:sz w:val="16"/>
          <w:szCs w:val="16"/>
          <w:color w:val="auto"/>
        </w:rPr>
        <w:t>television series and agreements between the parties related thereto. The claims in the action allegedly arise from Plaintiffs' audit of their participation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statements covering the accounting period from inception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and the parties have agreed to consolidate this action for a joint trial with the action Plaintiffs filed in the New York Supreme Court on December 17, 2013.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16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as well as </w:t>
      </w:r>
      <w:r>
        <w:rPr>
          <w:rFonts w:ascii="Arial" w:cs="Arial" w:eastAsia="Arial" w:hAnsi="Arial"/>
          <w:sz w:val="17"/>
          <w:szCs w:val="17"/>
          <w:i w:val="1"/>
          <w:iCs w:val="1"/>
          <w:color w:val="auto"/>
        </w:rPr>
        <w:t>Fear the Walking Dead</w:t>
      </w:r>
      <w:r>
        <w:rPr>
          <w:rFonts w:ascii="Arial" w:cs="Arial" w:eastAsia="Arial" w:hAnsi="Arial"/>
          <w:sz w:val="17"/>
          <w:szCs w:val="17"/>
          <w:color w:val="auto"/>
        </w:rPr>
        <w:t xml:space="preserve"> and/or </w:t>
      </w:r>
      <w:r>
        <w:rPr>
          <w:rFonts w:ascii="Arial" w:cs="Arial" w:eastAsia="Arial" w:hAnsi="Arial"/>
          <w:sz w:val="17"/>
          <w:szCs w:val="17"/>
          <w:i w:val="1"/>
          <w:iCs w:val="1"/>
          <w:color w:val="auto"/>
        </w:rPr>
        <w:t>Talking Dead</w:t>
      </w:r>
      <w:r>
        <w:rPr>
          <w:rFonts w:ascii="Arial" w:cs="Arial" w:eastAsia="Arial" w:hAnsi="Arial"/>
          <w:sz w:val="17"/>
          <w:szCs w:val="17"/>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At this time, no determination can be made as to the ultimate outcome of this litigation or the potential liability, if any, on the part of the Company.</w:t>
      </w:r>
    </w:p>
    <w:p>
      <w:pPr>
        <w:spacing w:after="0" w:line="18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Equity Plans</w:t>
      </w:r>
    </w:p>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March 2018, AMC Networks granted 684,737 restricted stock units ("RSUs") and 537,403 performance restricted stock units ("PRSUs") to certain executive officers and employees under the AMC Networks Inc. 2016 Employee Stock Plan. The RSUs vest ratably over a three-year period and the vesting criteria for 195,028 RSUs include the achievement of certain performance targets by the Company. The PRSUs vest on the third anniversary of the grant date.</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three-year period. The number of shares issuable at the end of the applicable measurement period ranges from 0% to 200% of the target PRSU award.</w:t>
      </w:r>
    </w:p>
    <w:p>
      <w:pPr>
        <w:spacing w:after="0" w:line="18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six months ended June 30, 2018, 720,657 RSUs of AMC Networks Class A Common Stock previously issued to employees of the Company vested. On the vesting date, 295,973 RSUs were surrendered to the Company to cover the required statutory tax withholding obligations and 424,684 new shares of AMC Networks Class A Common Stock were issued in respect of the remaining RSUs. The units surrendered to satisfy the employees' statutory minimum tax withholding obligations for the applicable income and other employment tax had an aggregate value of $15.7 million, which has been reflected as a financing activity in the condensed consolidated statement of cash flows for the six months ended June 30, 2018.</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Share-based compensation expense included in selling, general and administrative expense, for the three and six months ended June 30, 2018 was $19.8 million and $35.1 million, respectively, and $15.1 million and $27.6 million, respectively, for the three and six months ended June 30, 2017, respectively.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June 30, 2018, there was $120.4 million of total unrecognized share-based compensation cost related to outstanding unvested share-based awards.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unrecognized compensation cost is expected to be recognized over a weighted-average remaining period of approximately 2.5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Redeemable Noncontrolling Interests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six months ended June 30,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Six Months Ended June 30,</w:t>
            </w:r>
          </w:p>
        </w:tc>
      </w:tr>
      <w:tr>
        <w:trPr>
          <w:trHeight w:val="237"/>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2018</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5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218,604</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Acquired</w:t>
            </w: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30,533</w:t>
            </w:r>
          </w:p>
        </w:tc>
      </w:tr>
      <w:tr>
        <w:trPr>
          <w:trHeight w:val="27"/>
        </w:trPr>
        <w:tc>
          <w:tcPr>
            <w:tcW w:w="9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7,569</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Distributions</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(6,967)</w:t>
            </w:r>
          </w:p>
        </w:tc>
      </w:tr>
      <w:tr>
        <w:trPr>
          <w:trHeight w:val="27"/>
        </w:trPr>
        <w:tc>
          <w:tcPr>
            <w:tcW w:w="9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2018</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249,739</w:t>
            </w:r>
          </w:p>
        </w:tc>
      </w:tr>
      <w:tr>
        <w:trPr>
          <w:trHeight w:val="20"/>
        </w:trPr>
        <w:tc>
          <w:tcPr>
            <w:tcW w:w="9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redeemable noncontrolling interest acquired relates to acquisition of Levity. The terms of the agreement provide the noncontrolling interest holders with a right to put 50% of their interests to the Company on the fourth anniversary of the agreement and a right to put all of their interests to the Company on the sixth anniversary of the agreement. The put rights are at fair market value.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Related Party Transactions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Members of the Dolan Family, for purposes of Section 13(d) of the Securities Exchange Act of 1934, as amended, including trusts for the benefit of the Dolan Family, collectively beneficially own all of the AMC Networks outstanding Class B Common Stock and own approximately 3% of the AMC Networks' outstanding Class A Common Stock. Such shares of the AMC Networks Class A Common Stock and Class B Common Stock, collectively, represent approximately 72% of the aggregate voting power of AMC Networks' outstanding common stock. Members of the Dolan Family are also the controlling stockholders of The Madison Square Garden Company ("MSG") and MSG Networks Inc. ("MSG Networks").</w:t>
      </w:r>
    </w:p>
    <w:p>
      <w:pPr>
        <w:spacing w:after="0" w:line="17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and its related parties routinely enter into transactions with each other in the ordinary course of business. Revenues, net from related parties amounted to $1.5 million for the three months ended June 30, 2018 and 2017, respectively, and $3.2 million and $3.1 million for the six months ended June 30, 2018 and 2017, respectively. Amounts charged to the Company, included in selling, general and administrative expenses, pursuant to transactions with its related parties amounted to $0.2 million and $0.4 million for the three months ended June 30, 2018 and 2017, respectively, and $0.7 million and $1.0 million for the six months ended June 30, 2018 and 2017, respectively.</w:t>
      </w:r>
    </w:p>
    <w:p>
      <w:pPr>
        <w:spacing w:after="0" w:line="18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June 16, 2016, AMC Networks entered into an arrangement with the Dolan Family Office, LLC ("DFO"), MSG and MSG Networks providing for the sharing of certain expenses associated with executive office space which will be available to Charles F. Dolan (the Executive Chairman and a director of the Company and a director of MSG and MSG Networks), James L. Dolan (the Executive Chairman and a director of MSG and MSG Networks and a director of the Company), and the DFO which is controlled by Charles F. Dolan. The Company's share of office expenses is not material.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Cash Flows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280" w:lineRule="exact"/>
        <w:rPr>
          <w:sz w:val="20"/>
          <w:szCs w:val="20"/>
          <w:color w:val="auto"/>
        </w:rPr>
      </w:pPr>
    </w:p>
    <w:p>
      <w:pPr>
        <w:ind w:left="87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not yet settled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20" w:type="dxa"/>
            <w:vAlign w:val="bottom"/>
            <w:gridSpan w:val="3"/>
          </w:tcPr>
          <w:p>
            <w:pPr>
              <w:ind w:left="1020"/>
              <w:spacing w:after="0"/>
              <w:rPr>
                <w:sz w:val="20"/>
                <w:szCs w:val="20"/>
                <w:color w:val="auto"/>
              </w:rPr>
            </w:pPr>
            <w:r>
              <w:rPr>
                <w:rFonts w:ascii="Arial" w:cs="Arial" w:eastAsia="Arial" w:hAnsi="Arial"/>
                <w:sz w:val="18"/>
                <w:szCs w:val="18"/>
                <w:color w:val="auto"/>
              </w:rPr>
              <w:t>—   $</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8,987</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RLJE Warrants</w:t>
            </w:r>
          </w:p>
        </w:tc>
        <w:tc>
          <w:tcPr>
            <w:tcW w:w="4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Capital expenditures incurred but not yet paid</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2,419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2,412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Data:</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interest paid</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71,750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56,832</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paid, net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60,413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124,474</w:t>
            </w:r>
          </w:p>
        </w:tc>
      </w:tr>
      <w:tr>
        <w:trPr>
          <w:trHeight w:val="27"/>
        </w:trPr>
        <w:tc>
          <w:tcPr>
            <w:tcW w:w="7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a non-GAAP measure, defined as operating income (loss) before depreciation and amortization, share-based compensation expense or benefit, impairment and related charges (including gains or losses on sales or dispositions of businesses), and restructuring expense or credit. The Company has presented the components that reconcile adjusted operating income to operating income, an accepted GAAP measure, and other information as to the continuing operations of the Company's operating segments below.</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 2018</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National</w:t>
            </w:r>
          </w:p>
        </w:tc>
        <w:tc>
          <w:tcPr>
            <w:tcW w:w="2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Networks</w:t>
            </w:r>
          </w:p>
        </w:tc>
        <w:tc>
          <w:tcPr>
            <w:tcW w:w="24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246,829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23,433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270,262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380,460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123,278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491,123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627,289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146,711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761,385</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191,531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16,259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19,753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21,669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234,678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232,953</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4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 June 30, 2017</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245,472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21,373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266,845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359,451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443,700</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604,923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110,844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710,545</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211,623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175,790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15,132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17,112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20,606</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232,167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228,559</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62"/>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Six Months Ended June 30, 2018</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472,559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45,943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518,502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787,758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212,158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983,706</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1,260,317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258,101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1,502,208</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459,859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425,186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28,786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6,286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35,072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42,023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505,552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3,251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502,281</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37,402</w:t>
            </w:r>
          </w:p>
        </w:tc>
      </w:tr>
      <w:tr>
        <w:trPr>
          <w:trHeight w:val="575"/>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Six Months Ended June 30, 2017</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493,014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41,443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534,457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727,056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176,198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896,277</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1,220,070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217,641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1,430,734</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461,230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407,461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22,119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27,595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17,112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44,099</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500,140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498,890</w:t>
            </w:r>
          </w:p>
        </w:tc>
      </w:tr>
      <w:tr>
        <w:trPr>
          <w:trHeight w:val="23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31,642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39,936</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Inter-segment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National Networks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21"/>
                <w:szCs w:val="21"/>
                <w:color w:val="auto"/>
              </w:rPr>
            </w:pP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(5,142)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(15,150)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(6,866)</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47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(5,222)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w:t>
            </w:r>
          </w:p>
        </w:tc>
      </w:tr>
      <w:tr>
        <w:trPr>
          <w:trHeight w:val="27"/>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revenues based on customer location: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gridSpan w:val="7"/>
          </w:tcPr>
          <w:p>
            <w:pPr>
              <w:jc w:val="right"/>
              <w:ind w:right="59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600,195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548,555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1,186,763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1,148,610</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116,422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202,686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186,750</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44,768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53,914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112,759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95,374</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761,385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710,545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1,502,208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1,430,734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420" w:type="dxa"/>
            <w:vAlign w:val="bottom"/>
            <w:gridSpan w:val="4"/>
          </w:tcPr>
          <w:p>
            <w:pPr>
              <w:ind w:left="420"/>
              <w:spacing w:after="0"/>
              <w:rPr>
                <w:sz w:val="20"/>
                <w:szCs w:val="20"/>
                <w:color w:val="auto"/>
              </w:rPr>
            </w:pPr>
            <w:r>
              <w:rPr>
                <w:rFonts w:ascii="Arial" w:cs="Arial" w:eastAsia="Arial" w:hAnsi="Arial"/>
                <w:sz w:val="18"/>
                <w:szCs w:val="18"/>
                <w:color w:val="auto"/>
                <w:w w:val="95"/>
              </w:rPr>
              <w:t>The table below summarizes property and equipment based on asset location:</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w w:val="96"/>
              </w:rPr>
              <w:t>June 30, 2018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2017</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170,558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136,203</w:t>
            </w: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28,261</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17,449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19,050</w:t>
            </w: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214,054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183,514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Condensed Consolidating Financial Statements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Debt of AMC Networks includes $600 million of 4.75% senior notes due December 2022, $1 billion of 5.00% senior notes due April 2024 and $800 million of 4.75% senior notes due August 2025. All outstanding senior notes issued by AMC Networks (for purposes of this Note 18, "Parent Company")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 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basis in all subsidiaries, including goodwill and identified intangible assets, have been allocated to the applicable subsidiaries.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243,413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169,826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416,124</w:t>
            </w:r>
          </w:p>
        </w:tc>
        <w:tc>
          <w:tcPr>
            <w:tcW w:w="0" w:type="dxa"/>
            <w:vAlign w:val="bottom"/>
          </w:tcPr>
          <w:p>
            <w:pPr>
              <w:spacing w:after="0"/>
              <w:rPr>
                <w:sz w:val="1"/>
                <w:szCs w:val="1"/>
                <w:color w:val="auto"/>
              </w:rPr>
            </w:pPr>
          </w:p>
        </w:tc>
      </w:tr>
      <w:tr>
        <w:trPr>
          <w:trHeight w:val="157"/>
        </w:trPr>
        <w:tc>
          <w:tcPr>
            <w:tcW w:w="4700" w:type="dxa"/>
            <w:vAlign w:val="bottom"/>
          </w:tcPr>
          <w:p>
            <w:pPr>
              <w:ind w:left="380"/>
              <w:spacing w:after="0" w:line="157" w:lineRule="exact"/>
              <w:rPr>
                <w:sz w:val="20"/>
                <w:szCs w:val="20"/>
                <w:color w:val="auto"/>
              </w:rPr>
            </w:pPr>
            <w:r>
              <w:rPr>
                <w:rFonts w:ascii="Arial" w:cs="Arial" w:eastAsia="Arial" w:hAnsi="Arial"/>
                <w:sz w:val="14"/>
                <w:szCs w:val="14"/>
                <w:color w:val="auto"/>
                <w:w w:val="97"/>
              </w:rPr>
              <w:t>Accounts receivable, trade (including amounts due from related parties,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720"/>
              <w:spacing w:after="0" w:line="149" w:lineRule="exact"/>
              <w:rPr>
                <w:sz w:val="20"/>
                <w:szCs w:val="20"/>
                <w:color w:val="auto"/>
              </w:rPr>
            </w:pPr>
            <w:r>
              <w:rPr>
                <w:rFonts w:ascii="Arial" w:cs="Arial" w:eastAsia="Arial" w:hAnsi="Arial"/>
                <w:sz w:val="14"/>
                <w:szCs w:val="14"/>
                <w:color w:val="auto"/>
              </w:rPr>
              <w:t>net,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720"/>
              <w:spacing w:after="0"/>
              <w:rPr>
                <w:sz w:val="20"/>
                <w:szCs w:val="20"/>
                <w:color w:val="auto"/>
              </w:rPr>
            </w:pPr>
            <w:r>
              <w:rPr>
                <w:rFonts w:ascii="Arial" w:cs="Arial" w:eastAsia="Arial" w:hAnsi="Arial"/>
                <w:sz w:val="14"/>
                <w:szCs w:val="14"/>
                <w:color w:val="auto"/>
              </w:rPr>
              <w:t>less allowance for doubtful accounts)</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596,408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222,322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818,730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308,628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154,238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462,866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207,653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(119,319)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110,437</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1,356,102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565,414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1,808,157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148,673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65,381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214,054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3,496,168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1,493,775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(4,989,943)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1,032,302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186,380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1,218,682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22,669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23,671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165,681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313,482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479,163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65,954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644,093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710,047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27,547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171,874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420,172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592,046</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3,502,128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4,503,527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2,223,892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(5,156,180)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5,073,367</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41,371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63,663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105,015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140,118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216,481</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276,571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70,505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347,076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62,191</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49,641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490,629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314,442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(119,319)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735,393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428,322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14,343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442,665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3,103,056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3,103,056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21,441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23,739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132,090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149,599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51,442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86,110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83,122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173,756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3,336,229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1,007,359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450,857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(166,237)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4,628,208</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249,739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249,739</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165,899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3,496,168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1,493,775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(4,989,943)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165,899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29,521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29,521</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165,899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3,496,168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1,523,296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(4,989,943)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195,420</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3,502,128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4,503,527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2,223,892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(5,156,180)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5,073,367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157"/>
        </w:trPr>
        <w:tc>
          <w:tcPr>
            <w:tcW w:w="4700" w:type="dxa"/>
            <w:vAlign w:val="bottom"/>
          </w:tcPr>
          <w:p>
            <w:pPr>
              <w:ind w:left="380"/>
              <w:spacing w:after="0" w:line="157" w:lineRule="exact"/>
              <w:rPr>
                <w:sz w:val="20"/>
                <w:szCs w:val="20"/>
                <w:color w:val="auto"/>
              </w:rPr>
            </w:pPr>
            <w:r>
              <w:rPr>
                <w:rFonts w:ascii="Arial" w:cs="Arial" w:eastAsia="Arial" w:hAnsi="Arial"/>
                <w:sz w:val="14"/>
                <w:szCs w:val="14"/>
                <w:color w:val="auto"/>
                <w:w w:val="97"/>
              </w:rPr>
              <w:t>Accounts receivable, trade (including amounts due from related parties,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720"/>
              <w:spacing w:after="0" w:line="149" w:lineRule="exact"/>
              <w:rPr>
                <w:sz w:val="20"/>
                <w:szCs w:val="20"/>
                <w:color w:val="auto"/>
              </w:rPr>
            </w:pPr>
            <w:r>
              <w:rPr>
                <w:rFonts w:ascii="Arial" w:cs="Arial" w:eastAsia="Arial" w:hAnsi="Arial"/>
                <w:sz w:val="14"/>
                <w:szCs w:val="14"/>
                <w:color w:val="auto"/>
              </w:rPr>
              <w:t>net,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720"/>
              <w:spacing w:after="0"/>
              <w:rPr>
                <w:sz w:val="20"/>
                <w:szCs w:val="20"/>
                <w:color w:val="auto"/>
              </w:rPr>
            </w:pPr>
            <w:r>
              <w:rPr>
                <w:rFonts w:ascii="Arial" w:cs="Arial" w:eastAsia="Arial" w:hAnsi="Arial"/>
                <w:sz w:val="14"/>
                <w:szCs w:val="14"/>
                <w:color w:val="auto"/>
              </w:rPr>
              <w:t>less allowance for doubtful accounts)</w:t>
            </w: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581,270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194,621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775,891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304,149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453,450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183,815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91,726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1,460,482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519,677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1,879,850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136,032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47,482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183,514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3,443,013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934,612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1,128,021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191,258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1,319,279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489,939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29,346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29,924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170,554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457,242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66,609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628,549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695,158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142,115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305,822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447,937</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3,447,093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4,557,710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2,000,571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5,032,985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50,282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51,565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102,197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136,770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263,076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65,545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327,549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46,433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4,847</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52,042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521,758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274,691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744,102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511,996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534,980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3,099,257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3,099,257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26,277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114,717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109,698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46,133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77,198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503,166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(490,375)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136,122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3,312,149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1,114,697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818,354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(594,764)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4,650,436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218,604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218,604</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134,944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3,443,013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934,612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134,944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134,944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3,443,013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963,613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163,945</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3,447,093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4,557,710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2,000,571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5,032,985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549,262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216,006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761,385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248,181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129,742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376,809</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120,463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53,686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171,376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11,175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21,669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379,819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193,922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569,854</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169,443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22,084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191,531</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 (loss)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172,233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(168,041)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(14,719)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134,658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5,019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(20,284)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(168,045)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(48,652)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134,658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174,462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142,879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(28,477)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(32,547)</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106,181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172,233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(168,041)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110,332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(4,151)</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106,181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106,181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536,302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179,675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710,545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240,150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95,472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334,845</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116,423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50,838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162,273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20,606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17,112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17,112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credit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366,651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173,869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534,755</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169,651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175,790</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(29,733)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(26,951)</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184,748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(190,429)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17,645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18,980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154,785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17,744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10,262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(7,971)</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154,785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187,395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(190,429)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167,819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(52,187)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(60,193)</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102,598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184,748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10,709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(190,429)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107,626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(5,028)</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102,598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102,598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1,124,179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386,392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1,502,208</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470,802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228,264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697,174</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242,522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101,775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337,825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21,979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20,044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42,023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735,303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350,083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1,077,022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388,876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36,309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425,186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(74,741)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(67,119)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419,715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13,306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(433,021)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3,945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345,027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35,148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(433,022)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(64,892)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345,027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424,024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360,294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(81,976)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(89,426)</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263,051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419,715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21,123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(433,021)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270,868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(7,817)</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Parent Company's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263,051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419,715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(433,021)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263,051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1,115,684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322,807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1,430,734</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461,904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173,089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633,457</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236,104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96,317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325,982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20,327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44,099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and related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17,112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17,112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expense (credit)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720,994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310,254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1,023,273</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394,690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407,461</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(59,145)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(53,958)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420,522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(429,348)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2,329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28,260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30,028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361,034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31,143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(429,566)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(23,930)</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361,034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425,833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(429,348)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383,531</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(122,220)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(133,275)</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238,814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20,268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(429,348)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250,256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(11,442)</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238,814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238,814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2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122" w:gutter="0" w:footer="0" w:header="0"/>
          <w:type w:val="continuous"/>
        </w:sectPr>
      </w:pPr>
    </w:p>
    <w:bookmarkStart w:id="29" w:name="page30"/>
    <w:bookmarkEnd w:id="2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106,181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172,233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(168,041)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110,332</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7,780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7,780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7,780</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7,780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7,780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7,780</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113,961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172,233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7,739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(175,821)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118,112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113,961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172,233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(175,821)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115,939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102,598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184,748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10,709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(190,429)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107,626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 (loss)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(1,083)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36,557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36,557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 benefit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37,022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37,820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37,022</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139,620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184,748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48,529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(228,249)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144,648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(6,559)</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139,620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184,748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138,089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263,051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419,715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21,123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(433,021)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270,868</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26,585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(26,585)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26,585</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26,585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(26,585)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26,585</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289,636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419,715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47,708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(459,606)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297,453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(6,736)</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289,636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419,715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(459,606)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290,717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238,814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20,268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(429,348)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250,256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47,684</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gain on interest rate swaps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2,938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2,938</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50,761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50,761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49,629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47,684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49,629</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288,443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420,522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67,952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(477,032)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299,885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(13,364)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(13,364)</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288,443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420,522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286,521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296,928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852,314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(437,627)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(433,038)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278,577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(32,827)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(37,402)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Investment in investees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(87,488)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(87,488)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acquisition of a business, net of cash acquired</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to investment in affiliates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(46,945)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(1,550,189)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896,005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701,129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(46,945)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(1,583,016)</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769,410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701,129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(159,422)</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(242,409)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(242,409)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(6,967)</w:t>
            </w:r>
          </w:p>
        </w:tc>
        <w:tc>
          <w:tcPr>
            <w:tcW w:w="0" w:type="dxa"/>
            <w:vAlign w:val="bottom"/>
          </w:tcPr>
          <w:p>
            <w:pPr>
              <w:spacing w:after="0"/>
              <w:rPr>
                <w:sz w:val="1"/>
                <w:szCs w:val="1"/>
                <w:color w:val="auto"/>
              </w:rPr>
            </w:pPr>
          </w:p>
        </w:tc>
      </w:tr>
      <w:tr>
        <w:trPr>
          <w:trHeight w:val="250"/>
        </w:trPr>
        <w:tc>
          <w:tcPr>
            <w:tcW w:w="470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(253,826)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(263,418)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(3,843)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(732,166)</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323,655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268,091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(144,263)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6,408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584,331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(321,044)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(268,091)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2,885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243,413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169,826</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416,124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258,037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322,282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(429,621)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165,977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(27,480)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(39,936)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and loans to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102,285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(127,727)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40,148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102,285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(155,207)</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(14,706)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(82,936)</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long-term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(110,965)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(13,373)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(13,373)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(244,374)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(244,374)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(12,930)</w:t>
            </w:r>
          </w:p>
        </w:tc>
        <w:tc>
          <w:tcPr>
            <w:tcW w:w="0" w:type="dxa"/>
            <w:vAlign w:val="bottom"/>
          </w:tcPr>
          <w:p>
            <w:pPr>
              <w:spacing w:after="0"/>
              <w:rPr>
                <w:sz w:val="1"/>
                <w:szCs w:val="1"/>
                <w:color w:val="auto"/>
              </w:rPr>
            </w:pPr>
          </w:p>
        </w:tc>
      </w:tr>
      <w:tr>
        <w:trPr>
          <w:trHeight w:val="250"/>
        </w:trPr>
        <w:tc>
          <w:tcPr>
            <w:tcW w:w="470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(368,747)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(384,168)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(8,425)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165,745</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(14,120)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(444,327)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(301,127)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7,976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(444,327)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444,327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9,217</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320,950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159,874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481,389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42,368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146,995</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189,479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13" w:lineRule="exact"/>
        <w:rPr>
          <w:sz w:val="20"/>
          <w:szCs w:val="20"/>
          <w:color w:val="auto"/>
        </w:rPr>
      </w:pPr>
    </w:p>
    <w:p>
      <w:pPr>
        <w:ind w:left="58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level of our revenues;</w:t>
      </w:r>
    </w:p>
    <w:p>
      <w:pPr>
        <w:spacing w:after="0" w:line="117" w:lineRule="exact"/>
        <w:rPr>
          <w:sz w:val="20"/>
          <w:szCs w:val="20"/>
          <w:color w:val="auto"/>
        </w:rPr>
      </w:pPr>
    </w:p>
    <w:p>
      <w:pPr>
        <w:ind w:left="880" w:hanging="310"/>
        <w:spacing w:after="0" w:line="277" w:lineRule="auto"/>
        <w:rPr>
          <w:sz w:val="20"/>
          <w:szCs w:val="20"/>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62" w:lineRule="exact"/>
        <w:rPr>
          <w:sz w:val="20"/>
          <w:szCs w:val="20"/>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programming industries;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117"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consumer demand for our comedy venues;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30"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 including the impact of the Tax Cuts and Jobs Act and the Bipartisan Budget Act of 2018;</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140" w:lineRule="exact"/>
        <w:rPr>
          <w:rFonts w:ascii="Arial" w:cs="Arial" w:eastAsia="Arial" w:hAnsi="Arial"/>
          <w:sz w:val="16"/>
          <w:szCs w:val="16"/>
          <w:color w:val="auto"/>
        </w:rPr>
      </w:pPr>
    </w:p>
    <w:p>
      <w:pPr>
        <w:ind w:left="820" w:hanging="245"/>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62" w:lineRule="exact"/>
        <w:rPr>
          <w:rFonts w:ascii="Arial" w:cs="Arial" w:eastAsia="Arial" w:hAnsi="Arial"/>
          <w:sz w:val="18"/>
          <w:szCs w:val="18"/>
          <w:color w:val="auto"/>
        </w:rPr>
      </w:pPr>
    </w:p>
    <w:p>
      <w:pPr>
        <w:ind w:left="820" w:right="20" w:hanging="245"/>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128" w:lineRule="exact"/>
        <w:rPr>
          <w:rFonts w:ascii="Arial" w:cs="Arial" w:eastAsia="Arial" w:hAnsi="Arial"/>
          <w:sz w:val="17"/>
          <w:szCs w:val="17"/>
          <w:color w:val="auto"/>
        </w:rPr>
      </w:pPr>
    </w:p>
    <w:p>
      <w:pPr>
        <w:ind w:left="820" w:hanging="245"/>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140" w:lineRule="exact"/>
        <w:rPr>
          <w:rFonts w:ascii="Arial" w:cs="Arial" w:eastAsia="Arial" w:hAnsi="Arial"/>
          <w:sz w:val="16"/>
          <w:szCs w:val="16"/>
          <w:color w:val="auto"/>
        </w:rPr>
      </w:pPr>
    </w:p>
    <w:p>
      <w:pPr>
        <w:ind w:left="1060" w:hanging="485"/>
        <w:spacing w:after="0" w:line="277" w:lineRule="auto"/>
        <w:tabs>
          <w:tab w:leader="none" w:pos="81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2017 Annual Report on Form 10-K (the "2017 Form 10-K"), as filed with the Securities and Exchange Commission ("SEC").</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2" w:right="239" w:bottom="1440" w:gutter="0" w:footer="0" w:header="0"/>
        </w:sectPr>
      </w:pPr>
    </w:p>
    <w:bookmarkStart w:id="33" w:name="page34"/>
    <w:bookmarkEnd w:id="33"/>
    <w:p>
      <w:pPr>
        <w:jc w:val="both"/>
        <w:ind w:firstLine="432"/>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2017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 understanding our results of operations and financial condition and in anticipating future trends.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and six months ended June 30,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and six months ended June 30, 2017. Our discussion is presented on both a consolidated and operating segment basis. Our two operating segments are: (i) National Networks and (ii) International and Other.</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 discussion of our financial condition as of June 30, 2018, as well as an analysis of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six months ended June 30, 2018 and 2017. The discussion of our financial condition and liquidity includes summaries of (i) our primary sources of liquidity and (ii) our contractual obligations that existed at June 30, 2018 as compared to December 31, 2017.</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225" w:lineRule="exact"/>
        <w:rPr>
          <w:sz w:val="20"/>
          <w:szCs w:val="20"/>
          <w:color w:val="auto"/>
        </w:rPr>
      </w:pPr>
    </w:p>
    <w:p>
      <w:pPr>
        <w:jc w:val="both"/>
        <w:ind w:left="660" w:hanging="328"/>
        <w:spacing w:after="0" w:line="302" w:lineRule="auto"/>
        <w:tabs>
          <w:tab w:leader="none" w:pos="6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54" w:lineRule="exact"/>
        <w:rPr>
          <w:rFonts w:ascii="Arial" w:cs="Arial" w:eastAsia="Arial" w:hAnsi="Arial"/>
          <w:sz w:val="16"/>
          <w:szCs w:val="16"/>
          <w:i w:val="1"/>
          <w:iCs w:val="1"/>
          <w:color w:val="auto"/>
        </w:rPr>
      </w:pPr>
    </w:p>
    <w:p>
      <w:pPr>
        <w:jc w:val="both"/>
        <w:ind w:left="660" w:hanging="328"/>
        <w:spacing w:after="0" w:line="276" w:lineRule="auto"/>
        <w:tabs>
          <w:tab w:leader="none" w:pos="6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International and Other</w:t>
      </w:r>
      <w:r>
        <w:rPr>
          <w:rFonts w:ascii="Arial" w:cs="Arial" w:eastAsia="Arial" w:hAnsi="Arial"/>
          <w:sz w:val="17"/>
          <w:szCs w:val="17"/>
          <w:color w:val="auto"/>
        </w:rPr>
        <w:t>: Principally includes AMC Networks International (AMCNI), the Company's international programming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a portfolio of channels in Europe, Latin America, the Middle East and parts of Asia and Africa; IFC Films, the Company's independent film distribution business; Levity Entertainment Group ("Levity") (acquired April 20, 2018, see discussion below), our production services and comedy venues company; and our subscription streaming services, Sundance Now and Shudder. AMCNI – DMC, the broadcast solutions unit of certain networks of AMCNI and third-party networks is included through the date sold, July 12,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16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02"/>
        </w:trPr>
        <w:tc>
          <w:tcPr>
            <w:tcW w:w="51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Revenues, net</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627,289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604,923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1,260,317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1,220,070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217,641</w:t>
            </w: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761,385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710,545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1,502,208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1,430,734</w:t>
            </w:r>
          </w:p>
        </w:tc>
        <w:tc>
          <w:tcPr>
            <w:tcW w:w="0" w:type="dxa"/>
            <w:vAlign w:val="bottom"/>
          </w:tcPr>
          <w:p>
            <w:pPr>
              <w:spacing w:after="0"/>
              <w:rPr>
                <w:sz w:val="1"/>
                <w:szCs w:val="1"/>
                <w:color w:val="auto"/>
              </w:rPr>
            </w:pPr>
          </w:p>
        </w:tc>
      </w:tr>
      <w:tr>
        <w:trPr>
          <w:trHeight w:val="20"/>
        </w:trPr>
        <w:tc>
          <w:tcPr>
            <w:tcW w:w="51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gridSpan w:val="5"/>
            <w:vMerge w:val="continue"/>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210,007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461,230</w:t>
            </w: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Consolidated operating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191,531</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175,790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425,186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407,461</w:t>
            </w:r>
          </w:p>
        </w:tc>
        <w:tc>
          <w:tcPr>
            <w:tcW w:w="0" w:type="dxa"/>
            <w:vAlign w:val="bottom"/>
          </w:tcPr>
          <w:p>
            <w:pPr>
              <w:spacing w:after="0"/>
              <w:rPr>
                <w:sz w:val="1"/>
                <w:szCs w:val="1"/>
                <w:color w:val="auto"/>
              </w:rPr>
            </w:pPr>
          </w:p>
        </w:tc>
      </w:tr>
      <w:tr>
        <w:trPr>
          <w:trHeight w:val="190"/>
        </w:trPr>
        <w:tc>
          <w:tcPr>
            <w:tcW w:w="516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AOI</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234,678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232,167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505,552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500,140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43"/>
        </w:trPr>
        <w:tc>
          <w:tcPr>
            <w:tcW w:w="516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AOI</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232,953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228,559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502,281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498,890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and related charges (including gains or losses on sales or dispositions of businesses), and restructuring expense or credit.</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191,531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407,461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19,753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27,595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17,112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44,099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AOI</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232,953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228,559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502,281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498,890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54"/>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b w:val="1"/>
          <w:bCs w:val="1"/>
          <w:i w:val="1"/>
          <w:iCs w:val="1"/>
          <w:color w:val="auto"/>
        </w:rPr>
        <w:t>Items Impacting Comparability</w:t>
      </w:r>
    </w:p>
    <w:p>
      <w:pPr>
        <w:spacing w:after="0" w:line="225"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On April 20, 2018, the Company acquired a 57% controlling interest in Levity, a media company that owns and operates comedy venues as well as produces original content for distribution, for a total purchase price of $48.4 million. The operating results of Levity are included in our International and Other segment in the consolidated statement of income from the acquisition date through June 30, 2018.</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July 12, 2017, the AMCNI – DMC business was sold.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our National Networks segment, which accounted for 84% of our consolidated revenues for the six months ended June 30, 2018, we earn revenue principally from the distribution of our programming and the sale of advertising. Distribution revenue primarily includes subscription fees paid by distributors to carry our programming networks and license fees paid to us for the licensing of original programming for digital, foreign and home video distribution. Subscription fees paid by distributors represent the largest component of distribution revenue. Our subscription revenues are generally based on a per subscriber fee under multi-year contracts, commonly referred to as "affiliation agreements," which generally provide for annual rate increases. The specific subscription revenues we earn vary from period to period, distributor to distributor and also vary among our networks, but are generally based upon the number of each distributor’s subscribers who receive our programming, referred to as viewing subscribers. The terms of certain other affiliation agreements provide that the subscription fee revenues we earn are a fixed contractual monthly fee, which could be adjusted for acquisitions and dispositions of multichannel video programming systems by the distributor. Content licensing revenue from the licensing of original programming for distribution is recognized upon availability or distribution by the licensee.</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advertising arrangements with advertisers provide for a set number of advertising units to air over a specific period of time at a negotiated price per unit for which our programming networks generally guarantee specified viewer ratings for their programming.</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expand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such as origination, transmission, uplinking and encryption.</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The timing of exhibition and distribution of original programming varies from period to period, which results in greater variability in our revenues, earnings and cash flows from operating activities. We will continue to increase our investment in programming across all of our channels.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w:t>
      </w:r>
    </w:p>
    <w:p>
      <w:pPr>
        <w:spacing w:after="0" w:line="17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no future programming usefulness based on actual demand or market conditions, a write-off of the unamortized cost is recorded in technical and operating expense. Program rights write-offs were $3.8 million and $1.4 million for the three months ended June 30, 2018 and June 30, 2017, respectively. Program rights write-offs were $8.4 million and $1.8 million for the six months ended June 30, 2018 and June 30, 2017, respectively.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6" w:right="239" w:bottom="1440" w:gutter="0" w:footer="0" w:header="0"/>
        </w:sectPr>
      </w:pPr>
    </w:p>
    <w:bookmarkStart w:id="36" w:name="page37"/>
    <w:bookmarkEnd w:id="36"/>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International and Other segment primarily includes the operations of AMCNI, Levity, IFC Films and our subscription streaming services (i.e.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Sundance Now and Shudder). The AMCNI – DMC business was sold on July 12, 2017.</w:t>
      </w:r>
    </w:p>
    <w:p>
      <w:pPr>
        <w:spacing w:after="0" w:line="211"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In our International and Other segment, which accounted for 17% of our consolidated revenues for the six months ended June 30, 2018, we earn revenue principally from the international distribution of programming and, to a lesser extent, the sale of advertising. Distribution revenue primarily includes subscription fees paid by distributors to carry our programming networks and production services revenue generated from our Levity business. Our subscription revenues are generally based on either a per-subscriber fee or a fixed contractual annual fee, under multi-year affiliation agreements, which may provide for annual rate increases. Our production services revenues are based on master production agreements whereby a third-party engages us to produce content on its behalf. Production services revenues are recognized based on the percentage of cost incurred to total estimated cost of the contract. For the six months ended June 30, 2018, distribution revenues represented 82% of the revenues of the International and Other segment. Most of these revenues are derived from the distribution of our programming networks primarily in Europe and to a lesser extent, Latin America, the Middle East and parts of Asia and Africa. The International and Other segment also includes IFC Films, our independent film distribution business where revenues are derived principally from theatrical, digital and licensing distribution. Our subscription streaming services are available in the United States, Canada and parts of Europe.</w:t>
      </w:r>
    </w:p>
    <w:p>
      <w:pPr>
        <w:spacing w:after="0" w:line="16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Programming, program operating costs and production costs incurred to produce content for third parties are included in technical and operating expense, and represent the largest expense of the International and Other segment and primarily consist of amortization of acquired content, costs of dubbing and sub-titling of programs,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view our investments in international expansion and our various developing on-line content distribution initiatives as important long-term strategies. We may experience an adverse impact to the International and Other segment's operating results and cash flows in periods of increased investment by the Company in these aforementioned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2018 Compared to Three Months Ended June 30,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1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761,385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710,545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50,840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376,809</w:t>
            </w:r>
          </w:p>
        </w:tc>
        <w:tc>
          <w:tcPr>
            <w:tcW w:w="138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334,845</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41,964</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171,376</w:t>
            </w:r>
          </w:p>
        </w:tc>
        <w:tc>
          <w:tcPr>
            <w:tcW w:w="1380" w:type="dxa"/>
            <w:vAlign w:val="bottom"/>
            <w:gridSpan w:val="3"/>
          </w:tcPr>
          <w:p>
            <w:pPr>
              <w:jc w:val="right"/>
              <w:ind w:right="16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162,273</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9,103</w:t>
            </w:r>
          </w:p>
        </w:tc>
        <w:tc>
          <w:tcPr>
            <w:tcW w:w="1220" w:type="dxa"/>
            <w:vAlign w:val="bottom"/>
            <w:gridSpan w:val="2"/>
          </w:tcPr>
          <w:p>
            <w:pPr>
              <w:jc w:val="right"/>
              <w:ind w:right="154"/>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21,669</w:t>
            </w:r>
          </w:p>
        </w:tc>
        <w:tc>
          <w:tcPr>
            <w:tcW w:w="138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20,606</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17,112</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credit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9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569,854</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534,755</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35,099</w:t>
            </w:r>
          </w:p>
        </w:tc>
        <w:tc>
          <w:tcPr>
            <w:tcW w:w="1220" w:type="dxa"/>
            <w:vAlign w:val="bottom"/>
            <w:gridSpan w:val="2"/>
          </w:tcPr>
          <w:p>
            <w:pPr>
              <w:jc w:val="right"/>
              <w:ind w:right="15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191,531</w:t>
            </w:r>
          </w:p>
        </w:tc>
        <w:tc>
          <w:tcPr>
            <w:tcW w:w="1380" w:type="dxa"/>
            <w:vAlign w:val="bottom"/>
            <w:tcBorders>
              <w:bottom w:val="single" w:sz="8" w:color="CCEEFF"/>
            </w:tcBorders>
            <w:gridSpan w:val="3"/>
            <w:shd w:val="clear" w:color="auto" w:fill="CCEEFF"/>
          </w:tcPr>
          <w:p>
            <w:pPr>
              <w:jc w:val="right"/>
              <w:ind w:right="16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175,790</w:t>
            </w:r>
          </w:p>
        </w:tc>
        <w:tc>
          <w:tcPr>
            <w:tcW w:w="138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15,741</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(33,933)</w:t>
            </w:r>
          </w:p>
        </w:tc>
        <w:tc>
          <w:tcPr>
            <w:tcW w:w="138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(26,951)</w:t>
            </w:r>
          </w:p>
        </w:tc>
        <w:tc>
          <w:tcPr>
            <w:tcW w:w="138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(6,982)</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(14,719)</w:t>
            </w:r>
          </w:p>
        </w:tc>
        <w:tc>
          <w:tcPr>
            <w:tcW w:w="1380" w:type="dxa"/>
            <w:vAlign w:val="bottom"/>
            <w:gridSpan w:val="3"/>
          </w:tcPr>
          <w:p>
            <w:pPr>
              <w:jc w:val="right"/>
              <w:ind w:right="10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18,980</w:t>
            </w:r>
          </w:p>
        </w:tc>
        <w:tc>
          <w:tcPr>
            <w:tcW w:w="1380" w:type="dxa"/>
            <w:vAlign w:val="bottom"/>
            <w:gridSpan w:val="3"/>
          </w:tcPr>
          <w:p>
            <w:pPr>
              <w:jc w:val="right"/>
              <w:ind w:right="14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(33,699)</w:t>
            </w:r>
          </w:p>
        </w:tc>
        <w:tc>
          <w:tcPr>
            <w:tcW w:w="100" w:type="dxa"/>
            <w:vAlign w:val="bottom"/>
          </w:tcPr>
          <w:p>
            <w:pPr>
              <w:spacing w:after="0"/>
              <w:rPr>
                <w:sz w:val="21"/>
                <w:szCs w:val="21"/>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(48,652)</w:t>
            </w:r>
          </w:p>
        </w:tc>
        <w:tc>
          <w:tcPr>
            <w:tcW w:w="138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(7,971)</w:t>
            </w:r>
          </w:p>
        </w:tc>
        <w:tc>
          <w:tcPr>
            <w:tcW w:w="138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122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37"/>
        </w:trPr>
        <w:tc>
          <w:tcPr>
            <w:tcW w:w="3940" w:type="dxa"/>
            <w:vAlign w:val="bottom"/>
          </w:tcPr>
          <w:p>
            <w:pPr>
              <w:ind w:left="380"/>
              <w:spacing w:after="0"/>
              <w:rPr>
                <w:sz w:val="20"/>
                <w:szCs w:val="20"/>
                <w:color w:val="auto"/>
              </w:rPr>
            </w:pPr>
            <w:r>
              <w:rPr>
                <w:rFonts w:ascii="Arial" w:cs="Arial" w:eastAsia="Arial" w:hAnsi="Arial"/>
                <w:sz w:val="18"/>
                <w:szCs w:val="18"/>
                <w:color w:val="auto"/>
                <w:w w:val="91"/>
              </w:rPr>
              <w:t>Net income from operations before income taxes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142,879</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167,819</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(24,940)</w:t>
            </w:r>
          </w:p>
        </w:tc>
        <w:tc>
          <w:tcPr>
            <w:tcW w:w="1220" w:type="dxa"/>
            <w:vAlign w:val="bottom"/>
            <w:gridSpan w:val="2"/>
          </w:tcPr>
          <w:p>
            <w:pPr>
              <w:jc w:val="right"/>
              <w:ind w:right="94"/>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(32,547)</w:t>
            </w:r>
          </w:p>
        </w:tc>
        <w:tc>
          <w:tcPr>
            <w:tcW w:w="138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(60,193)</w:t>
            </w:r>
          </w:p>
        </w:tc>
        <w:tc>
          <w:tcPr>
            <w:tcW w:w="138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27,646</w:t>
            </w:r>
          </w:p>
        </w:tc>
        <w:tc>
          <w:tcPr>
            <w:tcW w:w="122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110,332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107,626</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4"/>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2,706</w:t>
            </w:r>
          </w:p>
        </w:tc>
        <w:tc>
          <w:tcPr>
            <w:tcW w:w="1220" w:type="dxa"/>
            <w:vAlign w:val="bottom"/>
            <w:gridSpan w:val="2"/>
          </w:tcPr>
          <w:p>
            <w:pPr>
              <w:jc w:val="right"/>
              <w:ind w:right="15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38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380" w:type="dxa"/>
            <w:vAlign w:val="bottom"/>
            <w:tcBorders>
              <w:bottom w:val="single" w:sz="8" w:color="CCEEFF"/>
            </w:tcBorders>
            <w:gridSpan w:val="3"/>
            <w:shd w:val="clear" w:color="auto" w:fill="CCEEFF"/>
          </w:tcPr>
          <w:p>
            <w:pPr>
              <w:jc w:val="right"/>
              <w:ind w:right="8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9"/>
        </w:trPr>
        <w:tc>
          <w:tcPr>
            <w:tcW w:w="3940" w:type="dxa"/>
            <w:vAlign w:val="bottom"/>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106,181</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102,598</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color w:val="auto"/>
              </w:rPr>
              <w:t>stockholders</w:t>
            </w: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13.9 %</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14.4 %</w:t>
            </w: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3"/>
          </w:tcPr>
          <w:p>
            <w:pPr>
              <w:jc w:val="right"/>
              <w:ind w:right="52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8" w:name="page39"/>
    <w:bookmarkEnd w:id="38"/>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2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627,289</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604,923</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22,366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285,326</w:t>
            </w:r>
          </w:p>
        </w:tc>
        <w:tc>
          <w:tcPr>
            <w:tcW w:w="138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265,507</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19,819</w:t>
            </w:r>
          </w:p>
        </w:tc>
        <w:tc>
          <w:tcPr>
            <w:tcW w:w="13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38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123,544</w:t>
            </w:r>
          </w:p>
        </w:tc>
        <w:tc>
          <w:tcPr>
            <w:tcW w:w="1380" w:type="dxa"/>
            <w:vAlign w:val="bottom"/>
            <w:gridSpan w:val="3"/>
          </w:tcPr>
          <w:p>
            <w:pPr>
              <w:jc w:val="right"/>
              <w:ind w:right="10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119,460</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4,084</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8,412</w:t>
            </w:r>
          </w:p>
        </w:tc>
        <w:tc>
          <w:tcPr>
            <w:tcW w:w="138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8,430</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3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840" w:type="dxa"/>
            <w:vAlign w:val="bottom"/>
          </w:tcPr>
          <w:p>
            <w:pPr>
              <w:ind w:left="380"/>
              <w:spacing w:after="0"/>
              <w:rPr>
                <w:sz w:val="20"/>
                <w:szCs w:val="20"/>
                <w:color w:val="auto"/>
              </w:rPr>
            </w:pPr>
            <w:r>
              <w:rPr>
                <w:rFonts w:ascii="Arial" w:cs="Arial" w:eastAsia="Arial" w:hAnsi="Arial"/>
                <w:sz w:val="18"/>
                <w:szCs w:val="18"/>
                <w:color w:val="auto"/>
              </w:rPr>
              <w:t>Restructuring credit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2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211,623</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16,259</w:t>
            </w:r>
          </w:p>
        </w:tc>
        <w:tc>
          <w:tcPr>
            <w:tcW w:w="1380" w:type="dxa"/>
            <w:vAlign w:val="bottom"/>
            <w:gridSpan w:val="3"/>
          </w:tcPr>
          <w:p>
            <w:pPr>
              <w:jc w:val="right"/>
              <w:ind w:right="10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12,211</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4,048</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8,412</w:t>
            </w:r>
          </w:p>
        </w:tc>
        <w:tc>
          <w:tcPr>
            <w:tcW w:w="1380" w:type="dxa"/>
            <w:vAlign w:val="bottom"/>
            <w:gridSpan w:val="3"/>
          </w:tcPr>
          <w:p>
            <w:pPr>
              <w:jc w:val="right"/>
              <w:ind w:right="10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8,430</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340" w:type="dxa"/>
            <w:vAlign w:val="bottom"/>
            <w:gridSpan w:val="2"/>
          </w:tcPr>
          <w:p>
            <w:pPr>
              <w:jc w:val="right"/>
              <w:ind w:right="11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234,678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232,167</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Three Months Ended June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3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146,711</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110,844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35,867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96,932</w:t>
            </w:r>
          </w:p>
        </w:tc>
        <w:tc>
          <w:tcPr>
            <w:tcW w:w="13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69,918</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27,014</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47,860</w:t>
            </w:r>
          </w:p>
        </w:tc>
        <w:tc>
          <w:tcPr>
            <w:tcW w:w="1360" w:type="dxa"/>
            <w:vAlign w:val="bottom"/>
            <w:gridSpan w:val="3"/>
          </w:tcPr>
          <w:p>
            <w:pPr>
              <w:jc w:val="right"/>
              <w:ind w:right="159"/>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42,844</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5,016</w:t>
            </w:r>
          </w:p>
        </w:tc>
        <w:tc>
          <w:tcPr>
            <w:tcW w:w="1440" w:type="dxa"/>
            <w:vAlign w:val="bottom"/>
            <w:gridSpan w:val="2"/>
          </w:tcPr>
          <w:p>
            <w:pPr>
              <w:jc w:val="right"/>
              <w:ind w:right="15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13,257</w:t>
            </w:r>
          </w:p>
        </w:tc>
        <w:tc>
          <w:tcPr>
            <w:tcW w:w="13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12,176</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1,081</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17,112</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(11,338)</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(31,222)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19,884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3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573</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17,112</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13,257</w:t>
            </w:r>
          </w:p>
        </w:tc>
        <w:tc>
          <w:tcPr>
            <w:tcW w:w="1360" w:type="dxa"/>
            <w:vAlign w:val="bottom"/>
            <w:gridSpan w:val="3"/>
          </w:tcPr>
          <w:p>
            <w:pPr>
              <w:jc w:val="right"/>
              <w:ind w:right="159"/>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12,176</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1,081</w:t>
            </w:r>
          </w:p>
        </w:tc>
        <w:tc>
          <w:tcPr>
            <w:tcW w:w="1440" w:type="dxa"/>
            <w:vAlign w:val="bottom"/>
            <w:gridSpan w:val="2"/>
          </w:tcPr>
          <w:p>
            <w:pPr>
              <w:jc w:val="right"/>
              <w:ind w:right="15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4,410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439.7 %</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279"/>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Revenues, net increased $50.8 million to $761.4 million for the three months ended June 30, 2018 as compared to the three months ended June 30, 2017. The net change by segment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627,289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604,923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22,366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146,711</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110,844</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35,867</w:t>
            </w:r>
          </w:p>
        </w:tc>
        <w:tc>
          <w:tcPr>
            <w:tcW w:w="1300" w:type="dxa"/>
            <w:vAlign w:val="bottom"/>
            <w:gridSpan w:val="2"/>
          </w:tcPr>
          <w:p>
            <w:pPr>
              <w:jc w:val="right"/>
              <w:ind w:right="99"/>
              <w:spacing w:after="0"/>
              <w:rPr>
                <w:sz w:val="20"/>
                <w:szCs w:val="20"/>
                <w:color w:val="auto"/>
              </w:rPr>
            </w:pPr>
            <w:r>
              <w:rPr>
                <w:rFonts w:ascii="Arial" w:cs="Arial" w:eastAsia="Arial" w:hAnsi="Arial"/>
                <w:sz w:val="18"/>
                <w:szCs w:val="18"/>
                <w:color w:val="auto"/>
              </w:rPr>
              <w:t>32.4</w:t>
            </w:r>
          </w:p>
        </w:tc>
      </w:tr>
      <w:tr>
        <w:trPr>
          <w:trHeight w:val="27"/>
        </w:trPr>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(5,222)</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n/m</w:t>
            </w: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761,385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710,545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50,840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246,829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245,472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1,357</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7"/>
              </w:rPr>
              <w:t>0.6%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380,460</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160"/>
              <w:spacing w:after="0"/>
              <w:rPr>
                <w:sz w:val="20"/>
                <w:szCs w:val="20"/>
                <w:color w:val="auto"/>
              </w:rPr>
            </w:pPr>
            <w:r>
              <w:rPr>
                <w:rFonts w:ascii="Arial" w:cs="Arial" w:eastAsia="Arial" w:hAnsi="Arial"/>
                <w:sz w:val="18"/>
                <w:szCs w:val="18"/>
                <w:color w:val="auto"/>
              </w:rPr>
              <w:t>359,451</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21,009</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5.8</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627,289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604,923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22,366</w:t>
            </w:r>
          </w:p>
        </w:tc>
        <w:tc>
          <w:tcPr>
            <w:tcW w:w="1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7"/>
              </w:rPr>
              <w:t>3.7%</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300" w:hanging="644"/>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of $1.4 million in advertising revenues was primarily driven by increases at WE tv, SundanceTV and IFC, partially offset by a decrease at AMC due to lower ratings, partially offset by pricing. Most of our advertising revenues vary based on the timing of our original programming series and the popularity of our programming as measured by Nielsen. Due to these factors, we expect advertising revenues to vary from quarter to quarter.</w:t>
      </w:r>
    </w:p>
    <w:p>
      <w:pPr>
        <w:spacing w:after="0" w:line="186"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revenues increased $21.0 million due to an increase subscription revenues of $16.4 million across all of our networks resulting from an increase in rates. Content licensing revenues increased $4.6 million primarily at AMC from digital distribution revenues due to an increase in original programming, partially offset by certain programming that became available for distribution in the first quarter of 2018 as compared to the second quarter in 2017. Distribution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23,433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21,373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123,278</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89,471</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33,807</w:t>
            </w:r>
          </w:p>
        </w:tc>
        <w:tc>
          <w:tcPr>
            <w:tcW w:w="1320" w:type="dxa"/>
            <w:vAlign w:val="bottom"/>
            <w:gridSpan w:val="2"/>
          </w:tcPr>
          <w:p>
            <w:pPr>
              <w:jc w:val="right"/>
              <w:ind w:right="108"/>
              <w:spacing w:after="0"/>
              <w:rPr>
                <w:sz w:val="20"/>
                <w:szCs w:val="20"/>
                <w:color w:val="auto"/>
              </w:rPr>
            </w:pPr>
            <w:r>
              <w:rPr>
                <w:rFonts w:ascii="Arial" w:cs="Arial" w:eastAsia="Arial" w:hAnsi="Arial"/>
                <w:sz w:val="18"/>
                <w:szCs w:val="18"/>
                <w:color w:val="auto"/>
              </w:rPr>
              <w:t>37.8</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146,711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110,844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35,867</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firstLine="405"/>
        <w:spacing w:after="0" w:line="276" w:lineRule="auto"/>
        <w:rPr>
          <w:sz w:val="20"/>
          <w:szCs w:val="20"/>
          <w:color w:val="auto"/>
        </w:rPr>
      </w:pPr>
      <w:r>
        <w:rPr>
          <w:rFonts w:ascii="Arial" w:cs="Arial" w:eastAsia="Arial" w:hAnsi="Arial"/>
          <w:sz w:val="17"/>
          <w:szCs w:val="17"/>
          <w:color w:val="auto"/>
        </w:rPr>
        <w:t>The increase in advertising revenues of $2.1 million was primarily due to increased demand in certain international markets. Foreign currency translation had a favorable impact of $1.1 million on advertising revenues. Distribution revenue increased primarily due to the $29.6 million impact from the Levity acquisition which occurred on April 20, 2018. In addition, the increase in distribution revenue included an increase of $2.6 million at IFC Films and $2.1 million from our subscription streaming services. Foreign currency translation had a favorable impact to distribution revenues of $4.6 million which was offset by a decrease of $5.3 million due to the absence of revenue from the sale of AMCNI – DMC (sold in July 2017).</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ectPr>
          <w:pgSz w:w="11900" w:h="16838" w:orient="portrait"/>
          <w:cols w:equalWidth="0" w:num="1">
            <w:col w:w="11420"/>
          </w:cols>
          <w:pgMar w:left="240" w:top="472"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72" w:right="239" w:bottom="1440" w:gutter="0" w:footer="0" w:header="0"/>
          <w:type w:val="continuous"/>
        </w:sectPr>
      </w:pPr>
    </w:p>
    <w:bookmarkStart w:id="40" w:name="page41"/>
    <w:bookmarkEnd w:id="40"/>
    <w:p>
      <w:pPr>
        <w:ind w:left="440"/>
        <w:spacing w:after="0"/>
        <w:rPr>
          <w:sz w:val="20"/>
          <w:szCs w:val="20"/>
          <w:color w:val="auto"/>
        </w:rPr>
      </w:pPr>
      <w:r>
        <w:rPr>
          <w:rFonts w:ascii="Arial" w:cs="Arial" w:eastAsia="Arial" w:hAnsi="Arial"/>
          <w:sz w:val="17"/>
          <w:szCs w:val="17"/>
          <w:color w:val="auto"/>
        </w:rPr>
        <w:t>Technical and operating expense (excluding depreciation and amortization) increased $42.0 million to $376.8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2018 as compared to the three months ended June 30, 2017. The net change by segment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285,326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265,507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19,819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96,932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69,918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27,014</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38.6</w:t>
            </w:r>
          </w:p>
        </w:tc>
      </w:tr>
      <w:tr>
        <w:trPr>
          <w:trHeight w:val="27"/>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(5,449)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6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839.5</w:t>
            </w:r>
          </w:p>
        </w:tc>
      </w:tr>
      <w:tr>
        <w:trPr>
          <w:trHeight w:val="297"/>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376,809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334,845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41,964</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
        </w:trPr>
        <w:tc>
          <w:tcPr>
            <w:tcW w:w="5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increase in technical and operating expense was primarily attributable to an increase of $10.9 million in program rights amortization expense and an increase of $8.9 million in other direct programming costs. Program rights amortization expense includes write-offs of $3.8 million for the three months ended June 30, 2018 primarily based on management's assessment of programming usefulness of certain development costs at AMC and unscripted series at WEtv, as compared to program rights write-offs of $1.4 million for the three months ended June 30, 2017.</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Technical and operating expense increased primarily due to the $20.7 million impact from the acquisition of Levity, which occurred on April 20, 2018. In addition, investment in programming and other direct programming costs, including transmission, increased $6.2 million at AMCNI and $1.9 million at our subscription streaming services, partially offset by the absence of $2.8 million in costs related to AMCNI – DMC (sold in July 2017). Foreign currency translation had an unfavorable impact to the change in technical and operating expense of $3.0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facilities.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increased $9.1 million to $171.4 million for the three months ended June 30, 2018, as compared to the three months ended June 30, 2017.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123,544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119,460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4,084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47,860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42,844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5,016</w:t>
            </w:r>
          </w:p>
        </w:tc>
        <w:tc>
          <w:tcPr>
            <w:tcW w:w="1680" w:type="dxa"/>
            <w:vAlign w:val="bottom"/>
            <w:gridSpan w:val="2"/>
          </w:tcPr>
          <w:p>
            <w:pPr>
              <w:jc w:val="right"/>
              <w:ind w:right="148"/>
              <w:spacing w:after="0"/>
              <w:rPr>
                <w:sz w:val="20"/>
                <w:szCs w:val="20"/>
                <w:color w:val="auto"/>
              </w:rPr>
            </w:pPr>
            <w:r>
              <w:rPr>
                <w:rFonts w:ascii="Arial" w:cs="Arial" w:eastAsia="Arial" w:hAnsi="Arial"/>
                <w:sz w:val="18"/>
                <w:szCs w:val="18"/>
                <w:color w:val="auto"/>
              </w:rPr>
              <w:t>11.7</w:t>
            </w:r>
          </w:p>
        </w:tc>
      </w:tr>
      <w:tr>
        <w:trPr>
          <w:trHeight w:val="27"/>
        </w:trPr>
        <w:tc>
          <w:tcPr>
            <w:tcW w:w="5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6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(9.7)</w:t>
            </w:r>
          </w:p>
        </w:tc>
      </w:tr>
      <w:tr>
        <w:trPr>
          <w:trHeight w:val="297"/>
        </w:trPr>
        <w:tc>
          <w:tcPr>
            <w:tcW w:w="5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171,376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162,273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9,103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5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Selling, general and administrative expense increased $4.1 million principally as a result of a $6.3 million increase in general and administrative costs, including $3.5 million for long-term incentive compensation expense and an increase of $1.2 million in corporate overhead, partially offset by a decrease in sales and marketing related costs of $2.8 million related to timing of the promotion and marketing of original programming.</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76" w:right="239" w:bottom="1440" w:gutter="0" w:footer="0" w:header="0"/>
          <w:type w:val="continuous"/>
        </w:sectPr>
      </w:pPr>
    </w:p>
    <w:bookmarkStart w:id="41" w:name="page42"/>
    <w:bookmarkEnd w:id="41"/>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Selling, general and administrative expense increased $5.0 million primarily due to the $6.8 million impact from the acquisition of Levity, which occurred on April 20, 2018. In addition, increases in selling, general and administrative expense across the segment were offset by a decrease at AMCNI due to the absence of costs related to AMCNI – DMC (sold in July 2017). Foreign currency translation had an unfavorable impact to the change in selling, general and administrative expense of $1.4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Depreciation and amortization expense increased $1.1 million to $21.7 million for the three months ended June 30, 2018, as compared to the three months ended June 30, 2017.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13,257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12,176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1,081</w:t>
            </w:r>
          </w:p>
        </w:tc>
        <w:tc>
          <w:tcPr>
            <w:tcW w:w="1720" w:type="dxa"/>
            <w:vAlign w:val="bottom"/>
            <w:gridSpan w:val="2"/>
          </w:tcPr>
          <w:p>
            <w:pPr>
              <w:jc w:val="right"/>
              <w:ind w:right="168"/>
              <w:spacing w:after="0"/>
              <w:rPr>
                <w:sz w:val="20"/>
                <w:szCs w:val="20"/>
                <w:color w:val="auto"/>
              </w:rPr>
            </w:pPr>
            <w:r>
              <w:rPr>
                <w:rFonts w:ascii="Arial" w:cs="Arial" w:eastAsia="Arial" w:hAnsi="Arial"/>
                <w:sz w:val="18"/>
                <w:szCs w:val="18"/>
                <w:color w:val="auto"/>
              </w:rPr>
              <w:t>8.9</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21,669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20,606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depreciation and amortization expense in the International and Other segment was attributable to an increase in depreciation expense due to leasehold additions and, to a lesser extent, depreciation on property and equipment acquired in connection with the acquisition of Levity in April 2018, partially offset by the absence of depreciation expense from AMCNI – DMC (sold in July 2017). Amortization expense increased primarily related to the identifiable intangible assets recorded in connection with the Levity acquisition.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and related charges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June 2017, we recognized a pre-tax impairment charge of $17.1 million for the three months ended June 30, 2017 to reflect the AMCNI – DMC assets held for sale at fair value less estimated sale costs.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210,007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211,623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19,884</w:t>
            </w:r>
          </w:p>
        </w:tc>
        <w:tc>
          <w:tcPr>
            <w:tcW w:w="1720" w:type="dxa"/>
            <w:vAlign w:val="bottom"/>
            <w:gridSpan w:val="2"/>
          </w:tcPr>
          <w:p>
            <w:pPr>
              <w:jc w:val="right"/>
              <w:ind w:right="108"/>
              <w:spacing w:after="0"/>
              <w:rPr>
                <w:sz w:val="20"/>
                <w:szCs w:val="20"/>
                <w:color w:val="auto"/>
              </w:rPr>
            </w:pPr>
            <w:r>
              <w:rPr>
                <w:rFonts w:ascii="Arial" w:cs="Arial" w:eastAsia="Arial" w:hAnsi="Arial"/>
                <w:sz w:val="18"/>
                <w:szCs w:val="18"/>
                <w:color w:val="auto"/>
              </w:rPr>
              <w:t>(63.7)</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54.8</w:t>
            </w:r>
          </w:p>
        </w:tc>
      </w:tr>
      <w:tr>
        <w:trPr>
          <w:trHeight w:val="257"/>
        </w:trPr>
        <w:tc>
          <w:tcPr>
            <w:tcW w:w="50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191,531</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175,790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15,741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9.0 %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 decrease in operating income at the National Networks segment was primarily attributable to an increase in technical and operating expense of $19.8 million and an increase in selling, general and administrative expense of $4.1 million, partially offset by an increase in revenues of $22.4 million.</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decrease in operating losses at the International and Other segment was primarily attributable to the absence of the AMCNI – DMC impairment charge of $17.1 million and an increase in revenues of $35.9 million, partially offset by an increase in technical and operating expense of $27.0 million and an increase in selling, general and administrative expense of $5.0 million. Foreign currency translation had a favorable impact to the change in operating income of $0.8 million. Operating income for the three months ended June 30, 2018 includes $1.2 million from the results of Levity from the date of acquisition (April 20, 2018).</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76" w:right="2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191,531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175,790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15,741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19,753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4,621</w:t>
            </w:r>
          </w:p>
        </w:tc>
        <w:tc>
          <w:tcPr>
            <w:tcW w:w="1660" w:type="dxa"/>
            <w:vAlign w:val="bottom"/>
            <w:gridSpan w:val="2"/>
          </w:tcPr>
          <w:p>
            <w:pPr>
              <w:jc w:val="right"/>
              <w:ind w:right="96"/>
              <w:spacing w:after="0"/>
              <w:rPr>
                <w:sz w:val="20"/>
                <w:szCs w:val="20"/>
                <w:color w:val="auto"/>
              </w:rPr>
            </w:pPr>
            <w:r>
              <w:rPr>
                <w:rFonts w:ascii="Arial" w:cs="Arial" w:eastAsia="Arial" w:hAnsi="Arial"/>
                <w:sz w:val="18"/>
                <w:szCs w:val="18"/>
                <w:color w:val="auto"/>
              </w:rPr>
              <w:t>30.5</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n/m</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1560" w:type="dxa"/>
            <w:vAlign w:val="bottom"/>
          </w:tcPr>
          <w:p>
            <w:pPr>
              <w:jc w:val="right"/>
              <w:ind w:right="96"/>
              <w:spacing w:after="0"/>
              <w:rPr>
                <w:sz w:val="20"/>
                <w:szCs w:val="20"/>
                <w:color w:val="auto"/>
              </w:rPr>
            </w:pPr>
            <w:r>
              <w:rPr>
                <w:rFonts w:ascii="Arial" w:cs="Arial" w:eastAsia="Arial" w:hAnsi="Arial"/>
                <w:sz w:val="18"/>
                <w:szCs w:val="18"/>
                <w:color w:val="auto"/>
              </w:rPr>
              <w:t>n/m</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1,063</w:t>
            </w:r>
          </w:p>
        </w:tc>
        <w:tc>
          <w:tcPr>
            <w:tcW w:w="16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5.2</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AOI</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232,953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228,559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4,394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AOI increased $4.4 million for the three months ended June 30, 2018 as compared to the three months ended June 30, 2017. the increase is primarily due to a shift in long-term incentive compensation from cash to equity-based awards. The net change by segment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2,511</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4,410</w:t>
            </w:r>
          </w:p>
        </w:tc>
        <w:tc>
          <w:tcPr>
            <w:tcW w:w="1660" w:type="dxa"/>
            <w:vAlign w:val="bottom"/>
            <w:gridSpan w:val="2"/>
          </w:tcPr>
          <w:p>
            <w:pPr>
              <w:jc w:val="right"/>
              <w:ind w:right="108"/>
              <w:spacing w:after="0"/>
              <w:rPr>
                <w:sz w:val="20"/>
                <w:szCs w:val="20"/>
                <w:color w:val="auto"/>
              </w:rPr>
            </w:pPr>
            <w:r>
              <w:rPr>
                <w:rFonts w:ascii="Arial" w:cs="Arial" w:eastAsia="Arial" w:hAnsi="Arial"/>
                <w:sz w:val="18"/>
                <w:szCs w:val="18"/>
                <w:color w:val="auto"/>
              </w:rPr>
              <w:t>439.7</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6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54.8</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AOI</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232,953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228,559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4,394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National Networks AOI increased principally due to an increase in revenues of $22.4 million, partially offset by an increase in technical and operating expenses of $19.8 million resulting primarily from an increase in program rights amortization.</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International and Other AOI increased $2.1 million due to the impact of the Levity acquisition which occurred on April 20, 2018 and $2.2 million due to the absence of the AOI loss at AMCNI – DMC as a result of the changes in revenues and operating expenses discussed above. Foreign currency translation had a favorable impact on the change in AOI of $1.7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 result of the factors discussed above impacting the variability in revenues and operating expenses, we expect AOI to vary from quarter to quarter.</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increase in interest expense, net of $7.0 million is driven by an increase in interest expense of $8.5 million primarily as a result of the issuance of our $800 million aggregate principal amounts of 4.75% Senior Notes due 2025 on July 28, 2017, partially offset by an increase in interest income of $1.6 million for the three months ended June 30, 2018, in connection with increased cash balances as compared to the same period in 2017 as well as interest income earned on term loans entered into with RLJ Entertainment, Inc. ("RLJE") in October 2016 and fuboTV Inc. ("fuboTV") in April 2018.</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decrease in miscellaneous, net of $33.7 million for the three months ended June 30, 2018 as compared to the three months ended June 30, 2017 is primarily driven by $12.8 million in an unfavorable variance in foreign currency transactions gains and losses, an impairment charge of $10.0 million for the partial write-down of one of our non-marketable equity securities and a decrease of $9.6 million in gains recorded in 2017 driven by an increase in the fair market value of RLJE common shares held by the Company which started to be recognized during the second quarter 2017 upon meeting the criteria to be accounted for as an equity method investment following the exercise of warrants, for which we have elected the fair value option.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June 30, 2018, income tax expense was $32.5 million representing an effective tax rate of 23%. The effective tax rate differs from the federal statutory rate of 21% due primarily to state and local income tax expense of $2.3 million.</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Tax Cuts and Jobs Act ("TCJA") was enacted on December 22, 2017. The TCJA introduces significant changes in tax law, with certain provisions being effective for the year ended December 31, 2017, however most are effective for tax years beginning after December 31, 2017. Companies are required to recognize the effect of tax law changes in the period of enactment, however, due to the complexities involved in accounting for the enactment of TCJA, SEC Staff Accounting Bulletin ("SAB") 118</w:t>
      </w:r>
    </w:p>
    <w:p>
      <w:pPr>
        <w:sectPr>
          <w:pgSz w:w="11900" w:h="16838" w:orient="portrait"/>
          <w:cols w:equalWidth="0" w:num="1">
            <w:col w:w="11420"/>
          </w:cols>
          <w:pgMar w:left="240" w:top="47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72" w:right="239" w:bottom="1440" w:gutter="0" w:footer="0" w:header="0"/>
          <w:type w:val="continuous"/>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allows us to record provisional amounts to reflect the impacts of the TCJA during a one year "measurement period". The Company has recorded a provisional amount related to the one-time transition tax in the year ended December 31, 2017 and a discrete tax expense related to valuation allowance in the period ended March 31, 2018, resulting from an updated assessment in response to guidance contained in a recently issued IRS notice. There has been no change to either amount as of June 30, 2018.</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will continue to analyze the effects of the TCJA on its financial statements and operations. Additional impacts from the enactment of the TCJA will be recorded as they are identified during the measurement period as provided for in SAB 118.</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Judgment is required in determining the provision for income taxes and related accruals, deferred tax assets and liabilities. Consequently, changes in our estimates regarding uncertain tax positions and the realization of deferred tax assets will impact our results of operations and financial position. Deferred tax assets are evaluated quarterly for expected future realization and reduced by a valuation allowance to the extent management believes it is more likely than not that a portion will not be realized. See Note 11 to the accompanying condensed consolidated financial statements for further discussion of the Company's income taxes.</w:t>
      </w:r>
    </w:p>
    <w:p>
      <w:pPr>
        <w:spacing w:after="0" w:line="18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the three months ended June 30, 2017, income tax expense was $60.2 million representing an effective tax rate of 36%. The effective tax rate differs from the federal statutory rate of 35% due primarily to tax expense of $5.2 million resulting from an increase in the valuation allowances for foreign and local taxes; state and local income tax expense of $2.6 million; partially offset by a tax benefit from the domestic production activities deduction of $4.4 million; and a tax benefit from foreign subsidiary earnings indefinitely reinvested outside the U.S. of $2.6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2018 Compared to Six Months Ended June 30,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1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1,502,208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1,430,734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71,474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Technical and operating (excluding depreciation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697,174</w:t>
            </w:r>
          </w:p>
        </w:tc>
        <w:tc>
          <w:tcPr>
            <w:tcW w:w="138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633,457</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63,717</w:t>
            </w:r>
          </w:p>
        </w:tc>
        <w:tc>
          <w:tcPr>
            <w:tcW w:w="12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337,825</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325,982</w:t>
            </w:r>
          </w:p>
        </w:tc>
        <w:tc>
          <w:tcPr>
            <w:tcW w:w="1380" w:type="dxa"/>
            <w:vAlign w:val="bottom"/>
            <w:gridSpan w:val="3"/>
          </w:tcPr>
          <w:p>
            <w:pPr>
              <w:jc w:val="right"/>
              <w:ind w:right="148"/>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11,843</w:t>
            </w:r>
          </w:p>
        </w:tc>
        <w:tc>
          <w:tcPr>
            <w:tcW w:w="1220" w:type="dxa"/>
            <w:vAlign w:val="bottom"/>
            <w:gridSpan w:val="2"/>
          </w:tcPr>
          <w:p>
            <w:pPr>
              <w:jc w:val="right"/>
              <w:ind w:right="156"/>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42,023</w:t>
            </w:r>
          </w:p>
        </w:tc>
        <w:tc>
          <w:tcPr>
            <w:tcW w:w="138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44,099</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2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17,112</w:t>
            </w:r>
          </w:p>
        </w:tc>
        <w:tc>
          <w:tcPr>
            <w:tcW w:w="1380" w:type="dxa"/>
            <w:vAlign w:val="bottom"/>
            <w:gridSpan w:val="3"/>
          </w:tcPr>
          <w:p>
            <w:pPr>
              <w:jc w:val="right"/>
              <w:ind w:right="148"/>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112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9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1,077,022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2"/>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1,023,273</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53,749</w:t>
            </w:r>
          </w:p>
        </w:tc>
        <w:tc>
          <w:tcPr>
            <w:tcW w:w="1220" w:type="dxa"/>
            <w:vAlign w:val="bottom"/>
            <w:gridSpan w:val="2"/>
          </w:tcPr>
          <w:p>
            <w:pPr>
              <w:jc w:val="right"/>
              <w:ind w:right="156"/>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425,186</w:t>
            </w:r>
          </w:p>
        </w:tc>
        <w:tc>
          <w:tcPr>
            <w:tcW w:w="138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407,461</w:t>
            </w:r>
          </w:p>
        </w:tc>
        <w:tc>
          <w:tcPr>
            <w:tcW w:w="13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17,725</w:t>
            </w:r>
          </w:p>
        </w:tc>
        <w:tc>
          <w:tcPr>
            <w:tcW w:w="12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1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(53,958)</w:t>
            </w:r>
          </w:p>
        </w:tc>
        <w:tc>
          <w:tcPr>
            <w:tcW w:w="13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12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2,227</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30,028</w:t>
            </w:r>
          </w:p>
        </w:tc>
        <w:tc>
          <w:tcPr>
            <w:tcW w:w="1380" w:type="dxa"/>
            <w:vAlign w:val="bottom"/>
            <w:gridSpan w:val="3"/>
          </w:tcPr>
          <w:p>
            <w:pPr>
              <w:jc w:val="right"/>
              <w:ind w:right="14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(27,801)</w:t>
            </w:r>
          </w:p>
        </w:tc>
        <w:tc>
          <w:tcPr>
            <w:tcW w:w="1220" w:type="dxa"/>
            <w:vAlign w:val="bottom"/>
            <w:gridSpan w:val="2"/>
          </w:tcPr>
          <w:p>
            <w:pPr>
              <w:jc w:val="right"/>
              <w:ind w:right="96"/>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(64,892)</w:t>
            </w:r>
          </w:p>
        </w:tc>
        <w:tc>
          <w:tcPr>
            <w:tcW w:w="1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(23,930)</w:t>
            </w:r>
          </w:p>
        </w:tc>
        <w:tc>
          <w:tcPr>
            <w:tcW w:w="13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(40,962)</w:t>
            </w:r>
          </w:p>
        </w:tc>
        <w:tc>
          <w:tcPr>
            <w:tcW w:w="122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09"/>
        </w:trPr>
        <w:tc>
          <w:tcPr>
            <w:tcW w:w="3920" w:type="dxa"/>
            <w:vAlign w:val="bottom"/>
          </w:tcPr>
          <w:p>
            <w:pPr>
              <w:ind w:left="380"/>
              <w:spacing w:after="0"/>
              <w:rPr>
                <w:sz w:val="20"/>
                <w:szCs w:val="20"/>
                <w:color w:val="auto"/>
              </w:rPr>
            </w:pPr>
            <w:r>
              <w:rPr>
                <w:rFonts w:ascii="Arial" w:cs="Arial" w:eastAsia="Arial" w:hAnsi="Arial"/>
                <w:sz w:val="18"/>
                <w:szCs w:val="18"/>
                <w:color w:val="auto"/>
              </w:rPr>
              <w:t>Net income from operations before income</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38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360,294</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383,531</w:t>
            </w:r>
          </w:p>
        </w:tc>
        <w:tc>
          <w:tcPr>
            <w:tcW w:w="1380" w:type="dxa"/>
            <w:vAlign w:val="bottom"/>
            <w:gridSpan w:val="3"/>
          </w:tcPr>
          <w:p>
            <w:pPr>
              <w:jc w:val="right"/>
              <w:ind w:right="148"/>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(23,237)</w:t>
            </w:r>
          </w:p>
        </w:tc>
        <w:tc>
          <w:tcPr>
            <w:tcW w:w="1220" w:type="dxa"/>
            <w:vAlign w:val="bottom"/>
            <w:gridSpan w:val="2"/>
          </w:tcPr>
          <w:p>
            <w:pPr>
              <w:jc w:val="right"/>
              <w:ind w:right="96"/>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(89,426)</w:t>
            </w:r>
          </w:p>
        </w:tc>
        <w:tc>
          <w:tcPr>
            <w:tcW w:w="1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(133,275)</w:t>
            </w:r>
          </w:p>
        </w:tc>
        <w:tc>
          <w:tcPr>
            <w:tcW w:w="13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43,849</w:t>
            </w:r>
          </w:p>
        </w:tc>
        <w:tc>
          <w:tcPr>
            <w:tcW w:w="122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270,868</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250,256</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20,612</w:t>
            </w:r>
          </w:p>
        </w:tc>
        <w:tc>
          <w:tcPr>
            <w:tcW w:w="1220" w:type="dxa"/>
            <w:vAlign w:val="bottom"/>
            <w:gridSpan w:val="2"/>
          </w:tcPr>
          <w:p>
            <w:pPr>
              <w:jc w:val="right"/>
              <w:ind w:right="156"/>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1380" w:type="dxa"/>
            <w:vAlign w:val="bottom"/>
            <w:tcBorders>
              <w:bottom w:val="single" w:sz="8" w:color="CCEEFF"/>
            </w:tcBorders>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(11,442)</w:t>
            </w:r>
          </w:p>
        </w:tc>
        <w:tc>
          <w:tcPr>
            <w:tcW w:w="138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9"/>
        </w:trPr>
        <w:tc>
          <w:tcPr>
            <w:tcW w:w="3920" w:type="dxa"/>
            <w:vAlign w:val="bottom"/>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263,051</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238,814</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24,237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stockholders</w:t>
            </w:r>
          </w:p>
        </w:tc>
        <w:tc>
          <w:tcPr>
            <w:tcW w:w="2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16.7 %</w:t>
            </w: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76" w:right="239" w:bottom="1440" w:gutter="0" w:footer="0" w:header="0"/>
        </w:sectPr>
      </w:pPr>
    </w:p>
    <w:bookmarkStart w:id="44" w:name="page45"/>
    <w:bookmarkEnd w:id="44"/>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2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1,260,317</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1,220,070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40,247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535,113</w:t>
            </w:r>
          </w:p>
        </w:tc>
        <w:tc>
          <w:tcPr>
            <w:tcW w:w="136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499,315</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35,798</w:t>
            </w:r>
          </w:p>
        </w:tc>
        <w:tc>
          <w:tcPr>
            <w:tcW w:w="13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248,438</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242,734</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5,704</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136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16,834</w:t>
            </w:r>
          </w:p>
        </w:tc>
        <w:tc>
          <w:tcPr>
            <w:tcW w:w="136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3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Restructuring credit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459,859</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461,230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28,786</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22,119</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6,667</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16,907</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16,834</w:t>
            </w:r>
          </w:p>
        </w:tc>
        <w:tc>
          <w:tcPr>
            <w:tcW w:w="1360" w:type="dxa"/>
            <w:vAlign w:val="bottom"/>
            <w:gridSpan w:val="3"/>
          </w:tcPr>
          <w:p>
            <w:pPr>
              <w:jc w:val="right"/>
              <w:ind w:right="14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340" w:type="dxa"/>
            <w:vAlign w:val="bottom"/>
            <w:gridSpan w:val="2"/>
          </w:tcPr>
          <w:p>
            <w:pPr>
              <w:jc w:val="right"/>
              <w:ind w:right="15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505,552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500,140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41.0 %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5,412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3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258,101</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217,641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40,460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171,694</w:t>
            </w:r>
          </w:p>
        </w:tc>
        <w:tc>
          <w:tcPr>
            <w:tcW w:w="13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137,756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33,938</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89,442</w:t>
            </w:r>
          </w:p>
        </w:tc>
        <w:tc>
          <w:tcPr>
            <w:tcW w:w="1360" w:type="dxa"/>
            <w:vAlign w:val="bottom"/>
            <w:gridSpan w:val="3"/>
          </w:tcPr>
          <w:p>
            <w:pPr>
              <w:jc w:val="right"/>
              <w:ind w:right="159"/>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83,281</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6,161</w:t>
            </w:r>
          </w:p>
        </w:tc>
        <w:tc>
          <w:tcPr>
            <w:tcW w:w="1440" w:type="dxa"/>
            <w:vAlign w:val="bottom"/>
            <w:gridSpan w:val="2"/>
          </w:tcPr>
          <w:p>
            <w:pPr>
              <w:jc w:val="right"/>
              <w:ind w:right="15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25,116</w:t>
            </w:r>
          </w:p>
        </w:tc>
        <w:tc>
          <w:tcPr>
            <w:tcW w:w="13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14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17,112</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(28,151)</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(50,439)</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22,288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136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w:t>
            </w:r>
          </w:p>
        </w:tc>
        <w:tc>
          <w:tcPr>
            <w:tcW w:w="14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2,666</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17,112</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25,116</w:t>
            </w:r>
          </w:p>
        </w:tc>
        <w:tc>
          <w:tcPr>
            <w:tcW w:w="1360" w:type="dxa"/>
            <w:vAlign w:val="bottom"/>
            <w:gridSpan w:val="3"/>
          </w:tcPr>
          <w:p>
            <w:pPr>
              <w:jc w:val="right"/>
              <w:ind w:right="159"/>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27,265</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(2,149)</w:t>
            </w:r>
          </w:p>
        </w:tc>
        <w:tc>
          <w:tcPr>
            <w:tcW w:w="1440" w:type="dxa"/>
            <w:vAlign w:val="bottom"/>
            <w:gridSpan w:val="2"/>
          </w:tcPr>
          <w:p>
            <w:pPr>
              <w:jc w:val="right"/>
              <w:ind w:right="9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56.3 %</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279"/>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Revenues, net increased $71.5 million to $1,502.2 million for the six months ended June 30, 2018 as compared to the six months ended June 30,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change by segment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1,260,317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1,220,070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40,247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258,101</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217,641</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40,460</w:t>
            </w:r>
          </w:p>
        </w:tc>
        <w:tc>
          <w:tcPr>
            <w:tcW w:w="1300" w:type="dxa"/>
            <w:vAlign w:val="bottom"/>
            <w:gridSpan w:val="2"/>
          </w:tcPr>
          <w:p>
            <w:pPr>
              <w:jc w:val="right"/>
              <w:ind w:right="99"/>
              <w:spacing w:after="0"/>
              <w:rPr>
                <w:sz w:val="20"/>
                <w:szCs w:val="20"/>
                <w:color w:val="auto"/>
              </w:rPr>
            </w:pPr>
            <w:r>
              <w:rPr>
                <w:rFonts w:ascii="Arial" w:cs="Arial" w:eastAsia="Arial" w:hAnsi="Arial"/>
                <w:sz w:val="18"/>
                <w:szCs w:val="18"/>
                <w:color w:val="auto"/>
              </w:rPr>
              <w:t>18.6</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n/m</w:t>
            </w: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1,502,208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1,430,734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71,474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472,559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493,014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787,758</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727,056</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60,702</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8.3</w:t>
            </w:r>
          </w:p>
        </w:tc>
      </w:tr>
      <w:tr>
        <w:trPr>
          <w:trHeight w:val="27"/>
        </w:trPr>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1,260,317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1,220,070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40,247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300" w:hanging="644"/>
        <w:spacing w:after="0" w:line="259"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decrease of $20.5 million in advertising revenues was driven by a decrease of $31.6 million at AMC due to lower ratings, partially offset by pricing. The decrease at AMC was partially offset by increases at our other networks. Most of our advertising revenues vary based on the timing of our original programming series and the popularity of our programming as measured by Nielsen. Due to these factors, we expect advertising revenues to vary from quarter to quarter.</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 revenues increased $60.7 million due to an increase in content licensing revenues of $36.3 million primarily from increased digital revenues at AMC due to an increase in original programming we distribute. Subscription revenues increased $24.4 million across all of our networks resulting from an increase in rates. Distribution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4"/>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45,943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41,443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3"/>
              </w:rPr>
              <w:t>10.9%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212,158</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176,198</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35,960</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20.4</w:t>
            </w:r>
          </w:p>
        </w:tc>
      </w:tr>
      <w:tr>
        <w:trPr>
          <w:trHeight w:val="27"/>
        </w:trPr>
        <w:tc>
          <w:tcPr>
            <w:tcW w:w="3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258,101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217,641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40,460</w:t>
            </w:r>
          </w:p>
        </w:tc>
        <w:tc>
          <w:tcPr>
            <w:tcW w:w="13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3"/>
              </w:rPr>
              <w:t>18.6%</w:t>
            </w:r>
          </w:p>
        </w:tc>
      </w:tr>
      <w:tr>
        <w:trPr>
          <w:trHeight w:val="20"/>
        </w:trPr>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firstLine="405"/>
        <w:spacing w:after="0" w:line="257" w:lineRule="auto"/>
        <w:rPr>
          <w:sz w:val="20"/>
          <w:szCs w:val="20"/>
          <w:color w:val="auto"/>
        </w:rPr>
      </w:pPr>
      <w:r>
        <w:rPr>
          <w:rFonts w:ascii="Arial" w:cs="Arial" w:eastAsia="Arial" w:hAnsi="Arial"/>
          <w:sz w:val="18"/>
          <w:szCs w:val="18"/>
          <w:color w:val="auto"/>
        </w:rPr>
        <w:t>The increase of $4.5 million in advertising revenues was principally due to the favorable impact of foreign currency translation of $3.4 million as well as increased demand in certain international markets. Distribution revenues increased primarily due to the$29.6 million impact from the Levity acquisition, which occurred on April 20, 2018. In addition, distribution revenues increased $4.8 million from our subscription streaming services. Foreign currency translation had a favorable impact to distribution revenue of $13.8 million which was partially offset by a decrease of $10.7 million due to the absence of revenue from the sale of AMCNI – DMC (sold in July 2017).</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pacing w:after="0" w:line="18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$63.7 million to $697.2 million for the six months ended June 30, 2018 as compared to the six months ended June 30, 2017. The net change by segment was as follows:</w:t>
      </w:r>
    </w:p>
    <w:p>
      <w:pPr>
        <w:sectPr>
          <w:pgSz w:w="11900" w:h="16838" w:orient="portrait"/>
          <w:cols w:equalWidth="0" w:num="1">
            <w:col w:w="11420"/>
          </w:cols>
          <w:pgMar w:left="240" w:top="472"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72"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535,113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499,315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35,798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171,694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137,756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33,938</w:t>
            </w:r>
          </w:p>
        </w:tc>
        <w:tc>
          <w:tcPr>
            <w:tcW w:w="1640" w:type="dxa"/>
            <w:vAlign w:val="bottom"/>
            <w:gridSpan w:val="2"/>
          </w:tcPr>
          <w:p>
            <w:pPr>
              <w:jc w:val="right"/>
              <w:ind w:right="108"/>
              <w:spacing w:after="0"/>
              <w:rPr>
                <w:sz w:val="20"/>
                <w:szCs w:val="20"/>
                <w:color w:val="auto"/>
              </w:rPr>
            </w:pPr>
            <w:r>
              <w:rPr>
                <w:rFonts w:ascii="Arial" w:cs="Arial" w:eastAsia="Arial" w:hAnsi="Arial"/>
                <w:sz w:val="18"/>
                <w:szCs w:val="18"/>
                <w:color w:val="auto"/>
              </w:rPr>
              <w:t>24.6</w:t>
            </w:r>
          </w:p>
        </w:tc>
      </w:tr>
      <w:tr>
        <w:trPr>
          <w:trHeight w:val="27"/>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(9,633)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16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166.5</w:t>
            </w:r>
          </w:p>
        </w:tc>
      </w:tr>
      <w:tr>
        <w:trPr>
          <w:trHeight w:val="297"/>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697,174</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633,457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63,717</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
        </w:trPr>
        <w:tc>
          <w:tcPr>
            <w:tcW w:w="5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increase in technical and operating expense was primarily attributable to an increase of $23.3 million in program rights amortization expense and an increase of $12.5 million in other direct programming costs. Program rights amortization expense includes write-offs of $8.4 million for the six months ended June 30, 2018 primarily based on management's assessment of programming usefulness of certain development costs at AMC and unscripted series at WE tv, as compared to program rights write-offs of $1.8 million primarily related to development costs at AMC for the six months ended June 30, 2017.</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Technical and operating expense increased primarily due to the $20.7 million impact from the Levity acquisition, which occurred on April 20, 2018. In addition, investment in programming and other direct programming costs, including transmission, increased $14.9 million at AMCNI as well as an increase of $4.0 million at our subscription streaming services, partially offset by the absence of $7.0 million in costs related to AMCNI – DMC (sold in July 2017). Foreign currency translation had an unfavorable impact to the change in technical and operating expense of $9.5 million.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facilities.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increased $11.8 million to $337.8 million for the six months ended June 30, 2018, as compared to the six months ended June 30, 2017.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248,438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242,734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5,704</w:t>
            </w:r>
          </w:p>
        </w:tc>
        <w:tc>
          <w:tcPr>
            <w:tcW w:w="16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8"/>
                <w:szCs w:val="18"/>
                <w:color w:val="auto"/>
                <w:w w:val="97"/>
              </w:rPr>
              <w:t>2.3%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89,442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83,281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6,161</w:t>
            </w:r>
          </w:p>
        </w:tc>
        <w:tc>
          <w:tcPr>
            <w:tcW w:w="1640" w:type="dxa"/>
            <w:vAlign w:val="bottom"/>
            <w:gridSpan w:val="2"/>
          </w:tcPr>
          <w:p>
            <w:pPr>
              <w:ind w:left="1220"/>
              <w:spacing w:after="0"/>
              <w:rPr>
                <w:sz w:val="20"/>
                <w:szCs w:val="20"/>
                <w:color w:val="auto"/>
              </w:rPr>
            </w:pPr>
            <w:r>
              <w:rPr>
                <w:rFonts w:ascii="Arial" w:cs="Arial" w:eastAsia="Arial" w:hAnsi="Arial"/>
                <w:sz w:val="18"/>
                <w:szCs w:val="18"/>
                <w:color w:val="auto"/>
              </w:rPr>
              <w:t>7.4</w:t>
            </w:r>
          </w:p>
        </w:tc>
      </w:tr>
      <w:tr>
        <w:trPr>
          <w:trHeight w:val="27"/>
        </w:trPr>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n/m</w:t>
            </w:r>
          </w:p>
        </w:tc>
      </w:tr>
      <w:tr>
        <w:trPr>
          <w:trHeight w:val="297"/>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337,825</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325,982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11,843</w:t>
            </w:r>
          </w:p>
        </w:tc>
        <w:tc>
          <w:tcPr>
            <w:tcW w:w="1640" w:type="dxa"/>
            <w:vAlign w:val="bottom"/>
            <w:tcBorders>
              <w:bottom w:val="single" w:sz="8" w:color="CCEEFF"/>
            </w:tcBorders>
            <w:gridSpan w:val="2"/>
          </w:tcPr>
          <w:p>
            <w:pPr>
              <w:ind w:left="1220"/>
              <w:spacing w:after="0"/>
              <w:rPr>
                <w:sz w:val="20"/>
                <w:szCs w:val="20"/>
                <w:color w:val="auto"/>
              </w:rPr>
            </w:pPr>
            <w:r>
              <w:rPr>
                <w:rFonts w:ascii="Arial" w:cs="Arial" w:eastAsia="Arial" w:hAnsi="Arial"/>
                <w:sz w:val="18"/>
                <w:szCs w:val="18"/>
                <w:color w:val="auto"/>
                <w:w w:val="97"/>
              </w:rPr>
              <w:t>3.6%</w:t>
            </w:r>
          </w:p>
        </w:tc>
      </w:tr>
      <w:tr>
        <w:trPr>
          <w:trHeight w:val="230"/>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7"/>
        </w:trPr>
        <w:tc>
          <w:tcPr>
            <w:tcW w:w="5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 increased $5.7 million principally as a result of an $11.2 million increase in general and administrative costs, including a $5.4 million increase in long-term incentive compensation expense, partially offset by a decrease in sales and marketing related costs of $5.5 million related to timing of the promotion and marketing of original programming.</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increased $6.2 million primarily due to the $6.8 million impact from the acquisition of Levity, which occurred on April 20, 2018. In addition, increases in selling, general and administrative expense across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44" w:right="2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the segment were offset by a decrease at AMCNI due to the absence of costs related to AMCNI – DMC (sold in July 2017). Foreign currency translation had an unfavorable impact to the change in selling, general and administrative expense of $3.5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decreased $2.1 million to $42.0 million for the six months ended June 30, 2018, as compared to the six months ended June 30, 2017.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16,907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25,116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(2,149)</w:t>
            </w:r>
          </w:p>
        </w:tc>
        <w:tc>
          <w:tcPr>
            <w:tcW w:w="1720" w:type="dxa"/>
            <w:vAlign w:val="bottom"/>
            <w:gridSpan w:val="2"/>
          </w:tcPr>
          <w:p>
            <w:pPr>
              <w:jc w:val="right"/>
              <w:ind w:right="108"/>
              <w:spacing w:after="0"/>
              <w:rPr>
                <w:sz w:val="20"/>
                <w:szCs w:val="20"/>
                <w:color w:val="auto"/>
              </w:rPr>
            </w:pPr>
            <w:r>
              <w:rPr>
                <w:rFonts w:ascii="Arial" w:cs="Arial" w:eastAsia="Arial" w:hAnsi="Arial"/>
                <w:sz w:val="18"/>
                <w:szCs w:val="18"/>
                <w:color w:val="auto"/>
              </w:rPr>
              <w:t>(7.9)</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42,023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44,099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decrease in depreciation and amortization expense in the International and Other segment was attributable to a decrease in depreciation expense of $3.1 million due to the absence of AMCNI – DMC (sold in July 2017), partially offset by an increase in depreciation expense related to leasehold additions and, to a lesser extent, depreciation on property and equipment acquired in connection with the acquisition of Levity in April 2018. Amortization expense increased due to the amortization of identifiable intangible assets recorded in connection with the Levity acquisition and increased amortization at AMCNI.</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and related charges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June 2017, we recognized a pre-tax impairment charge of $17.1 million for the three months ended June 30, 2017 to reflect the AMCNI – DMC assets held for sale at fair value less estimated sale costs.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Restructuring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Restructuring expense of $2.6 million for the six months ended June 30, 2017 related to corporate headquarter severance charges in connection with the restructuring initiative launched during the second half of 2016.</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459,859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461,230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22,288</w:t>
            </w:r>
          </w:p>
        </w:tc>
        <w:tc>
          <w:tcPr>
            <w:tcW w:w="1720" w:type="dxa"/>
            <w:vAlign w:val="bottom"/>
            <w:gridSpan w:val="2"/>
          </w:tcPr>
          <w:p>
            <w:pPr>
              <w:jc w:val="right"/>
              <w:ind w:right="108"/>
              <w:spacing w:after="0"/>
              <w:rPr>
                <w:sz w:val="20"/>
                <w:szCs w:val="20"/>
                <w:color w:val="auto"/>
              </w:rPr>
            </w:pPr>
            <w:r>
              <w:rPr>
                <w:rFonts w:ascii="Arial" w:cs="Arial" w:eastAsia="Arial" w:hAnsi="Arial"/>
                <w:sz w:val="18"/>
                <w:szCs w:val="18"/>
                <w:color w:val="auto"/>
              </w:rPr>
              <w:t>(44.2)</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7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95.9</w:t>
            </w:r>
          </w:p>
        </w:tc>
      </w:tr>
      <w:tr>
        <w:trPr>
          <w:trHeight w:val="257"/>
        </w:trPr>
        <w:tc>
          <w:tcPr>
            <w:tcW w:w="50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425,186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407,461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17,725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 decrease in operating income at the National Networks segment was primarily attributable to an increase in technical and operating expense of $35.8 million and an increase in selling, general and administrative expense of $5.7 million, partially offset by an increase in revenues of $40.2 million.</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decrease in operating losses in the International and Other segment was primarily attributable to the absence of the AMCNI – DMC impairment charge of $17.1 million, an increase in revenues of $40.5 million, a decrease in depreciation and amortization of $2.1 million, a decrease in restructuring expense of $2.6 million, partially offset by an increase in technical and operating expense of $33.9 million and an increase in selling, general and administrative expense of $6.2 million. Foreign currency translation had a favorable impact to the change in operating income of $2.0 million. Operating income for the six months ended June 30, 2018 includes $1.2 million from the results of Levity from the date of acquisition (April 20, 2018).</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76" w:right="23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425,186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17,725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27,595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7,477</w:t>
            </w:r>
          </w:p>
        </w:tc>
        <w:tc>
          <w:tcPr>
            <w:tcW w:w="1700" w:type="dxa"/>
            <w:vAlign w:val="bottom"/>
            <w:gridSpan w:val="2"/>
          </w:tcPr>
          <w:p>
            <w:pPr>
              <w:jc w:val="right"/>
              <w:ind w:right="136"/>
              <w:spacing w:after="0"/>
              <w:rPr>
                <w:sz w:val="20"/>
                <w:szCs w:val="20"/>
                <w:color w:val="auto"/>
              </w:rPr>
            </w:pPr>
            <w:r>
              <w:rPr>
                <w:rFonts w:ascii="Arial" w:cs="Arial" w:eastAsia="Arial" w:hAnsi="Arial"/>
                <w:sz w:val="18"/>
                <w:szCs w:val="18"/>
                <w:color w:val="auto"/>
              </w:rPr>
              <w:t>27.1</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n/m</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(17,112)</w:t>
            </w:r>
          </w:p>
        </w:tc>
        <w:tc>
          <w:tcPr>
            <w:tcW w:w="100" w:type="dxa"/>
            <w:vAlign w:val="bottom"/>
          </w:tcPr>
          <w:p>
            <w:pPr>
              <w:spacing w:after="0"/>
              <w:rPr>
                <w:sz w:val="21"/>
                <w:szCs w:val="21"/>
                <w:color w:val="auto"/>
              </w:rPr>
            </w:pPr>
          </w:p>
        </w:tc>
        <w:tc>
          <w:tcPr>
            <w:tcW w:w="1600" w:type="dxa"/>
            <w:vAlign w:val="bottom"/>
          </w:tcPr>
          <w:p>
            <w:pPr>
              <w:jc w:val="right"/>
              <w:ind w:right="136"/>
              <w:spacing w:after="0"/>
              <w:rPr>
                <w:sz w:val="20"/>
                <w:szCs w:val="20"/>
                <w:color w:val="auto"/>
              </w:rPr>
            </w:pPr>
            <w:r>
              <w:rPr>
                <w:rFonts w:ascii="Arial" w:cs="Arial" w:eastAsia="Arial" w:hAnsi="Arial"/>
                <w:sz w:val="18"/>
                <w:szCs w:val="18"/>
                <w:color w:val="auto"/>
              </w:rPr>
              <w:t>n/m</w:t>
            </w: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42,023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70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(4.7)</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502,281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498,890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3,391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0.7 %</w:t>
            </w:r>
          </w:p>
        </w:tc>
      </w:tr>
      <w:tr>
        <w:trPr>
          <w:trHeight w:val="20"/>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AOI increased $3.4 million for the six months ended June 30, 2018 as compared to the six months ended June 30, 2017.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505,552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1,171</w:t>
            </w:r>
          </w:p>
        </w:tc>
        <w:tc>
          <w:tcPr>
            <w:tcW w:w="1660" w:type="dxa"/>
            <w:vAlign w:val="bottom"/>
            <w:gridSpan w:val="2"/>
          </w:tcPr>
          <w:p>
            <w:pPr>
              <w:jc w:val="right"/>
              <w:ind w:right="108"/>
              <w:spacing w:after="0"/>
              <w:rPr>
                <w:sz w:val="20"/>
                <w:szCs w:val="20"/>
                <w:color w:val="auto"/>
              </w:rPr>
            </w:pPr>
            <w:r>
              <w:rPr>
                <w:rFonts w:ascii="Arial" w:cs="Arial" w:eastAsia="Arial" w:hAnsi="Arial"/>
                <w:sz w:val="18"/>
                <w:szCs w:val="18"/>
                <w:color w:val="auto"/>
              </w:rPr>
              <w:t>56.3</w:t>
            </w: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6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95.9</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AOI</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502,281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498,890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3,391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National Networks AOI increased principally due to an increase in revenues of $40.2 million and a decrease in selling, general and administrative expenses (excluding stock based compensation) of $1.0 million, partially offset by an increase in technical and operating expenses of $35.8 million resulting primarily from an increase in program rights amortization.</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International and Other AOI increased $2.1 million due to the impact of the Levity acquisition which occurred on April 20, 2018 and $4.6 million due to the absence of the AOI loss at AMCNI – DMC, partially offset by a decrease in AOI at AMCNI (excluding the impact of AMCNI - DMC) of $2.7 million and a decrease at IFC Films of $2.7 million. Foreign currency translation had a favorable impact in the change in AOI of $4.4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 result of the factors discussed above impacting the variability in revenues and operating expenses, we expect AOI to vary from quarter to quarter.</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increase in interest expense, net of $13.2 million is driven by an increase in interest expense of $16.3 million primarily as a result of the issuance of our $800 million aggregate principal amounts of 4.75% Senior Notes due 2025 on July 28, 2017, partially offset by an increase in interest income of $3.1 million recorded for the six months ended June 30, 2018, in connection with increased cash balances as compared to the same period in 2017 as well as interest income earned on term loans entered into with RLJE in October 2016 and fuboTV in April 2018.</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decrease in miscellaneous, net of $27.8 million for the six months ended June 30, 2018 as compared to the six months ended June 30, 2017 is primarily driven by $9.8 million in unfavorable variance in foreign currency transaction gains and losses, an impairment of $10.0 million for the partial write-down of one of our non-marketable equity securities, and a decrease of $5.8 million in gains recorded in the six month period ended June 30, 2018 as compared to the same period in 2017 driven by the increase in fair market value of RLJE common shares held by the Company which started to be recognized during the second quarter 2017 upon meeting the criteria to be accounted for as an equity method investment following the exercise of warrants, for which we have elected the fair value option.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For the six months ended June 30, 2018, income tax expense was $89.4 million, representing an effective tax rate of 25%. The effective tax rate differs from the federal statutory rate of 21%, due primarily to tax expense of $16.1 million for an increase in valuation allowances for foreign taxes and U.S. foreign tax credits; state and local income tax expense of $6.2 million; a tax benefit of $8.3 million for the one-time rate change on deferred tax assets and liabilities that resulted from the extension of certain television production cost deductions included in the Bipartisan Budget Act of 2018 (enacted February 9, 2018); and tax benefit from foreign subsidiary earnings indefinitely reinvested outside the U.S. of $5.8 million.</w:t>
      </w:r>
    </w:p>
    <w:p>
      <w:pPr>
        <w:sectPr>
          <w:pgSz w:w="11900" w:h="16838" w:orient="portrait"/>
          <w:cols w:equalWidth="0" w:num="1">
            <w:col w:w="11420"/>
          </w:cols>
          <w:pgMar w:left="240" w:top="472"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72" w:right="239" w:bottom="1440" w:gutter="0" w:footer="0" w:header="0"/>
          <w:type w:val="continuous"/>
        </w:sectPr>
      </w:pPr>
    </w:p>
    <w:bookmarkStart w:id="49" w:name="page50"/>
    <w:bookmarkEnd w:id="49"/>
    <w:p>
      <w:pPr>
        <w:jc w:val="both"/>
        <w:ind w:firstLine="405"/>
        <w:spacing w:after="0" w:line="272" w:lineRule="auto"/>
        <w:rPr>
          <w:sz w:val="20"/>
          <w:szCs w:val="20"/>
          <w:color w:val="auto"/>
        </w:rPr>
      </w:pPr>
      <w:r>
        <w:rPr>
          <w:rFonts w:ascii="Arial" w:cs="Arial" w:eastAsia="Arial" w:hAnsi="Arial"/>
          <w:sz w:val="17"/>
          <w:szCs w:val="17"/>
          <w:color w:val="auto"/>
        </w:rPr>
        <w:t>The Tax Cuts and Jobs Act ("TCJA") was enacted on December 22, 2017. The TCJA introduces significant changes in tax law, with certain provisions being effective for the year ended December 31, 2017, however most are effective for tax years beginning after December 31, 2017. Companies are required to recognize the effect of tax law changes in the period of enactment, however, due to the complexities involved in accounting for the enactment of TCJA, SEC Staff Accounting Bulletin ("SAB") 118 allows us to record provisional amounts to reflect the impacts of the TCJA during a one year "measurement period". The Company has recorded a provisional amount related to the one-time transition tax in the year ended December 31, 2017 and a discrete tax expense related to valuation allowance in the period ended March 31, 2018, resulting from an updated assessment in response to guidance contained in a recently issued IRS notice. There has been no change to either amount as of June 30, 2018.</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will continue to analyze the effects of the TCJA on its financial statements and operations. Additional impacts from the enactment of the TCJA will be recorded as they are identified during the measurement period as provided for in SAB 118.</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Judgment is required in determining the provision for income taxes and related accruals, deferred tax assets and liabilities. Consequently, changes in our estimates regarding uncertain tax positions and the realization of deferred tax assets will impact our results of operations and financial position. Deferred tax assets are evaluated quarterly for expected future realization and reduced by a valuation allowance to the extent management believes it is more likely than not that a portion will not be realized. See Note 11 to the accompanying condensed consolidated financial statements for further discussion of the Company's income taxes.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six months ended June 30, 2017, income tax expense was $133.3 million, representing an effective tax rate of 35%. The items resulting in variances from the federal statutory rate primarily consist of a tax benefit from the domestic production activities deduction of $10.3 million; a tax benefit from foreign subsidiary earnings indefinitely reinvested outside the U.S. of $6.7 million; tax expense of $7.5 million resulting from an increase in the valuation allowances for foreign and local taxes; and state and local income tax expense of $6.0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other sources of capital such as the public bond markets.</w:t>
      </w:r>
    </w:p>
    <w:p>
      <w:pPr>
        <w:spacing w:after="0" w:line="17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On March 7, 2016, the Company announced that its Board of Directors authorized a program to repurchase up to $500 million of its outstanding shares of common stock (the "Stock Repurchase Program"). On June 6, 2017, the Board of Directors approved an increase of $500 million. On June 13, 2018, the Board of Directors approved a further increase of $500 million in the amount authorized for a total of $1.5 billion authorized under the Stock Repurchase Program. The Stock Repurchase Program has no pre-established closing date and may be suspended or discontinued at any time. For the three months ended June 30, 2018, the Company repurchased 3.0 million shares of its Class A common stock at an average purchase price of approximately $52.51 per share. As of June 30, 2018, the Company has $600.1 million available for repurchase under the Stock Repurchase Program.</w:t>
      </w:r>
    </w:p>
    <w:p>
      <w:pPr>
        <w:spacing w:after="0" w:line="17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We continue to increase our investment in original programming, the funding of which generally occurs six to nine months in advance of a program's airing. We expect this increased investment to continue in 2018.</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June 30, 2018, our consolidated cash and cash equivalents balance includes approximately $104.4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 The Company is still evaluating whether to change its indefinite reinvestment assertion due to certain provisions of the TCJA. Any potential changes to the assertion would be made within the measurement period and accounted for as part of the change in tax law.</w:t>
      </w:r>
    </w:p>
    <w:p>
      <w:pPr>
        <w:spacing w:after="0" w:line="18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affect our business. In such a circumstance, we would need to take other actions including selling assets, seeking strategic investments from third parties or reducing other discretionary uses of cash.</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2017 Form 10-K.</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revolving credit facility was not drawn upon at June 30, 2018. The total undrawn revolver commitment is available to be drawn for our general corporate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AMC Networks was in compliance with all of its debt covenants as of June 30, 2018.</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February 26, 2018, we delivered a letter to RLJE pursuant to which we proposed to acquire the outstanding shares of RLJE not currently owned by us or entities affiliated with Robert L. Johnson for a purchase price of $4.25 per share in cash. Through this offer, we intend for RLJE to become a majority-owned subsidiary, with a minority stake held by Mr. Johnson.</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July 29, 2018, the Company, Digital Entertainment Holdings LLC, a wholly owned subsidiary of the Company ("DEH"), and River Merger Sub Inc., a wholly owned subsidiary of DEH ("Merger Sub"), and RLJE entered into an Agreement and Plan of Merger (the "Merger Agreement") pursuant to which the Company has agreed to acquire all of the outstanding shares of RLJE not currently owned by the Company or entities affiliated with Robert L. Johnson for a purchase price of approximately $65.3 million, or $6.25 per share in cash. The Merger Agreement provides that, upon the terms and subject to the conditions set forth therein, Merger Sub will merge with and into RLJE, with RLJE continuing as the surviving corporation and a subsidiary of DEH (the "Merger").</w:t>
      </w:r>
    </w:p>
    <w:p>
      <w:pPr>
        <w:spacing w:after="0" w:line="19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Pursuant to the Merger Agreement, at the effective time of the Merger (the "Effective Time"), each share of RLJE’s common stock, par value $0.001 per share (the "RLJE Common Stock"), issued and outstanding immediately prior to the Effective Time, except for certain excluded shares (which include shares beneficially owned by the Company, DEH and their affiliates), will be automatically converted into the right to receive $6.25 in cash without interest (the "Per Share Merger Consideration"). The Merger Agreement also includes provisions for the payment at the Effective Time of consideration, calculated based on the amount of the Per Share Merger Consideration, to the holders of outstanding RLJE preferred stock who elect to receive such cash consideration and holders of warrants to purchase RLJE Common Stock, except for certain excluded shares (which include shares beneficially owned by the Company, DEH and their affiliates). Such holders of outstanding RLJE preferred stock will be entitled to receive $7.81 per underlying share of RLJE Common Stock, in accordance with the terms of the RLJE preferred stock, if they elect cash as their consideration. Such holders of outstanding warrants will be paid the difference between $6.25 and the per share exercise price of their warrants.</w:t>
      </w:r>
    </w:p>
    <w:p>
      <w:pPr>
        <w:spacing w:after="0" w:line="18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Merger Agreement contains certain customary termination rights for DEH and RLJE and further provides that (i) a termination fee equal to $6.75 million will be payable to DEH by RLJE in connection with termination of the Merger Agreement due to a change of recommendation by the Special Committee of the RLJE board of directors (the "RLJE Special Committee") to accept a Superior Proposal (as defined in the Merger Agreement) and (ii) the documented, out-of-pocket expenses of DEH incurred in connection with the Merger Agreement up to a maximum of $3 million will be payable to DEH by RLJE in connection with the termination of the Merger Agreement due to a change of recommendation by the RLJE Special Committee as a result of an Intervening Event (as defined in the Merger Agreement).</w:t>
      </w:r>
    </w:p>
    <w:p>
      <w:pPr>
        <w:spacing w:after="0" w:line="1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Consummation of the Merger is subject to customary conditions, including conditions relating to (i) the approval of the Merger Agreement by the requisite vote of the RLJE stockholders, (ii) the absence of any order, law or other legal restraint preventing or making unlawful the consummation of the Merger and (iii) the absence of a Material Adverse Effect (as defined in the Merger Agreement) that remains in effect.</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Robert L. Johnson will hold a minority stake in DEH following the Merger. Simultaneously with the execution of the Merger Agreement, DEH has entered into separate arrangements with Mr. Johnson related to the contribution of his RLJE securities to DEH immediately prior to the Merger, his vote for and support of the Merger and governance matters following the Merger.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sectPr>
      </w:pPr>
    </w:p>
    <w:bookmarkStart w:id="51" w:name="page52"/>
    <w:bookmarkEnd w:id="51"/>
    <w:p>
      <w:pPr>
        <w:ind w:left="440"/>
        <w:spacing w:after="0"/>
        <w:rPr>
          <w:sz w:val="20"/>
          <w:szCs w:val="20"/>
          <w:color w:val="auto"/>
        </w:rPr>
      </w:pPr>
      <w:r>
        <w:rPr>
          <w:rFonts w:ascii="Arial" w:cs="Arial" w:eastAsia="Arial" w:hAnsi="Arial"/>
          <w:sz w:val="18"/>
          <w:szCs w:val="18"/>
          <w:b w:val="1"/>
          <w:bCs w:val="1"/>
          <w:color w:val="auto"/>
        </w:rPr>
        <w:t>Cash Flow Discussion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six months ended June 30:</w:t>
      </w:r>
    </w:p>
    <w:p>
      <w:pPr>
        <w:spacing w:after="0" w:line="195"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37465</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2017</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278,577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165,977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(159,422)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(82,936)</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(384,168)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(144,263)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(301,127)</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Net cash provided by operating activities amounted to $278.6 million for the six months ended June 30, 2018 as compared to $166.0 million for the six months ended June 30, 2017. Net cash provided by operating activities for the six months ended June 30, 2018 primarily resulted from $848.5 million of net income before amortization of program rights, depreciation and amortization, and other non-cash items, and an increase in deferred revenue of $4.4 million, which was partially offset by payments for program rights of $471.4 million, a decrease in accounts payable, accrued expenses and other liabilities of $45.9 million primarily related to lower employee related liabilities, an increase in receivables of $40.4 million primarily related to increased distribution revenues, and an increase in prepaid expense and other assets of $12.4 million. Changes in all other assets and liabilities resulted in a decrease of $4.2 million.</w:t>
      </w:r>
    </w:p>
    <w:p>
      <w:pPr>
        <w:spacing w:after="0" w:line="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Net cash provided by operating activities amounted to $166.0 million for the six months ended June 30, 2017 and primarily resulted from $766.0 million of net income before amortization of program rights, depreciation and amortization, impairment charges, and other non-cash items, which was partially offset by payments for program rights of $458.5 million, an increase in accounts receivable, trade of $43.5 million primarily related to an increase in other distribution revenue, a decrease in accounts payable, accrued expenses and other liabilities of $43.6 million primarily related to lower employee related liabilities, an increase in prepaid expense and other assets of $31.1 million, a decrease in income taxes payable of $10.1 million and a decrease in deferred revenue of $9.9 million.</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2018 and 2017 was $159.4 million and $82.9 million, respectively. For the six months ended June 30, 2018, cash used in investing activities included investments of $87.5 million, capital expenditures of $37.4 million, and payment for the acquisition of Levity, net of cash acquired of $34.9 million. For the six months ended June 30, 2017, cash used in investing activities included investments of $43.0 million and capital expenditures of $39.9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Net cash used in financing activities amounted to $263.4 million for the six months ended June 30, 2018 as compared to $384.2 million for the six months ended June 30, 2017. For the six months ended June 30, 2018, financing activities primarily consisted of purchases of our common stock of $242.4 million under our Stock Repurchase Program. In addition, net cash used in financing activities for the six months ended June 30, 2018 includes taxes paid in lieu of shares issued for equity-based compensation of $15.7 million, distributions to noncontrolling interests of $7.0 million, and principal payments on capital leases of $2.6 million, partially offset by proceeds from stock option exercises of $4.3 million.</w:t>
      </w:r>
    </w:p>
    <w:p>
      <w:pPr>
        <w:spacing w:after="0" w:line="17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Net cash used in financing activities amounted to $384.2 million for the six months ended June 30, 2017 and primarily consisted of purchases of our common stock of $244.4 million under our Stock Repurchase Program and scheduled repayments of principal on the Company’s Term A loan facility of $111.0 million. In addition, net cash used in financing activities for the six months ended June 30, 2017 included taxes paid in lieu of shares issued for equity-based compensation of $13.4 million and distributions to a noncontrolling member of $12.9 million.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2018, our contractual obligations not reflected on the condensed consolidated balance sheet decreased $101.5 million to $1.3 billion. The decrease relates to payments for program commitments and the expiration of payment guarantees to a production service company for certain production related costs.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7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describe our significant accounting policies in Note 2 to the Company's Consolidated Financial Statements included in our 2017 Form 10-K. We discuss our critical accounting estimates in Item 7, "Management's Discussion and Analysis of Financial Condition and Results of Operations," in the same 2017 Form 10-K. Other than certain judgments and estimates related to the new revenue recognition standard as described in Note 2 to the accompanying condensed consolidated financial statements of the Company included herein, there have been no significant changes in our significant accounting policies or critical accounting estimates since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1 to the accompanying Condensed Consolidated Financial Statements of the Company for a discussion of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the level of interest rates prevailing at June 30, 2018, the fair value of our fixed rate debt of $2.36 billion was equal to its carrying value. The fair value of these financial instruments is estimated based on reference to quoted market prices for these or comparable securities. A hypothetical 100 basis point decrease in interest rates prevailing at June 30, 2018 would increase the estimated fair value of our fixed rate debt by approximately $111.3 million to approximately $2.5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June 30, 2018, we had $3.1 billion of debt outstanding (excluding capital leases), of which $0.7 billion is outstanding under our loan facility and is subject to variable interest rates (before consideration of the interest rate swaps contracts described below).</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2018, we had interest rate swap contracts outstanding with notional amounts aggregating $200.0 million. The aggregate fair value of interest rate swap contracts at June 30, 2018 was a net asset of $0.8 million. As a result of these transactions, the interest rate paid on approximately 83% of our debt (excluding capital leases) as of June 30, 2018 is effectively fixed (76% being fixed rate obligations and 7% effectively fixed through utilization of these interest rate swap contracts).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hypothetical 100 basis point increase in interest rates prevailing at June 30, 2018 would not have a material impact on our annual interest expense.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$4.1 million and $0.8 million of foreign currency transaction losses, net for the three and six months ended June 30, 2018, respectively. Such amount is included in miscellaneous, net in the condensed consolidated statement of income.</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w:t>
      </w:r>
    </w:p>
    <w:p>
      <w:pPr>
        <w:sectPr>
          <w:pgSz w:w="11900" w:h="16838" w:orient="portrait"/>
          <w:cols w:equalWidth="0" w:num="1">
            <w:col w:w="11420"/>
          </w:cols>
          <w:pgMar w:left="240" w:top="472"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72" w:right="239" w:bottom="1440" w:gutter="0" w:footer="0" w:header="0"/>
          <w:type w:val="continuous"/>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June 30, 2018, the Company's Chief Executive Officer and Chief Financial Officer concluded that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six months ended June 30, 2018, there were no changes in the Company's internal control over financial reporting, that have materially affected, or are reasonably likely to materially affect, the Company's internal control over financial reporting.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6" w:right="239" w:bottom="1440" w:gutter="0" w:footer="0" w:header="0"/>
        </w:sectPr>
      </w:pPr>
    </w:p>
    <w:bookmarkStart w:id="54" w:name="page55"/>
    <w:bookmarkEnd w:id="54"/>
    <w:p>
      <w:pPr>
        <w:spacing w:after="0" w:line="209" w:lineRule="auto"/>
        <w:framePr w:w="2040" w:h="160" w:wrap="auto" w:vAnchor="page" w:hAnchor="page" w:x="1380" w:y="9703"/>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209" w:lineRule="auto"/>
        <w:framePr w:w="3600" w:h="160" w:wrap="auto" w:vAnchor="page" w:hAnchor="page" w:x="1380" w:y="10095"/>
        <w:rPr>
          <w:rFonts w:ascii="Arial" w:cs="Arial" w:eastAsia="Arial" w:hAnsi="Arial"/>
          <w:sz w:val="16"/>
          <w:szCs w:val="16"/>
          <w:color w:val="auto"/>
        </w:rPr>
      </w:pPr>
      <w:r>
        <w:rPr>
          <w:rFonts w:ascii="Arial" w:cs="Arial" w:eastAsia="Arial" w:hAnsi="Arial"/>
          <w:sz w:val="16"/>
          <w:szCs w:val="16"/>
          <w:color w:val="auto"/>
        </w:rPr>
        <w:t>XBRL Taxonomy Extension Schema Document.</w:t>
      </w:r>
    </w:p>
    <w:p>
      <w:pPr>
        <w:spacing w:after="0" w:line="338" w:lineRule="auto"/>
        <w:framePr w:w="4560" w:h="552" w:wrap="auto" w:vAnchor="page" w:hAnchor="page" w:x="1380" w:y="10487"/>
        <w:rPr>
          <w:rFonts w:ascii="Arial" w:cs="Arial" w:eastAsia="Arial" w:hAnsi="Arial"/>
          <w:sz w:val="17"/>
          <w:szCs w:val="17"/>
          <w:color w:val="auto"/>
        </w:rPr>
      </w:pPr>
      <w:r>
        <w:rPr>
          <w:rFonts w:ascii="Arial" w:cs="Arial" w:eastAsia="Arial" w:hAnsi="Arial"/>
          <w:sz w:val="17"/>
          <w:szCs w:val="17"/>
          <w:color w:val="auto"/>
        </w:rPr>
        <w:t>XBRL Taxonomy Extension Calculation Linkbase Document. XBRL Taxonomy Extension Definition Linkbase.</w:t>
      </w:r>
    </w:p>
    <w:p>
      <w:pPr>
        <w:spacing w:after="0" w:line="360" w:lineRule="auto"/>
        <w:framePr w:w="4620" w:h="552" w:wrap="auto" w:vAnchor="page" w:hAnchor="page" w:x="1380" w:y="11270"/>
        <w:rPr>
          <w:rFonts w:ascii="Arial" w:cs="Arial" w:eastAsia="Arial" w:hAnsi="Arial"/>
          <w:sz w:val="16"/>
          <w:szCs w:val="16"/>
          <w:color w:val="auto"/>
        </w:rPr>
      </w:pPr>
      <w:r>
        <w:rPr>
          <w:rFonts w:ascii="Arial" w:cs="Arial" w:eastAsia="Arial" w:hAnsi="Arial"/>
          <w:sz w:val="16"/>
          <w:szCs w:val="16"/>
          <w:color w:val="auto"/>
        </w:rPr>
        <w:t>XBRL Taxonomy Extension Label Linkbase Document. XBRL Taxonomy Extension Presentation Linkbase Document.</w:t>
      </w: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rFonts w:ascii="Arial" w:cs="Arial" w:eastAsia="Arial" w:hAnsi="Arial"/>
          <w:sz w:val="16"/>
          <w:szCs w:val="16"/>
          <w:color w:val="auto"/>
        </w:rPr>
      </w:pPr>
    </w:p>
    <w:p>
      <w:pPr>
        <w:ind w:right="280" w:firstLine="324"/>
        <w:spacing w:after="0" w:line="277" w:lineRule="auto"/>
        <w:rPr>
          <w:sz w:val="20"/>
          <w:szCs w:val="20"/>
          <w:color w:val="auto"/>
        </w:rPr>
      </w:pPr>
      <w:r>
        <w:rPr>
          <w:rFonts w:ascii="Arial" w:cs="Arial" w:eastAsia="Arial" w:hAnsi="Arial"/>
          <w:sz w:val="18"/>
          <w:szCs w:val="18"/>
          <w:color w:val="auto"/>
        </w:rPr>
        <w:t>Since our 2017 Form 10-K, there have been no material developments in legal proceedings in which we are involved. See Note 12, Commitments and Contingencies to the condensed consolidated financial statements included in this Quarterly Report on Form 10-Q.</w:t>
      </w:r>
    </w:p>
    <w:p>
      <w:pPr>
        <w:spacing w:after="0" w:line="13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rFonts w:ascii="Arial" w:cs="Arial" w:eastAsia="Arial" w:hAnsi="Arial"/>
          <w:sz w:val="16"/>
          <w:szCs w:val="16"/>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March 7, 2016, the Company announced that its Board of Directors authorized a program to repurchase up to $500 million of its outstanding shares of common stock (the "Stock Repurchase Program"). On June 6, 2017, the Board of Directors approved an increase of $500 million and on June 13, 2018, the Board of Directors approved an additional increase of $500 million in the amount authorized for a total of $1.5 billion authorized under the Stock Repurchase Program. The Stock Repurchase Program has no pre-established closing date and may be suspended or discontinued at any time.</w:t>
      </w:r>
    </w:p>
    <w:p>
      <w:pPr>
        <w:spacing w:after="0" w:line="171" w:lineRule="exact"/>
        <w:rPr>
          <w:rFonts w:ascii="Arial" w:cs="Arial" w:eastAsia="Arial" w:hAnsi="Arial"/>
          <w:sz w:val="16"/>
          <w:szCs w:val="16"/>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Set forth below is information concerning acquisitions of AMC Networks Class A Common Stock by the Company during the three months ended June 30, 2018.</w:t>
      </w:r>
    </w:p>
    <w:p>
      <w:pPr>
        <w:spacing w:after="0" w:line="225"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jc w:val="center"/>
              <w:ind w:right="154"/>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Paid per Share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41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(or Units) Purchased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(or Unit)</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3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2018 to April 30, 2018</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2,019,129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51.94</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2,019,129</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154,051,674</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May 1, 2018 to May 31, 2018</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992,697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53.61</w:t>
            </w:r>
          </w:p>
        </w:tc>
        <w:tc>
          <w:tcPr>
            <w:tcW w:w="10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992,697</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100,831,452</w:t>
            </w: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2018 to June 30, 2018</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12,082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56.95</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12,082</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600,143,360</w:t>
            </w:r>
          </w:p>
        </w:tc>
      </w:tr>
      <w:tr>
        <w:trPr>
          <w:trHeight w:val="257"/>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3,023,908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3,023,908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rFonts w:ascii="Arial" w:cs="Arial" w:eastAsia="Arial" w:hAnsi="Arial"/>
          <w:sz w:val="16"/>
          <w:szCs w:val="16"/>
          <w:color w:val="auto"/>
        </w:rPr>
      </w:pPr>
    </w:p>
    <w:p>
      <w:pPr>
        <w:spacing w:after="0" w:line="21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62"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2.1</w:t>
            </w:r>
          </w:p>
        </w:tc>
        <w:tc>
          <w:tcPr>
            <w:tcW w:w="10200" w:type="dxa"/>
            <w:vAlign w:val="bottom"/>
            <w:tcBorders>
              <w:bottom w:val="single" w:sz="8" w:color="0000FF"/>
            </w:tcBorders>
            <w:gridSpan w:val="4"/>
          </w:tcPr>
          <w:p>
            <w:pPr>
              <w:spacing w:after="0"/>
              <w:rPr>
                <w:rFonts w:ascii="Arial" w:cs="Arial" w:eastAsia="Arial" w:hAnsi="Arial"/>
                <w:sz w:val="18"/>
                <w:szCs w:val="18"/>
                <w:color w:val="0000FF"/>
                <w:w w:val="95"/>
              </w:rPr>
            </w:pPr>
            <w:hyperlink r:id="rId20">
              <w:r>
                <w:rPr>
                  <w:rFonts w:ascii="Arial" w:cs="Arial" w:eastAsia="Arial" w:hAnsi="Arial"/>
                  <w:sz w:val="18"/>
                  <w:szCs w:val="18"/>
                  <w:color w:val="0000FF"/>
                  <w:w w:val="95"/>
                </w:rPr>
                <w:t>Agreement and Plan of Merger, dated as of July 29, 2018, by and among RLJE, the Company (solely for the purposes of Section 10.7</w:t>
              </w:r>
            </w:hyperlink>
          </w:p>
        </w:tc>
      </w:tr>
      <w:tr>
        <w:trPr>
          <w:trHeight w:val="196"/>
        </w:trPr>
        <w:tc>
          <w:tcPr>
            <w:tcW w:w="1140" w:type="dxa"/>
            <w:vAlign w:val="bottom"/>
          </w:tcPr>
          <w:p>
            <w:pPr>
              <w:spacing w:after="0"/>
              <w:rPr>
                <w:sz w:val="17"/>
                <w:szCs w:val="17"/>
                <w:color w:val="auto"/>
              </w:rPr>
            </w:pPr>
          </w:p>
        </w:tc>
        <w:tc>
          <w:tcPr>
            <w:tcW w:w="10200" w:type="dxa"/>
            <w:vAlign w:val="bottom"/>
            <w:gridSpan w:val="4"/>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thereof), DEH and Merger Sub (incorporated by reference to Exhibit 2.1 to the Company's Current Report on Form 8-K filed July 30, 2018).</w:t>
              </w:r>
            </w:hyperlink>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72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57">
              <w:r>
                <w:rPr>
                  <w:rFonts w:ascii="Arial" w:cs="Arial" w:eastAsia="Arial" w:hAnsi="Arial"/>
                  <w:sz w:val="18"/>
                  <w:szCs w:val="18"/>
                  <w:color w:val="0000FF"/>
                  <w:w w:val="92"/>
                </w:rPr>
                <w:t>Certification of Chief Executive Officer pursuant to Section 302 of the Sarbanes-Oxley Act of 2002.</w:t>
              </w:r>
            </w:hyperlink>
          </w:p>
        </w:tc>
        <w:tc>
          <w:tcPr>
            <w:tcW w:w="28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gridSpan w:val="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80" w:right="40" w:hanging="1145"/>
        <w:spacing w:after="0" w:line="277" w:lineRule="auto"/>
        <w:tabs>
          <w:tab w:leader="none" w:pos="1180" w:val="left"/>
        </w:tabs>
        <w:numPr>
          <w:ilvl w:val="0"/>
          <w:numId w:val="13"/>
        </w:numPr>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Certifications of Chief Executive Officer and Chief Financial Officer pursuant to Section 906 of the Sarbanes-Oxley Act of 2002, 18 U.S.C.</w:t>
        </w:r>
      </w:hyperlink>
      <w:r>
        <w:rPr>
          <w:rFonts w:ascii="Arial" w:cs="Arial" w:eastAsia="Arial" w:hAnsi="Arial"/>
          <w:sz w:val="18"/>
          <w:szCs w:val="18"/>
          <w:u w:val="single" w:color="auto"/>
          <w:color w:val="0000FF"/>
        </w:rPr>
        <w:t xml:space="preserve"> </w:t>
      </w:r>
      <w:hyperlink w:anchor="page59">
        <w:r>
          <w:rPr>
            <w:rFonts w:ascii="Arial" w:cs="Arial" w:eastAsia="Arial" w:hAnsi="Arial"/>
            <w:sz w:val="18"/>
            <w:szCs w:val="18"/>
            <w:u w:val="single" w:color="auto"/>
            <w:color w:val="0000FF"/>
          </w:rPr>
          <w:t>Section 1350.</w:t>
        </w:r>
      </w:hyperlink>
    </w:p>
    <w:p>
      <w:pPr>
        <w:spacing w:after="0" w:line="130"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101.SCH</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101.DEF</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2"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30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AMC Networks Inc.</w:t>
      </w:r>
    </w:p>
    <w:p>
      <w:pPr>
        <w:spacing w:after="0" w:line="252" w:lineRule="exact"/>
        <w:rPr>
          <w:sz w:val="20"/>
          <w:szCs w:val="20"/>
          <w:color w:val="auto"/>
        </w:rPr>
      </w:pPr>
    </w:p>
    <w:p>
      <w:pPr>
        <w:ind w:left="280"/>
        <w:spacing w:after="0"/>
        <w:tabs>
          <w:tab w:leader="none" w:pos="5620" w:val="left"/>
        </w:tabs>
        <w:rPr>
          <w:sz w:val="20"/>
          <w:szCs w:val="20"/>
          <w:color w:val="auto"/>
        </w:rPr>
      </w:pPr>
      <w:r>
        <w:rPr>
          <w:rFonts w:ascii="Arial" w:cs="Arial" w:eastAsia="Arial" w:hAnsi="Arial"/>
          <w:sz w:val="18"/>
          <w:szCs w:val="18"/>
          <w:color w:val="auto"/>
        </w:rPr>
        <w:t>Date: August 2, 2018</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4645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8"/>
        <w:spacing w:after="0" w:line="277" w:lineRule="auto"/>
        <w:tabs>
          <w:tab w:leader="none" w:pos="2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7220" w:val="left"/>
          <w:tab w:leader="none" w:pos="7680" w:val="left"/>
        </w:tabs>
        <w:rPr>
          <w:sz w:val="20"/>
          <w:szCs w:val="20"/>
          <w:color w:val="auto"/>
        </w:rPr>
      </w:pPr>
      <w:r>
        <w:rPr>
          <w:rFonts w:ascii="Arial" w:cs="Arial" w:eastAsia="Arial" w:hAnsi="Arial"/>
          <w:sz w:val="18"/>
          <w:szCs w:val="18"/>
          <w:color w:val="auto"/>
        </w:rPr>
        <w:t>Date:</w:t>
        <w:tab/>
        <w:t>August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June 30, 2018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32"/>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0" Type="http://schemas.openxmlformats.org/officeDocument/2006/relationships/hyperlink" Target="http://www.sec.gov/Archives/edgar/data/1514991/000119312518230456/d58618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2019-12-28T20:23:25Z</dcterms:created>
  <dcterms:modified xsi:type="dcterms:W3CDTF">2019-12-28T20:23:25Z</dcterms:modified>
</cp:coreProperties>
</file>