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1-35106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AMC Networks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9"/>
        <w:gridCol w:w="473"/>
        <w:gridCol w:w="473"/>
        <w:gridCol w:w="473"/>
        <w:gridCol w:w="473"/>
        <w:gridCol w:w="494"/>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324-8500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as of November 1, 2024:</w:t>
      </w:r>
    </w:p>
    <w:tbl>
      <w:tblPr>
        <w:tblW w:w="4636" w:type="dxa"/>
        <w:jc w:val="left"/>
        <w:tblInd w:w="0" w:type="dxa"/>
        <w:tblLayout w:type="fixed"/>
        <w:tblCellMar>
          <w:top w:w="28" w:type="dxa"/>
          <w:left w:w="28" w:type="dxa"/>
          <w:bottom w:w="28" w:type="dxa"/>
          <w:right w:w="28" w:type="dxa"/>
        </w:tblCellMar>
      </w:tblPr>
      <w:tblGrid>
        <w:gridCol w:w="1332"/>
        <w:gridCol w:w="1167"/>
        <w:gridCol w:w="1176"/>
        <w:gridCol w:w="281"/>
        <w:gridCol w:w="281"/>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32,636,371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11,484,408</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AMC NETWORKS INC.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50" w:type="dxa"/>
        <w:jc w:val="left"/>
        <w:tblInd w:w="0" w:type="dxa"/>
        <w:tblLayout w:type="fixed"/>
        <w:tblCellMar>
          <w:top w:w="28" w:type="dxa"/>
          <w:left w:w="28" w:type="dxa"/>
          <w:bottom w:w="28" w:type="dxa"/>
          <w:right w:w="28" w:type="dxa"/>
        </w:tblCellMar>
      </w:tblPr>
      <w:tblGrid>
        <w:gridCol w:w="2892"/>
        <w:gridCol w:w="2536"/>
        <w:gridCol w:w="2551"/>
        <w:gridCol w:w="167"/>
        <w:gridCol w:w="167"/>
        <w:gridCol w:w="237"/>
      </w:tblGrid>
      <w:tr>
        <w:trPr/>
        <w:tc>
          <w:tcPr>
            <w:tcW w:w="2892"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3">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6">
              <w:r>
                <w:rPr>
                  <w:rStyle w:val="InternetLink"/>
                  <w:rFonts w:ascii="Times New Roman;sans-serif" w:hAnsi="Times New Roman;sans-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82c768c644422e894f446024d03732_19">
              <w:r>
                <w:rPr>
                  <w:rStyle w:val="InternetLink"/>
                  <w:rFonts w:ascii="Times New Roman;sans-serif" w:hAnsi="Times New Roman;sans-serif"/>
                  <w:b w:val="false"/>
                  <w:color w:val="0000FF"/>
                  <w:sz w:val="20"/>
                  <w:u w:val="single"/>
                </w:rPr>
                <w:t>Condensed Consolidated Statements of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9">
              <w:r>
                <w:rPr>
                  <w:rStyle w:val="InternetLink"/>
                  <w:rFonts w:ascii="Times New Roman;sans-serif" w:hAnsi="Times New Roman;sans-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82c768c644422e894f446024d03732_22">
              <w:r>
                <w:rPr>
                  <w:rStyle w:val="InternetLink"/>
                  <w:rFonts w:ascii="Times New Roman;sans-serif" w:hAnsi="Times New Roman;sans-serif"/>
                  <w:b w:val="false"/>
                  <w:color w:val="000080"/>
                  <w:sz w:val="20"/>
                  <w:u w:val="single"/>
                </w:rPr>
                <w:t>Condensed Consolidated Statements of Comprehensive Incom</w:t>
              </w:r>
            </w:hyperlink>
            <w:hyperlink w:anchor="i0c82c768c644422e894f446024d03732_22">
              <w:r>
                <w:rPr>
                  <w:rStyle w:val="InternetLink"/>
                  <w:rFonts w:ascii="Times New Roman;sans-serif" w:hAnsi="Times New Roman;sans-serif"/>
                  <w:b w:val="false"/>
                  <w:color w:val="000080"/>
                  <w:sz w:val="20"/>
                  <w:u w:val="single"/>
                </w:rPr>
                <w:t>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22">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82c768c644422e894f446024d03732_25">
              <w:r>
                <w:rPr>
                  <w:rStyle w:val="InternetLink"/>
                  <w:rFonts w:ascii="Times New Roman;sans-serif" w:hAnsi="Times New Roman;sans-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25">
              <w:r>
                <w:rPr>
                  <w:rStyle w:val="InternetLink"/>
                  <w:rFonts w:ascii="Times New Roman;sans-serif" w:hAnsi="Times New Roman;sans-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0c82c768c644422e894f446024d03732_31">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31">
              <w:r>
                <w:rPr>
                  <w:rStyle w:val="InternetLink"/>
                  <w:rFonts w:ascii="Times New Roman;sans-serif" w:hAnsi="Times New Roman;sans-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34">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34">
              <w:r>
                <w:rPr>
                  <w:rStyle w:val="InternetLink"/>
                  <w:rFonts w:ascii="Times New Roman;sans-serif" w:hAnsi="Times New Roman;sans-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1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15">
              <w:r>
                <w:rPr>
                  <w:rStyle w:val="InternetLink"/>
                  <w:rFonts w:ascii="Times New Roman;sans-serif" w:hAnsi="Times New Roman;sans-serif"/>
                  <w:b w:val="false"/>
                  <w:color w:val="0000FF"/>
                  <w:sz w:val="20"/>
                  <w:u w:val="single"/>
                </w:rPr>
                <w:t>28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42">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42">
              <w:r>
                <w:rPr>
                  <w:rStyle w:val="InternetLink"/>
                  <w:rFonts w:ascii="Times New Roman;sans-serif" w:hAnsi="Times New Roman;sans-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45">
              <w:r>
                <w:rPr>
                  <w:rStyle w:val="InternetLink"/>
                  <w:rFonts w:ascii="Times New Roman;sans-serif" w:hAnsi="Times New Roman;sans-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45">
              <w:r>
                <w:rPr>
                  <w:rStyle w:val="InternetLink"/>
                  <w:rFonts w:ascii="Times New Roman;sans-serif" w:hAnsi="Times New Roman;sans-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48">
              <w:r>
                <w:rPr>
                  <w:rStyle w:val="InternetLink"/>
                  <w:rFonts w:ascii="Times New Roman;sans-serif" w:hAnsi="Times New Roman;sans-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51">
              <w:r>
                <w:rPr>
                  <w:rStyle w:val="InternetLink"/>
                  <w:rFonts w:ascii="Times New Roman;sans-serif" w:hAnsi="Times New Roman;sans-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51">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54">
              <w:r>
                <w:rPr>
                  <w:rStyle w:val="InternetLink"/>
                  <w:rFonts w:ascii="Times New Roman;sans-serif" w:hAnsi="Times New Roman;sans-serif"/>
                  <w:b w:val="false"/>
                  <w:color w:val="000080"/>
                  <w:sz w:val="20"/>
                  <w:u w:val="single"/>
                </w:rPr>
                <w:t>Item 2. Unregistered Sales of Equity Securities</w:t>
              </w:r>
            </w:hyperlink>
            <w:hyperlink w:anchor="i0c82c768c644422e894f446024d03732_154">
              <w:r>
                <w:rPr>
                  <w:rStyle w:val="InternetLink"/>
                  <w:rFonts w:ascii="Times New Roman;sans-serif" w:hAnsi="Times New Roman;sans-serif"/>
                  <w:b w:val="false"/>
                  <w:color w:val="000080"/>
                  <w:sz w:val="20"/>
                  <w:u w:val="single"/>
                </w:rPr>
                <w:t xml:space="preserve"> and Use</w:t>
              </w:r>
            </w:hyperlink>
            <w:hyperlink w:anchor="i0c82c768c644422e894f446024d03732_154">
              <w:r>
                <w:rPr>
                  <w:rStyle w:val="InternetLink"/>
                  <w:rFonts w:ascii="Times New Roman;sans-serif" w:hAnsi="Times New Roman;sans-serif"/>
                  <w:b w:val="false"/>
                  <w:color w:val="000080"/>
                  <w:sz w:val="20"/>
                  <w:u w:val="single"/>
                </w:rPr>
                <w:t xml:space="preserv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54">
              <w:r>
                <w:rPr>
                  <w:rStyle w:val="InternetLink"/>
                  <w:rFonts w:ascii="Times New Roman;sans-serif" w:hAnsi="Times New Roman;sans-serif"/>
                  <w:b w:val="false"/>
                  <w:color w:val="0000FF"/>
                  <w:sz w:val="20"/>
                  <w:u w:val="single"/>
                </w:rPr>
                <w:t>48</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60">
              <w:r>
                <w:rPr>
                  <w:rStyle w:val="InternetLink"/>
                  <w:rFonts w:ascii="Times New Roman;sans-serif" w:hAnsi="Times New Roman;sans-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60">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2c768c644422e894f446024d03732_163">
              <w:r>
                <w:rPr>
                  <w:rStyle w:val="InternetLink"/>
                  <w:rFonts w:ascii="Times New Roman;sans-serif" w:hAnsi="Times New Roman;sans-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2c768c644422e894f446024d03732_163">
              <w:r>
                <w:rPr>
                  <w:rStyle w:val="InternetLink"/>
                  <w:rFonts w:ascii="Times New Roman;sans-serif" w:hAnsi="Times New Roman;sans-serif"/>
                  <w:b w:val="false"/>
                  <w:color w:val="0000FF"/>
                  <w:sz w:val="20"/>
                  <w:u w:val="singl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2"/>
        <w:gridCol w:w="2113"/>
        <w:gridCol w:w="2124"/>
        <w:gridCol w:w="235"/>
        <w:gridCol w:w="1046"/>
        <w:gridCol w:w="130"/>
        <w:gridCol w:w="109"/>
        <w:gridCol w:w="109"/>
        <w:gridCol w:w="109"/>
        <w:gridCol w:w="228"/>
        <w:gridCol w:w="1016"/>
        <w:gridCol w:w="184"/>
      </w:tblGrid>
      <w:tr>
        <w:trPr/>
        <w:tc>
          <w:tcPr>
            <w:tcW w:w="280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816,377 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 (less allowance for doubtful accounts of $9,207 and $9,488)</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647,601 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1,685,713 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1,623,370 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$449,533 and $403,708</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1,775,628 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1,802,653 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626,496 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4,825,409 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4,969,787 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obligations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portion of lease obligations </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943,423 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obligations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2,335,061 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2,294,249 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obligations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3,491,953 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3,710,544 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185,297 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360,000 shares authorized, 66,730 and 66,670 shares issued and 32,614 and 32,077 shares outstanding, respectively</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$0.01 par value, 90,000 shares authorized, 11,484 shares issued and outstanding </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45,000 shares authorized; none issued</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earnings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2,376,908 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2,321,105 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(34,117 and 34,593 shares Class A Common Stock,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(1,408,832)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(229,154)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(232,831)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AMC Networks stockholders' equity</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1,117,049 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1,048,051 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1,148,274 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1,073,946 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4,825,409 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4,969,787 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3"/>
        <w:gridCol w:w="1251"/>
        <w:gridCol w:w="1231"/>
        <w:gridCol w:w="225"/>
        <w:gridCol w:w="882"/>
        <w:gridCol w:w="116"/>
        <w:gridCol w:w="116"/>
        <w:gridCol w:w="116"/>
        <w:gridCol w:w="116"/>
        <w:gridCol w:w="225"/>
        <w:gridCol w:w="882"/>
        <w:gridCol w:w="116"/>
        <w:gridCol w:w="109"/>
        <w:gridCol w:w="109"/>
        <w:gridCol w:w="109"/>
        <w:gridCol w:w="211"/>
        <w:gridCol w:w="976"/>
        <w:gridCol w:w="109"/>
        <w:gridCol w:w="109"/>
        <w:gridCol w:w="109"/>
        <w:gridCol w:w="109"/>
        <w:gridCol w:w="211"/>
        <w:gridCol w:w="976"/>
        <w:gridCol w:w="159"/>
      </w:tblGrid>
      <w:tr>
        <w:trPr/>
        <w:tc>
          <w:tcPr>
            <w:tcW w:w="16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324,013 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AMC Networks' stockholders:</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92"/>
        <w:gridCol w:w="1387"/>
        <w:gridCol w:w="1394"/>
        <w:gridCol w:w="240"/>
        <w:gridCol w:w="821"/>
        <w:gridCol w:w="124"/>
        <w:gridCol w:w="124"/>
        <w:gridCol w:w="124"/>
        <w:gridCol w:w="124"/>
        <w:gridCol w:w="240"/>
        <w:gridCol w:w="821"/>
        <w:gridCol w:w="124"/>
        <w:gridCol w:w="109"/>
        <w:gridCol w:w="109"/>
        <w:gridCol w:w="109"/>
        <w:gridCol w:w="227"/>
        <w:gridCol w:w="777"/>
        <w:gridCol w:w="117"/>
        <w:gridCol w:w="117"/>
        <w:gridCol w:w="117"/>
        <w:gridCol w:w="117"/>
        <w:gridCol w:w="227"/>
        <w:gridCol w:w="891"/>
        <w:gridCol w:w="173"/>
      </w:tblGrid>
      <w:tr>
        <w:trPr/>
        <w:tc>
          <w:tcPr>
            <w:tcW w:w="159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AMC Networks' stockholders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231,019 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(248,120)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2024</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377,345 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2,376,908 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(1,408,832)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(229,154)</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1,117,049 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31,225 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1,148,274 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(219,276)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372,925 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2,342,914 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(246,052)</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1,050,686 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31,601 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1,082,287 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(232,831)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2024</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2,376,908 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(1,408,832)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(229,154)</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1,117,049 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31,225 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1,148,274 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372,925 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2,342,914 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(246,052)</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1,050,686 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31,601 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1,082,287 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8456" w:type="dxa"/>
        <w:jc w:val="center"/>
        <w:tblInd w:w="0" w:type="dxa"/>
        <w:tblLayout w:type="fixed"/>
        <w:tblCellMar>
          <w:top w:w="28" w:type="dxa"/>
          <w:left w:w="28" w:type="dxa"/>
          <w:bottom w:w="28" w:type="dxa"/>
          <w:right w:w="28" w:type="dxa"/>
        </w:tblCellMar>
      </w:tblPr>
      <w:tblGrid>
        <w:gridCol w:w="2033"/>
        <w:gridCol w:w="1781"/>
        <w:gridCol w:w="1796"/>
        <w:gridCol w:w="227"/>
        <w:gridCol w:w="855"/>
        <w:gridCol w:w="126"/>
        <w:gridCol w:w="126"/>
        <w:gridCol w:w="126"/>
        <w:gridCol w:w="126"/>
        <w:gridCol w:w="227"/>
        <w:gridCol w:w="855"/>
        <w:gridCol w:w="178"/>
      </w:tblGrid>
      <w:tr>
        <w:trPr/>
        <w:tc>
          <w:tcPr>
            <w:tcW w:w="2033"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including noncontrolling interests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from operating activities: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impairment and other charges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expenses related to equity classified awards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restructuring and other related charges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write-off of program rights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carriage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transaction (gain)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 and discounts on indebtedness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 (including amounts due from related parties,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and obligations,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(691,545)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(844,332)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liabilities and 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317,507 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131,139 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capital from investees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10.25% Senior Secured Notes due 2029,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4.25% Convertible Senior Notes due 2029,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Tender and redemption of 4.75% Senior Notes due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(774,729)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Term Loan A Facility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4.25% Senior Notes due 2029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Deemed repurchases of restricted stock units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(52,739)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(84,907)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 from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816,377 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955,187 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Business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Inc. ("AMC Networks") and its subsidiaries (collectively referred to as the "Company," "we," "us," or "our") own and operate entertainment businesses and assets. The Company is comprised of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five national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AMC Networks International ("AMCNI"), our international programming businesses consisting of a portfolio of channels distributed around the world.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updated the name of its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Interim Financial Statements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2023 contained in the Company's Annual Report on Form 10-K (our "2023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the results that might be expected for future interim periods or for the full year ending December 31, 2024.</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were made to the prior period amounts to conform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Financial Accounting Standards Board ("FASB") issued Accounting Standards Update ("ASU") No. 2023-09, Income Taxes (Topic 740): Improvements to Income Tax Disclosures. ASU 2023-09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Company will incorporate the required disclosure updates for the 2024 annual financial statements.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As of September 30, 2024, other than contracts for which the Company has applied the practical expedients, the aggregate amount of transaction price allocated to future performance obligations was </w:t>
      </w:r>
      <w:r>
        <w:rPr>
          <w:rFonts w:ascii="Times New Roman;sans-serif" w:hAnsi="Times New Roman;sans-serif"/>
          <w:b w:val="false"/>
          <w:color w:val="000000"/>
          <w:sz w:val="20"/>
          <w:shd w:fill="FFFFFF" w:val="clear"/>
        </w:rPr>
        <w:t>not material</w:t>
      </w:r>
      <w:r>
        <w:rPr>
          <w:color w:val="000000"/>
        </w:rPr>
        <w:t xml:space="preserve"> </w:t>
      </w:r>
      <w:r>
        <w:rPr>
          <w:rFonts w:ascii="Times New Roman;sans-serif" w:hAnsi="Times New Roman;sans-serif"/>
          <w:b w:val="false"/>
          <w:color w:val="000000"/>
          <w:sz w:val="20"/>
        </w:rPr>
        <w:t>to our consolidated revenues.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Contract Balances from Contracts with Customers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receivables, contract assets, and contract liabilities from contracts with customers. </w:t>
      </w:r>
    </w:p>
    <w:tbl>
      <w:tblPr>
        <w:tblW w:w="10205" w:type="dxa"/>
        <w:jc w:val="left"/>
        <w:tblInd w:w="0" w:type="dxa"/>
        <w:tblLayout w:type="fixed"/>
        <w:tblCellMar>
          <w:top w:w="28" w:type="dxa"/>
          <w:left w:w="28" w:type="dxa"/>
          <w:bottom w:w="28" w:type="dxa"/>
          <w:right w:w="28" w:type="dxa"/>
        </w:tblCellMar>
      </w:tblPr>
      <w:tblGrid>
        <w:gridCol w:w="2347"/>
        <w:gridCol w:w="2046"/>
        <w:gridCol w:w="2048"/>
        <w:gridCol w:w="109"/>
        <w:gridCol w:w="109"/>
        <w:gridCol w:w="109"/>
        <w:gridCol w:w="286"/>
        <w:gridCol w:w="1124"/>
        <w:gridCol w:w="147"/>
        <w:gridCol w:w="109"/>
        <w:gridCol w:w="109"/>
        <w:gridCol w:w="109"/>
        <w:gridCol w:w="274"/>
        <w:gridCol w:w="1075"/>
        <w:gridCol w:w="204"/>
      </w:tblGrid>
      <w:tr>
        <w:trPr/>
        <w:tc>
          <w:tcPr>
            <w:tcW w:w="234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750,390 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assets, short-term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6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short-term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Revenue recognized for the nine months ended September 30, 2024 and 2023 relating to the contract liabilities at December 31, 2023 and 2022 was $46.5 million </w:t>
      </w:r>
      <w:r>
        <w:rPr>
          <w:rFonts w:ascii="Times New Roman;sans-serif" w:hAnsi="Times New Roman;sans-serif"/>
          <w:b w:val="false"/>
          <w:color w:val="000000"/>
          <w:sz w:val="20"/>
          <w:shd w:fill="FFFFFF" w:val="clear"/>
        </w:rPr>
        <w:t>and $102.6 million, respectively</w:t>
      </w:r>
      <w:r>
        <w:rPr>
          <w:rFonts w:ascii="Times New Roman;sans-serif" w:hAnsi="Times New Roman;sans-serif"/>
          <w:b w:val="false"/>
          <w:color w:val="000000"/>
          <w:sz w:val="20"/>
        </w:rPr>
        <w:t xml:space="preserve">. </w:t>
      </w:r>
    </w:p>
    <w:p>
      <w:pPr>
        <w:pStyle w:val="TextBody"/>
        <w:bidi w:val="0"/>
        <w:spacing w:lineRule="auto" w:line="276"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second quarter of 2024, we recognized revenues of $13.4 million for a one-time retroactive adjustment reported and paid by a third party, for which our performance obligation was satisfied in a prior period.</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 xml:space="preserve">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w:t>
      </w:r>
      <w:r>
        <w:rPr>
          <w:rFonts w:ascii="Times New Roman;sans-serif" w:hAnsi="Times New Roman;sans-serif"/>
          <w:b w:val="false"/>
          <w:color w:val="000000"/>
          <w:sz w:val="20"/>
        </w:rPr>
        <w:t>September 30, 2024,</w:t>
      </w:r>
      <w:r>
        <w:rPr>
          <w:color w:val="000000"/>
          <w:shd w:fill="FFFFFF" w:val="clear"/>
        </w:rPr>
        <w:t xml:space="preserve"> </w:t>
      </w:r>
      <w:r>
        <w:rPr>
          <w:rFonts w:ascii="Times New Roman;sans-serif" w:hAnsi="Times New Roman;sans-serif"/>
          <w:b w:val="false"/>
          <w:color w:val="000000"/>
          <w:sz w:val="20"/>
          <w:shd w:fill="FFFFFF" w:val="clear"/>
        </w:rPr>
        <w:t>the Company had not yet sold any customer receivables under this agreement.</w:t>
      </w:r>
    </w:p>
    <w:p>
      <w:pPr>
        <w:pStyle w:val="TextBody"/>
        <w:bidi w:val="0"/>
        <w:spacing w:before="120" w:after="120"/>
        <w:ind w:left="0" w:right="0" w:firstLine="495"/>
        <w:jc w:val="both"/>
        <w:rPr/>
      </w:pPr>
      <w:r>
        <w:rPr/>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3. Net Income per Share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basic share is based upon net income attributable to AMC Networks' stockholders divided by the weighted average number of shares of Class A and Class B Common Stock outstanding during the period. Net income per diluted share reflects the dilutive effects of AMC Networks' outstanding equity-based awards and the assumed conversion of the 4.25% Convertible Senior Notes due 2029 (the "Convertible Notes") issued in June 2024. </w:t>
      </w:r>
    </w:p>
    <w:tbl>
      <w:tblPr>
        <w:tblW w:w="10205" w:type="dxa"/>
        <w:jc w:val="left"/>
        <w:tblInd w:w="0" w:type="dxa"/>
        <w:tblLayout w:type="fixed"/>
        <w:tblCellMar>
          <w:top w:w="28" w:type="dxa"/>
          <w:left w:w="28" w:type="dxa"/>
          <w:bottom w:w="28" w:type="dxa"/>
          <w:right w:w="28" w:type="dxa"/>
        </w:tblCellMar>
      </w:tblPr>
      <w:tblGrid>
        <w:gridCol w:w="1654"/>
        <w:gridCol w:w="1446"/>
        <w:gridCol w:w="1409"/>
        <w:gridCol w:w="232"/>
        <w:gridCol w:w="796"/>
        <w:gridCol w:w="120"/>
        <w:gridCol w:w="120"/>
        <w:gridCol w:w="120"/>
        <w:gridCol w:w="120"/>
        <w:gridCol w:w="232"/>
        <w:gridCol w:w="796"/>
        <w:gridCol w:w="120"/>
        <w:gridCol w:w="109"/>
        <w:gridCol w:w="109"/>
        <w:gridCol w:w="109"/>
        <w:gridCol w:w="223"/>
        <w:gridCol w:w="763"/>
        <w:gridCol w:w="115"/>
        <w:gridCol w:w="115"/>
        <w:gridCol w:w="115"/>
        <w:gridCol w:w="115"/>
        <w:gridCol w:w="223"/>
        <w:gridCol w:w="874"/>
        <w:gridCol w:w="170"/>
      </w:tblGrid>
      <w:tr>
        <w:trPr/>
        <w:tc>
          <w:tcPr>
            <w:tcW w:w="165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509" w:type="dxa"/>
            <w:gridSpan w:val="3"/>
            <w:vMerge w:val="continue"/>
            <w:tcBorders/>
            <w:tcMar>
              <w:top w:w="0" w:type="dxa"/>
              <w:left w:w="0" w:type="dxa"/>
              <w:bottom w:w="0" w:type="dxa"/>
              <w:right w:w="0" w:type="dxa"/>
            </w:tcMar>
            <w:vAlign w:val="center"/>
          </w:tcPr>
          <w:p>
            <w:pPr>
              <w:pStyle w:val="Normal"/>
              <w:bidi w:val="0"/>
              <w:jc w:val="left"/>
              <w:rPr/>
            </w:pPr>
            <w:r>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 used for basic net income per share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Convertible Notes interest expense, net of tax</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 used for diluted net income per share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dilution:</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AMC Networks' stockholders: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495"/>
        <w:jc w:val="both"/>
        <w:rPr/>
      </w:pPr>
      <w:r>
        <w:rPr>
          <w:rFonts w:ascii="Times New Roman;sans-serif" w:hAnsi="Times New Roman;sans-serif"/>
          <w:b w:val="false"/>
          <w:color w:val="000000"/>
          <w:sz w:val="20"/>
        </w:rPr>
        <w:t xml:space="preserve">For the three and nine months ended September 30, 2024, </w:t>
      </w:r>
      <w:r>
        <w:rPr>
          <w:rFonts w:ascii="Times New Roman;sans-serif" w:hAnsi="Times New Roman;sans-serif"/>
          <w:b w:val="false"/>
          <w:color w:val="000000"/>
          <w:sz w:val="20"/>
          <w:shd w:fill="FFFFFF" w:val="clear"/>
        </w:rPr>
        <w:t>2.8 million</w:t>
      </w:r>
      <w:r>
        <w:rPr>
          <w:color w:val="000000"/>
        </w:rPr>
        <w:t xml:space="preserve"> </w:t>
      </w:r>
      <w:r>
        <w:rPr>
          <w:rFonts w:ascii="Times New Roman;sans-serif" w:hAnsi="Times New Roman;sans-serif"/>
          <w:b w:val="false"/>
          <w:color w:val="000000"/>
          <w:sz w:val="20"/>
        </w:rPr>
        <w:t xml:space="preserve">of restricted stock units ("RSUs") have been excluded from the diluted weighted average common shares outstanding, as their impact would have been antidilutive. </w:t>
      </w:r>
    </w:p>
    <w:p>
      <w:pPr>
        <w:pStyle w:val="TextBody"/>
        <w:bidi w:val="0"/>
        <w:spacing w:lineRule="auto" w:line="26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1.9 million of RSUs have been excluded from diluted weighted average common shares outstanding, as their impact would have been antidilutive.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The Company's Board of Directors previously authorized a program to repurchase up to </w:t>
      </w:r>
      <w:r>
        <w:rPr>
          <w:rFonts w:ascii="Times New Roman;sans-serif" w:hAnsi="Times New Roman;sans-serif"/>
          <w:b w:val="false"/>
          <w:color w:val="000000"/>
          <w:sz w:val="20"/>
          <w:shd w:fill="FFFFFF" w:val="clear"/>
        </w:rPr>
        <w:t>$1.5 billion</w:t>
      </w:r>
      <w:r>
        <w:rPr>
          <w:color w:val="000000"/>
        </w:rPr>
        <w:t xml:space="preserve"> </w:t>
      </w:r>
      <w:r>
        <w:rPr>
          <w:rFonts w:ascii="Times New Roman;sans-serif" w:hAnsi="Times New Roman;sans-serif"/>
          <w:b w:val="false"/>
          <w:color w:val="000000"/>
          <w:sz w:val="20"/>
        </w:rPr>
        <w:t xml:space="preserve">of its outstanding shares of common stock (the "Stock Repurchase Program"). The Stock Repurchase Program has no pre-established termination date and may be suspended or discontinued at any time. For the three and nine months ended September 30, 2024 and 2023, the Company did not repurchase any shares of its Class A Common Stock. As of September 30, 2024,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Restructuring and Other Related Charges</w:t>
      </w:r>
    </w:p>
    <w:p>
      <w:pPr>
        <w:pStyle w:val="TextBody"/>
        <w:bidi w:val="0"/>
        <w:spacing w:lineRule="auto" w:line="268" w:before="120" w:after="120"/>
        <w:ind w:left="0" w:right="0" w:firstLine="495"/>
        <w:jc w:val="both"/>
        <w:rPr/>
      </w:pPr>
      <w:r>
        <w:rPr>
          <w:rFonts w:ascii="Times New Roman;sans-serif" w:hAnsi="Times New Roman;sans-serif"/>
          <w:b w:val="false"/>
          <w:color w:val="000000"/>
          <w:sz w:val="20"/>
          <w:shd w:fill="FFFFFF" w:val="clear"/>
        </w:rPr>
        <w:t>Restructuring and other related charges were $3.5 million for t</w:t>
      </w:r>
      <w:r>
        <w:rPr>
          <w:rFonts w:ascii="Times New Roman;sans-serif" w:hAnsi="Times New Roman;sans-serif"/>
          <w:b w:val="false"/>
          <w:color w:val="000000"/>
          <w:sz w:val="20"/>
        </w:rPr>
        <w:t>he three months ended September 30, 2024, consisting</w:t>
      </w:r>
      <w:r>
        <w:rPr>
          <w:color w:val="000000"/>
          <w:shd w:fill="FFFFFF" w:val="clear"/>
        </w:rPr>
        <w:t xml:space="preserve"> </w:t>
      </w:r>
      <w:r>
        <w:rPr>
          <w:rFonts w:ascii="Times New Roman;sans-serif" w:hAnsi="Times New Roman;sans-serif"/>
          <w:b w:val="false"/>
          <w:color w:val="000000"/>
          <w:sz w:val="20"/>
          <w:shd w:fill="FFFFFF" w:val="clear"/>
        </w:rPr>
        <w:t xml:space="preserve">primarily of severance and employee-related costs, and </w:t>
      </w:r>
      <w:r>
        <w:rPr>
          <w:rFonts w:ascii="Times New Roman;sans-serif" w:hAnsi="Times New Roman;sans-serif"/>
          <w:b w:val="false"/>
          <w:color w:val="000000"/>
          <w:sz w:val="20"/>
        </w:rPr>
        <w:t xml:space="preserve">$6.4 million </w:t>
      </w:r>
      <w:r>
        <w:rPr>
          <w:rFonts w:ascii="Times New Roman;sans-serif" w:hAnsi="Times New Roman;sans-serif"/>
          <w:b w:val="false"/>
          <w:color w:val="000000"/>
          <w:sz w:val="20"/>
          <w:shd w:fill="FFFFFF" w:val="clear"/>
        </w:rPr>
        <w:t>for t</w:t>
      </w:r>
      <w:r>
        <w:rPr>
          <w:rFonts w:ascii="Times New Roman;sans-serif" w:hAnsi="Times New Roman;sans-serif"/>
          <w:b w:val="false"/>
          <w:color w:val="000000"/>
          <w:sz w:val="20"/>
        </w:rPr>
        <w:t>he nine months ended September 30, 2024, consisting</w:t>
      </w:r>
      <w:r>
        <w:rPr>
          <w:color w:val="000000"/>
          <w:shd w:fill="FFFFFF" w:val="clear"/>
        </w:rPr>
        <w:t xml:space="preserve"> </w:t>
      </w:r>
      <w:r>
        <w:rPr>
          <w:rFonts w:ascii="Times New Roman;sans-serif" w:hAnsi="Times New Roman;sans-serif"/>
          <w:b w:val="false"/>
          <w:color w:val="000000"/>
          <w:sz w:val="20"/>
          <w:shd w:fill="FFFFFF" w:val="clear"/>
        </w:rPr>
        <w:t>primarily of severance and employee-related costs, as well as content impairments in connection wit</w:t>
      </w:r>
      <w:r>
        <w:rPr>
          <w:rFonts w:ascii="Times New Roman;sans-serif" w:hAnsi="Times New Roman;sans-serif"/>
          <w:b w:val="false"/>
          <w:color w:val="000000"/>
          <w:sz w:val="20"/>
        </w:rPr>
        <w:t xml:space="preserve">h WE tv shifting to a reduced originals strategy. </w:t>
      </w:r>
    </w:p>
    <w:p>
      <w:pPr>
        <w:pStyle w:val="TextBody"/>
        <w:bidi w:val="0"/>
        <w:spacing w:lineRule="auto" w:line="268" w:before="120" w:after="120"/>
        <w:ind w:left="0" w:right="0" w:firstLine="495"/>
        <w:jc w:val="both"/>
        <w:rPr/>
      </w:pPr>
      <w:r>
        <w:rPr>
          <w:rFonts w:ascii="Times New Roman;sans-serif" w:hAnsi="Times New Roman;sans-serif"/>
          <w:b w:val="false"/>
          <w:color w:val="000000"/>
          <w:sz w:val="20"/>
          <w:shd w:fill="FFFFFF" w:val="clear"/>
        </w:rPr>
        <w:t xml:space="preserve">Restructuring and other related charges were </w:t>
      </w:r>
      <w:r>
        <w:rPr>
          <w:rFonts w:ascii="Times New Roman;sans-serif" w:hAnsi="Times New Roman;sans-serif"/>
          <w:b w:val="false"/>
          <w:color w:val="000000"/>
          <w:sz w:val="20"/>
        </w:rPr>
        <w:t>$10.6 million</w:t>
      </w:r>
      <w:r>
        <w:rPr>
          <w:color w:val="000000"/>
          <w:shd w:fill="FFFFFF" w:val="clear"/>
        </w:rPr>
        <w:t xml:space="preserve"> </w:t>
      </w:r>
      <w:r>
        <w:rPr>
          <w:rFonts w:ascii="Times New Roman;sans-serif" w:hAnsi="Times New Roman;sans-serif"/>
          <w:b w:val="false"/>
          <w:color w:val="000000"/>
          <w:sz w:val="20"/>
          <w:shd w:fill="FFFFFF" w:val="clear"/>
        </w:rPr>
        <w:t>and $22.5 million for t</w:t>
      </w:r>
      <w:r>
        <w:rPr>
          <w:rFonts w:ascii="Times New Roman;sans-serif" w:hAnsi="Times New Roman;sans-serif"/>
          <w:b w:val="false"/>
          <w:color w:val="000000"/>
          <w:sz w:val="20"/>
        </w:rPr>
        <w:t>he three and nine months ended September 30, 2023</w:t>
      </w:r>
      <w:r>
        <w:rPr>
          <w:rFonts w:ascii="Times New Roman;sans-serif" w:hAnsi="Times New Roman;sans-serif"/>
          <w:b w:val="false"/>
          <w:color w:val="000000"/>
          <w:sz w:val="20"/>
          <w:shd w:fill="FFFFFF" w:val="clear"/>
        </w:rPr>
        <w:t xml:space="preserve">, respectively, related to a restructuring plan (the "Plan") that commenced on November 28, 2022. During the third quarter of 2023, the Company exited a portion of its office space in its corporate headquarters in New York and all of its office space in Silver Spring, Maryland and Woodland Hills, California. In connection with exiting a portion of the New York office, the Company recorded impairment charges of $11.6 million, consisting of $9.1 million for operating lease right-of use assets and $2.5 million for leasehold improvements. </w:t>
      </w:r>
      <w:r>
        <w:rPr>
          <w:rFonts w:ascii="Times New Roman;sans-serif" w:hAnsi="Times New Roman;sans-serif"/>
          <w:b w:val="false"/>
          <w:color w:val="000000"/>
          <w:sz w:val="20"/>
        </w:rPr>
        <w:t xml:space="preserve">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 The remaining charges for the nine months ended September 30, 2023 consisted primarily of severance and other personnel costs in connection with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6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and other related charges recognized by operating segment:</w:t>
      </w:r>
    </w:p>
    <w:tbl>
      <w:tblPr>
        <w:tblW w:w="9775" w:type="dxa"/>
        <w:jc w:val="left"/>
        <w:tblInd w:w="0" w:type="dxa"/>
        <w:tblLayout w:type="fixed"/>
        <w:tblCellMar>
          <w:top w:w="28" w:type="dxa"/>
          <w:left w:w="28" w:type="dxa"/>
          <w:bottom w:w="28" w:type="dxa"/>
          <w:right w:w="28" w:type="dxa"/>
        </w:tblCellMar>
      </w:tblPr>
      <w:tblGrid>
        <w:gridCol w:w="1339"/>
        <w:gridCol w:w="1182"/>
        <w:gridCol w:w="1184"/>
        <w:gridCol w:w="265"/>
        <w:gridCol w:w="774"/>
        <w:gridCol w:w="137"/>
        <w:gridCol w:w="137"/>
        <w:gridCol w:w="137"/>
        <w:gridCol w:w="137"/>
        <w:gridCol w:w="265"/>
        <w:gridCol w:w="906"/>
        <w:gridCol w:w="137"/>
        <w:gridCol w:w="109"/>
        <w:gridCol w:w="109"/>
        <w:gridCol w:w="109"/>
        <w:gridCol w:w="256"/>
        <w:gridCol w:w="747"/>
        <w:gridCol w:w="132"/>
        <w:gridCol w:w="132"/>
        <w:gridCol w:w="132"/>
        <w:gridCol w:w="132"/>
        <w:gridCol w:w="256"/>
        <w:gridCol w:w="875"/>
        <w:gridCol w:w="186"/>
      </w:tblGrid>
      <w:tr>
        <w:trPr/>
        <w:tc>
          <w:tcPr>
            <w:tcW w:w="133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705"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other related charges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accrued restructuring and other related costs:</w:t>
      </w:r>
    </w:p>
    <w:tbl>
      <w:tblPr>
        <w:tblW w:w="10205" w:type="dxa"/>
        <w:jc w:val="left"/>
        <w:tblInd w:w="0" w:type="dxa"/>
        <w:tblLayout w:type="fixed"/>
        <w:tblCellMar>
          <w:top w:w="28" w:type="dxa"/>
          <w:left w:w="28" w:type="dxa"/>
          <w:bottom w:w="28" w:type="dxa"/>
          <w:right w:w="28" w:type="dxa"/>
        </w:tblCellMar>
      </w:tblPr>
      <w:tblGrid>
        <w:gridCol w:w="898"/>
        <w:gridCol w:w="760"/>
        <w:gridCol w:w="763"/>
        <w:gridCol w:w="654"/>
        <w:gridCol w:w="1911"/>
        <w:gridCol w:w="340"/>
        <w:gridCol w:w="109"/>
        <w:gridCol w:w="109"/>
        <w:gridCol w:w="109"/>
        <w:gridCol w:w="705"/>
        <w:gridCol w:w="2063"/>
        <w:gridCol w:w="366"/>
        <w:gridCol w:w="109"/>
        <w:gridCol w:w="109"/>
        <w:gridCol w:w="109"/>
        <w:gridCol w:w="211"/>
        <w:gridCol w:w="721"/>
        <w:gridCol w:w="159"/>
      </w:tblGrid>
      <w:tr>
        <w:trPr/>
        <w:tc>
          <w:tcPr>
            <w:tcW w:w="89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and Employee-Related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Content Impairments and 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and other related costs of $7.2 million are included in Accrued liabilities in the condensed consolidated balance sheet at September 30, 2024. Accrued restructuring and other related costs of $12.1 million and $1.6 million are included in Accrued liabilities and Other liabilities, respectively, in the condensed consolidated balance sheet at December 31, 2023.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Program Rights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capitalized produced and licensed content by predominant monetization strategy is as follows:</w:t>
      </w:r>
    </w:p>
    <w:tbl>
      <w:tblPr>
        <w:tblW w:w="10205" w:type="dxa"/>
        <w:jc w:val="left"/>
        <w:tblInd w:w="0" w:type="dxa"/>
        <w:tblLayout w:type="fixed"/>
        <w:tblCellMar>
          <w:top w:w="28" w:type="dxa"/>
          <w:left w:w="28" w:type="dxa"/>
          <w:bottom w:w="28" w:type="dxa"/>
          <w:right w:w="28" w:type="dxa"/>
        </w:tblCellMar>
      </w:tblPr>
      <w:tblGrid>
        <w:gridCol w:w="1119"/>
        <w:gridCol w:w="830"/>
        <w:gridCol w:w="833"/>
        <w:gridCol w:w="559"/>
        <w:gridCol w:w="1918"/>
        <w:gridCol w:w="292"/>
        <w:gridCol w:w="109"/>
        <w:gridCol w:w="109"/>
        <w:gridCol w:w="109"/>
        <w:gridCol w:w="431"/>
        <w:gridCol w:w="1999"/>
        <w:gridCol w:w="225"/>
        <w:gridCol w:w="109"/>
        <w:gridCol w:w="109"/>
        <w:gridCol w:w="109"/>
        <w:gridCol w:w="211"/>
        <w:gridCol w:w="976"/>
        <w:gridCol w:w="158"/>
      </w:tblGrid>
      <w:tr>
        <w:trPr/>
        <w:tc>
          <w:tcPr>
            <w:tcW w:w="11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655,968 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942,024 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766,380 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1,708,020 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1,784,764 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19"/>
        <w:gridCol w:w="830"/>
        <w:gridCol w:w="833"/>
        <w:gridCol w:w="508"/>
        <w:gridCol w:w="1995"/>
        <w:gridCol w:w="265"/>
        <w:gridCol w:w="109"/>
        <w:gridCol w:w="109"/>
        <w:gridCol w:w="109"/>
        <w:gridCol w:w="431"/>
        <w:gridCol w:w="1999"/>
        <w:gridCol w:w="225"/>
        <w:gridCol w:w="109"/>
        <w:gridCol w:w="109"/>
        <w:gridCol w:w="109"/>
        <w:gridCol w:w="211"/>
        <w:gridCol w:w="976"/>
        <w:gridCol w:w="159"/>
      </w:tblGrid>
      <w:tr>
        <w:trPr/>
        <w:tc>
          <w:tcPr>
            <w:tcW w:w="11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532,839 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672,202 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139,363 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817,294 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956,657 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other production costs</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851,348 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853,876 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141,891 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1,668,642 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1,802,653 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1,810,533 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including write-offs, of owned and licensed program rights, included in Technical and operating expenses in the condensed consolidated statements of income, is as follows:</w:t>
      </w:r>
    </w:p>
    <w:tbl>
      <w:tblPr>
        <w:tblW w:w="10205" w:type="dxa"/>
        <w:jc w:val="left"/>
        <w:tblInd w:w="0" w:type="dxa"/>
        <w:tblLayout w:type="fixed"/>
        <w:tblCellMar>
          <w:top w:w="28" w:type="dxa"/>
          <w:left w:w="28" w:type="dxa"/>
          <w:bottom w:w="28" w:type="dxa"/>
          <w:right w:w="28" w:type="dxa"/>
        </w:tblCellMar>
      </w:tblPr>
      <w:tblGrid>
        <w:gridCol w:w="497"/>
        <w:gridCol w:w="320"/>
        <w:gridCol w:w="321"/>
        <w:gridCol w:w="273"/>
        <w:gridCol w:w="903"/>
        <w:gridCol w:w="152"/>
        <w:gridCol w:w="109"/>
        <w:gridCol w:w="109"/>
        <w:gridCol w:w="109"/>
        <w:gridCol w:w="247"/>
        <w:gridCol w:w="933"/>
        <w:gridCol w:w="140"/>
        <w:gridCol w:w="109"/>
        <w:gridCol w:w="109"/>
        <w:gridCol w:w="109"/>
        <w:gridCol w:w="196"/>
        <w:gridCol w:w="736"/>
        <w:gridCol w:w="109"/>
        <w:gridCol w:w="109"/>
        <w:gridCol w:w="109"/>
        <w:gridCol w:w="109"/>
        <w:gridCol w:w="273"/>
        <w:gridCol w:w="903"/>
        <w:gridCol w:w="152"/>
        <w:gridCol w:w="109"/>
        <w:gridCol w:w="109"/>
        <w:gridCol w:w="109"/>
        <w:gridCol w:w="247"/>
        <w:gridCol w:w="933"/>
        <w:gridCol w:w="140"/>
        <w:gridCol w:w="109"/>
        <w:gridCol w:w="109"/>
        <w:gridCol w:w="109"/>
        <w:gridCol w:w="196"/>
        <w:gridCol w:w="736"/>
        <w:gridCol w:w="163"/>
      </w:tblGrid>
      <w:tr>
        <w:trPr/>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62,872 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215,959 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278,831 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20,855 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206,135 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64,852 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576,854 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641,706 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7"/>
        <w:gridCol w:w="320"/>
        <w:gridCol w:w="321"/>
        <w:gridCol w:w="273"/>
        <w:gridCol w:w="903"/>
        <w:gridCol w:w="152"/>
        <w:gridCol w:w="109"/>
        <w:gridCol w:w="109"/>
        <w:gridCol w:w="109"/>
        <w:gridCol w:w="247"/>
        <w:gridCol w:w="933"/>
        <w:gridCol w:w="140"/>
        <w:gridCol w:w="109"/>
        <w:gridCol w:w="109"/>
        <w:gridCol w:w="109"/>
        <w:gridCol w:w="196"/>
        <w:gridCol w:w="736"/>
        <w:gridCol w:w="109"/>
        <w:gridCol w:w="109"/>
        <w:gridCol w:w="109"/>
        <w:gridCol w:w="109"/>
        <w:gridCol w:w="249"/>
        <w:gridCol w:w="939"/>
        <w:gridCol w:w="140"/>
        <w:gridCol w:w="109"/>
        <w:gridCol w:w="109"/>
        <w:gridCol w:w="109"/>
        <w:gridCol w:w="247"/>
        <w:gridCol w:w="933"/>
        <w:gridCol w:w="140"/>
        <w:gridCol w:w="109"/>
        <w:gridCol w:w="109"/>
        <w:gridCol w:w="109"/>
        <w:gridCol w:w="196"/>
        <w:gridCol w:w="736"/>
        <w:gridCol w:w="163"/>
      </w:tblGrid>
      <w:tr>
        <w:trPr/>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101,947 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165,547 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267,494 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21,601 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174,698 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104,567 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522,118 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626,685 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495"/>
        <w:jc w:val="both"/>
        <w:rPr/>
      </w:pPr>
      <w:r>
        <w:rPr>
          <w:rFonts w:ascii="Times New Roman;sans-serif" w:hAnsi="Times New Roman;sans-serif"/>
          <w:b w:val="false"/>
          <w:color w:val="000000"/>
          <w:sz w:val="20"/>
          <w:shd w:fill="FFFFFF" w:val="clear"/>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 There were</w:t>
      </w:r>
      <w:r>
        <w:rPr>
          <w:color w:val="000000"/>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significant program rights write-offs included in technical and operating expenses f</w:t>
      </w:r>
      <w:r>
        <w:rPr>
          <w:rFonts w:ascii="Times New Roman;sans-serif" w:hAnsi="Times New Roman;sans-serif"/>
          <w:b w:val="false"/>
          <w:color w:val="000000"/>
          <w:sz w:val="20"/>
        </w:rPr>
        <w:t>or the three and nine months ended September 30,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may qualify for tax incentives through eligible investments in productions. Receivables related to tax incentives earned on production spend as of September 30, 2024 consisted of $150.6 million recorded in Prepaid expenses and other current assets and $57.8 million recorded in Other assets. Receivables related to tax incentives earned on production spend as of December 31, 2023 consisted of $230.3 million recorded in Prepaid expenses and other current assets and $49.9 million recorded in Other assets.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Investments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several investments in and loans to non-consolidated entities which are included in Other assets in the condensed consolidated balance sheet.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Equity method investments were</w:t>
      </w:r>
      <w:r>
        <w:rPr>
          <w:color w:val="000000"/>
          <w:shd w:fill="FFFFFF" w:val="clear"/>
        </w:rPr>
        <w:t xml:space="preserve"> </w:t>
      </w:r>
      <w:r>
        <w:rPr>
          <w:rFonts w:ascii="Times New Roman;sans-serif" w:hAnsi="Times New Roman;sans-serif"/>
          <w:b w:val="false"/>
          <w:color w:val="000000"/>
          <w:sz w:val="20"/>
        </w:rPr>
        <w:t>$84.4 million</w:t>
      </w:r>
      <w:r>
        <w:rPr>
          <w:color w:val="000000"/>
          <w:shd w:fill="FFFFFF" w:val="clear"/>
        </w:rPr>
        <w:t xml:space="preserve"> </w:t>
      </w:r>
      <w:r>
        <w:rPr>
          <w:rFonts w:ascii="Times New Roman;sans-serif" w:hAnsi="Times New Roman;sans-serif"/>
          <w:b w:val="false"/>
          <w:color w:val="000000"/>
          <w:sz w:val="20"/>
        </w:rPr>
        <w:t>and $83.1 million at September 30, 2024 and December 31, 2023, respectively.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Non-marketable Equity Securities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Investments in non-marketable equity securities were </w:t>
      </w:r>
      <w:r>
        <w:rPr>
          <w:rFonts w:ascii="Times New Roman;sans-serif" w:hAnsi="Times New Roman;sans-serif"/>
          <w:b w:val="false"/>
          <w:color w:val="000000"/>
          <w:sz w:val="20"/>
          <w:shd w:fill="FFFFFF" w:val="clear"/>
        </w:rPr>
        <w:t>$43.9 million and $41.6 million a</w:t>
      </w:r>
      <w:r>
        <w:rPr>
          <w:rFonts w:ascii="Times New Roman;sans-serif" w:hAnsi="Times New Roman;sans-serif"/>
          <w:b w:val="false"/>
          <w:color w:val="000000"/>
          <w:sz w:val="20"/>
        </w:rPr>
        <w:t>t September 30, 2024 and December 31, 2023, respectively. No gains or losses were recorded on non-marketable equity securities for the three and nine months ended September 30, 2024, or the three months ended September 30, 2023. During the nine months ended September 30, 2023, the Company recognized impairment charges of $1.7 million on certain investments, which are included in Miscellaneous, net in the condensed consolidated statements of income.</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7. Goodwill and Other Intangible Assets</w:t>
      </w:r>
    </w:p>
    <w:p>
      <w:pPr>
        <w:pStyle w:val="TextBody"/>
        <w:bidi w:val="0"/>
        <w:spacing w:lineRule="auto" w:line="288" w:before="12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by operating segment is as follows:</w:t>
      </w:r>
    </w:p>
    <w:tbl>
      <w:tblPr>
        <w:tblW w:w="7116" w:type="dxa"/>
        <w:jc w:val="left"/>
        <w:tblInd w:w="0" w:type="dxa"/>
        <w:tblLayout w:type="fixed"/>
        <w:tblCellMar>
          <w:top w:w="28" w:type="dxa"/>
          <w:left w:w="28" w:type="dxa"/>
          <w:bottom w:w="28" w:type="dxa"/>
          <w:right w:w="28" w:type="dxa"/>
        </w:tblCellMar>
      </w:tblPr>
      <w:tblGrid>
        <w:gridCol w:w="872"/>
        <w:gridCol w:w="770"/>
        <w:gridCol w:w="773"/>
        <w:gridCol w:w="315"/>
        <w:gridCol w:w="1233"/>
        <w:gridCol w:w="162"/>
        <w:gridCol w:w="109"/>
        <w:gridCol w:w="109"/>
        <w:gridCol w:w="109"/>
        <w:gridCol w:w="211"/>
        <w:gridCol w:w="826"/>
        <w:gridCol w:w="109"/>
        <w:gridCol w:w="109"/>
        <w:gridCol w:w="109"/>
        <w:gridCol w:w="109"/>
        <w:gridCol w:w="211"/>
        <w:gridCol w:w="82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and other charges for the nine months ended September 30, 2024 included a $68.0 million goodwill impairment charge at AMCNI recorded in the second quarter of 2024, as further discussed below. </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accumulated impairment charges in the International segment totaled $253.5 million and $185.5 million, respectively, inclusive of the 25/7 Media impairment charges recorded in 2023 prior to the divestiture of that business in December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relating to the Company's identifiable intangible assets:</w:t>
      </w:r>
    </w:p>
    <w:tbl>
      <w:tblPr>
        <w:tblW w:w="10205" w:type="dxa"/>
        <w:jc w:val="left"/>
        <w:tblInd w:w="0" w:type="dxa"/>
        <w:tblLayout w:type="fixed"/>
        <w:tblCellMar>
          <w:top w:w="28" w:type="dxa"/>
          <w:left w:w="28" w:type="dxa"/>
          <w:bottom w:w="28" w:type="dxa"/>
          <w:right w:w="28" w:type="dxa"/>
        </w:tblCellMar>
      </w:tblPr>
      <w:tblGrid>
        <w:gridCol w:w="1286"/>
        <w:gridCol w:w="1073"/>
        <w:gridCol w:w="1084"/>
        <w:gridCol w:w="211"/>
        <w:gridCol w:w="826"/>
        <w:gridCol w:w="109"/>
        <w:gridCol w:w="109"/>
        <w:gridCol w:w="109"/>
        <w:gridCol w:w="109"/>
        <w:gridCol w:w="326"/>
        <w:gridCol w:w="1377"/>
        <w:gridCol w:w="168"/>
        <w:gridCol w:w="109"/>
        <w:gridCol w:w="109"/>
        <w:gridCol w:w="109"/>
        <w:gridCol w:w="211"/>
        <w:gridCol w:w="826"/>
        <w:gridCol w:w="109"/>
        <w:gridCol w:w="109"/>
        <w:gridCol w:w="109"/>
        <w:gridCol w:w="109"/>
        <w:gridCol w:w="471"/>
        <w:gridCol w:w="471"/>
        <w:gridCol w:w="676"/>
      </w:tblGrid>
      <w:tr>
        <w:trPr/>
        <w:tc>
          <w:tcPr>
            <w:tcW w:w="1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(459,881)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 to 25 years</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to 20 years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(552,430)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(552,430)</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(421,968)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(507,536)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(507,536)</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Aggregate amortization expense for amortizable intangible assets for the three months ended September 30, 2024 and 2023 was $7.9 million</w:t>
      </w:r>
      <w:r>
        <w:rPr>
          <w:color w:val="000000"/>
          <w:shd w:fill="FFFFFF" w:val="clear"/>
        </w:rPr>
        <w:t xml:space="preserve"> </w:t>
      </w:r>
      <w:r>
        <w:rPr>
          <w:rFonts w:ascii="Times New Roman;sans-serif" w:hAnsi="Times New Roman;sans-serif"/>
          <w:b w:val="false"/>
          <w:color w:val="000000"/>
          <w:sz w:val="20"/>
        </w:rPr>
        <w:t xml:space="preserve">and $9.8 million, respectively, and for the nine months ended September 30, 2024 and 2023 was $26.1 million and $30.7 million, respectively.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Excluding the $15.7 million impairment charge associated with BBCA recorded in the second quarter of 2024, as discussed below, estimated aggregate amortization expense for intangible assets subject to amortization for each of the following five years is:</w:t>
      </w:r>
    </w:p>
    <w:tbl>
      <w:tblPr>
        <w:tblW w:w="3350" w:type="dxa"/>
        <w:jc w:val="left"/>
        <w:tblInd w:w="0" w:type="dxa"/>
        <w:tblLayout w:type="fixed"/>
        <w:tblCellMar>
          <w:top w:w="28" w:type="dxa"/>
          <w:left w:w="28" w:type="dxa"/>
          <w:bottom w:w="28" w:type="dxa"/>
          <w:right w:w="28" w:type="dxa"/>
        </w:tblCellMar>
      </w:tblPr>
      <w:tblGrid>
        <w:gridCol w:w="818"/>
        <w:gridCol w:w="722"/>
        <w:gridCol w:w="724"/>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Impairment Test of Long-Lived Assets and Goodwill</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and other charges of $96.8 million for the nine months ended September 30, 2024 primarily consisted of a $68.0 million goodwill impairment charge at AMCNI and $29.2 million of long-lived asset impairment charges at BBCA, both of which were recorded in the second quarter of 2024. Impairment and other charges of $30.3 million for the nine months ended September 30, 2023 consisted primarily of goodwill and long-lived asset impairment charges of $24.9 million at 25/7 Media.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Goodwill is not amortized, but instead is tested for impairment at the reporting unit annually as of December 1, or more frequently upon the occurrence of certain events or substantive changes in circumstances. During the second quarter of 2024, the Company determined that a triggering event had occurred with respect to the Company's decline in stock price. Accordingly, the Company performed quantitative assessments for all reporting units. The fair values were determined using a combination of an income approach, using a DCF model and a market comparables approach. The DCF model includes significant assumptions about revenue growth rates, long-term growth rates, and enterprise specific discount rates. Additionally, the market comparables approach uses guideline company valuation multiples. Given the uncertainty in determining assumptions underlying the DCF approach, actual results may differ from those used in the valuation</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Based on the valuations performed, the Company concluded that the estimated fair value of the AMCNI reporting unit declined to less than its carrying amount. As a result, the Company recognized an impairment charge of</w:t>
      </w:r>
      <w:r>
        <w:rPr>
          <w:color w:val="000000"/>
          <w:shd w:fill="FFFFFF" w:val="clear"/>
        </w:rPr>
        <w:t xml:space="preserve"> </w:t>
      </w:r>
      <w:r>
        <w:rPr>
          <w:rFonts w:ascii="Times New Roman;sans-serif" w:hAnsi="Times New Roman;sans-serif"/>
          <w:b w:val="false"/>
          <w:color w:val="000000"/>
          <w:sz w:val="20"/>
          <w:shd w:fill="FFFFFF" w:val="clear"/>
        </w:rPr>
        <w:t>$68.0 million rel</w:t>
      </w:r>
      <w:r>
        <w:rPr>
          <w:rFonts w:ascii="Times New Roman;sans-serif" w:hAnsi="Times New Roman;sans-serif"/>
          <w:b w:val="false"/>
          <w:color w:val="000000"/>
          <w:sz w:val="20"/>
        </w:rPr>
        <w:t xml:space="preserve">ated to the AMCNI reporting unit, included in Impairment and other charges in the condensed consolidated statements of income. No impairment charges were required for our other reporting unit. </w:t>
      </w:r>
    </w:p>
    <w:p>
      <w:pPr>
        <w:pStyle w:val="TextBody"/>
        <w:bidi w:val="0"/>
        <w:spacing w:lineRule="auto" w:line="26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the second quarter of 2024, given continued market challenges and linear declines, the Company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$15.7 million was recorded for identifiable intangible assets and $13.5 million for other long-lived assets, which is included in Impairment and other charges in the condensed consolidated statements of income within the Domestic Operations operating segment. Fair values were determined using a market approach. </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rPr>
        <w:t>During the second quarter of 2023, and prior to its divestiture in December 2023, the Company revised its outlook for the 25/7 Media business, resulting in lower expected future cash flows.</w:t>
      </w:r>
      <w:r>
        <w:rPr>
          <w:color w:val="000000"/>
        </w:rPr>
        <w:t xml:space="preserve"> </w:t>
      </w:r>
      <w:r>
        <w:rPr>
          <w:rFonts w:ascii="Times New Roman;sans-serif" w:hAnsi="Times New Roman;sans-serif"/>
          <w:b w:val="false"/>
          <w:color w:val="000000"/>
          <w:sz w:val="20"/>
        </w:rPr>
        <w:t xml:space="preserve">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condensed consolidated statements of income within the International operating segment. Fair values used to determine the impairment charge were determined using an income approach, specifically a DCF model, and a market comparables approach.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the Company also determined that a triggering event had occurred with respect to the 25/7 Media reporting unit, which required an interim goodwill impairment test to be performed. Accordingly, the Company performed a quantitative assessment using an income approach, specifically a DCF model, and a market comparables approach. Based on the valuations performed, a $1.9 million goodwill impairment charge was recorded, which is included in Impairment and other charges in the condensed consolidated statements of income within the International operating segment.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Note 8. Accrued Liabilities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w:t>
      </w:r>
    </w:p>
    <w:tbl>
      <w:tblPr>
        <w:tblW w:w="5875" w:type="dxa"/>
        <w:jc w:val="left"/>
        <w:tblInd w:w="0" w:type="dxa"/>
        <w:tblLayout w:type="fixed"/>
        <w:tblCellMar>
          <w:top w:w="28" w:type="dxa"/>
          <w:left w:w="28" w:type="dxa"/>
          <w:bottom w:w="28" w:type="dxa"/>
          <w:right w:w="28" w:type="dxa"/>
        </w:tblCellMar>
      </w:tblPr>
      <w:tblGrid>
        <w:gridCol w:w="851"/>
        <w:gridCol w:w="751"/>
        <w:gridCol w:w="753"/>
        <w:gridCol w:w="295"/>
        <w:gridCol w:w="1157"/>
        <w:gridCol w:w="152"/>
        <w:gridCol w:w="109"/>
        <w:gridCol w:w="109"/>
        <w:gridCol w:w="109"/>
        <w:gridCol w:w="281"/>
        <w:gridCol w:w="1103"/>
        <w:gridCol w:w="205"/>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costs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Participations and residuals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305,614 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385,838 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bidi w:val="0"/>
        <w:spacing w:lineRule="auto" w:line="288" w:before="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long-term debt included in the condensed consolidated balance sheet as follows:</w:t>
      </w:r>
    </w:p>
    <w:tbl>
      <w:tblPr>
        <w:tblW w:w="8261" w:type="dxa"/>
        <w:jc w:val="left"/>
        <w:tblInd w:w="0" w:type="dxa"/>
        <w:tblLayout w:type="fixed"/>
        <w:tblCellMar>
          <w:top w:w="28" w:type="dxa"/>
          <w:left w:w="28" w:type="dxa"/>
          <w:bottom w:w="28" w:type="dxa"/>
          <w:right w:w="28" w:type="dxa"/>
        </w:tblCellMar>
      </w:tblPr>
      <w:tblGrid>
        <w:gridCol w:w="1713"/>
        <w:gridCol w:w="1511"/>
        <w:gridCol w:w="1516"/>
        <w:gridCol w:w="261"/>
        <w:gridCol w:w="1209"/>
        <w:gridCol w:w="135"/>
        <w:gridCol w:w="109"/>
        <w:gridCol w:w="109"/>
        <w:gridCol w:w="109"/>
        <w:gridCol w:w="250"/>
        <w:gridCol w:w="1157"/>
        <w:gridCol w:w="182"/>
      </w:tblGrid>
      <w:tr>
        <w:trPr/>
        <w:tc>
          <w:tcPr>
            <w:tcW w:w="17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Credit Facility: </w:t>
            </w:r>
            <w:r>
              <w:rPr>
                <w:rFonts w:ascii="Times New Roman;sans-serif" w:hAnsi="Times New Roman;sans-serif"/>
                <w:b w:val="false"/>
                <w:color w:val="000000"/>
                <w:sz w:val="14"/>
              </w:rPr>
              <w:t>(a)</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August 2025</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10.25% Senior Secured Notes due January 2029</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Senior Notes due February 2029</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February 2029</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2,377,510 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2,382,229 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2,342,561 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2,361,749 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long-term 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2,335,061 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2,294,249 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pPr>
      <w:r>
        <w:rPr>
          <w:rFonts w:ascii="Times New Roman;sans-serif" w:hAnsi="Times New Roman;sans-serif"/>
          <w:b w:val="false"/>
          <w:color w:val="000000"/>
          <w:sz w:val="16"/>
        </w:rPr>
        <w:t>(a)</w:t>
      </w:r>
      <w:r>
        <w:rPr>
          <w:rFonts w:ascii="Times New Roman;sans-serif" w:hAnsi="Times New Roman;sans-serif"/>
          <w:b w:val="false"/>
          <w:color w:val="000000"/>
          <w:sz w:val="20"/>
        </w:rPr>
        <w:t xml:space="preserve">Represents the aggregate principal amount of the debt, with maturities of Term Loan A (Non-Extended) $90.0 million due February 2026, Term Loan A (Extended) $283.8 million due April 2028, and undrawn $175.0 million Revolving Credit Facility (as defined below) due April 2028. Total undrawn revolver commitments are available to be drawn for general corporate purposes of the Company. </w:t>
      </w:r>
    </w:p>
    <w:p>
      <w:pPr>
        <w:pStyle w:val="TextBody"/>
        <w:bidi w:val="0"/>
        <w:spacing w:before="120" w:after="120"/>
        <w:ind w:left="0" w:right="0" w:hanging="18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4.25% Senior Notes due 2029</w:t>
      </w:r>
    </w:p>
    <w:p>
      <w:pPr>
        <w:pStyle w:val="TextBody"/>
        <w:bidi w:val="0"/>
        <w:spacing w:lineRule="auto" w:line="276"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repurchased $15.0 million of its outstanding 4.25% Senior Notes due 2029 through open market repurchases, at a discount of $4.9 million, and retired the repurchased notes. The Company recorded a $4.7 million gain which reflects the discount, net of $0.2 million to write off a portion of the unamortized discount and deferred financing costs associated with the notes. The $4.7 million gain is included in Loss on extinguishment of debt, net within the condensed consolidated statements of income.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4.25% Convertible Senior Notes due 2029</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the Company completed a private unregistered offering of $143.8 million aggregate principal amount of its Convertible Notes, which amount includes the full exercise of the initial purchasers’ option to purchase additional Convertible Notes. The Company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10.25% Senior Secured Notes due 2029 (the “Guarantors”), subject to certain exceptions, on a senior, unsecured basis.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were issued pursuant to an Indenture, dated as of June 21, 2024 (the “Convertible Notes Indenture”), among the Company, the Guarantors and U.S. Bank Trust Company, National Association, as trustee (“Trustee”).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bear interest at a rate of 4.25% per year, payable semi-annually in arrears on February 15 and August 15 of each year, beginning on February 15, 2025. The Convertible Notes will mature on February 15, 2029, unless earlier redeemed, repurchased or converted.</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of the Convertible Notes Indenture, the Convertible Notes may be converted at an initial conversion rate of 78.5083 shares of Class A common stock, par value $0.01 per share, of the Company (“Class A Common Stock”) per $1,000 principal amount of Convertible Notes (equivalent to an initial conversion price of approximately $12.74 per share of Class A Common Stock). Upon conversion of the Convertible Notes, the Company will pay or deliver, as the case may be, cash, shares of Class A Common Stock or a combination of cash and shares of Class A Common Stock, at the Company’s election, as described in the Convertible Notes Indenture. Holders of the Convertible Notes may convert their Convertible Notes at their option at any time on or after November 15, 2028 until the close of business on the second scheduled trading day immediately preceding the maturity date. Holders of the Convertible Notes will also have the right to convert the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Notes prior to November 15, 2028, but only upon the occurrence of specified events described in the Convertible Notes Indenture. The conversion rate is subject to antidilution adjustments if certain events occur.</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Prior to August 20, 2027, the Convertible Notes will not be redeemable. On or after August 20, 2027, the Company may redeem for cash all or part of the Convertible Notes (subject to certain exceptions), at its option, if the last reported sale price of the Class A Common Stock has been at least 130% of the conversion price then in effect for at least 20 trading days (whether or not consecutive) during any period of 30 consecutive trading days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not including, the redemption date. No sinking fund is provided for the Convertible Notes.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certain corporate events (each defined in the Convertible Notes Indenture as a “Make-Whole Fundamental Change”) occur prior to the maturity date of the Convertible Notes, and a holder elects to convert its Convertible Notes in connection with such corporate event, the Company will, under certain circumstances, increase the conversion rate for the Convertible Notes so surrendered for conversion by a number of additional shares of Class A Common Stock as specified in the Convertible Notes Indenture. No adjustment to the conversion rate will be made if the price paid or deemed to be paid per share of Class A Common Stock in such corporate event is either less than $10.19 per share or exceeds $130.00 per share.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 specified “Fundamental Change” (as defined in the Convertible Notes Indenture) occurs prior to the maturity date of the Convertible Notes, under certain circumstances each holder may require the Company to repurchase all or part of its Convertible Notes at a repurchase price equal to 100% of the principal amount, plus accrued and unpaid interest to, but not including, the repurchase date.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Convertible Notes Indenture, the Convertible Notes may be accelerated upon the occurrence of certain events of default. In the case of an event of default with respect to the Convertible Notes arising from specified events of bankruptcy or insolvency of the Company or the Company’s Significant Subsidiaries (as defined in the Convertible Notes Indenture), 100% of the principal of and accrued and unpaid interest on the Convertible Notes will automatically become due and payable. If any other event of default with respect to the Convertible Notes under the Convertible Notes Indenture occurs or is continuing, the Trustee or holders of at least 25% in aggregate principal amount of the then outstanding Convertible Notes may declare the principal amount of and accrued and unpaid interest, if any, on the Convertible Notes to be immediately due and payable.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Amendment to Credit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entered into Amendment No. 3 ("Amendment No. 3") to the Second Amended and Restated Credit Agreement, dated as of July 28, 2017 (as amended to date and by Amendment No. 3,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Amendment No. 3, AMC Networks made a $165.6 million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addition, pursuant to Amendment No. 3, the maturity date of $325 million principal amount of loans under the Term Loan A Facility as well as all of the commitments under the Revolving Credit Facility has been extended to April 9, 2028. The maturity date of the remaining $100 million principal amount of loans under the Term Loan A Facility continues to be February 8, 2026. Amendment No. 3 also includes certain other modifications to covenants and other provisions of the Credit Agreement. In connection with the $165.6 million partial prepayment of the Term Loan A Facility and the modification of the revolving loan commitments, the Company recorded a charge of $1.3 million to write off a portion of the unamortized discount and deferred financing costs associated with the Credit Agreement, which is included in Loss on extinguishment of debt, net within the condensed consolidated statements of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each of the second and third quarters of 2024, the Company repaid $8.1 million of borrowings under the Term Loan A Facility in accordance with the terms of the amended agreement. During the third quarter of 2024, the Company also voluntarily prepaid $35.0 million of borrowings under the Term Loan A Facility. In connection with this prepayment, the Company recorded a charge of $0.4 million to write-off a portion of the associated unamortized discount and deferred financing costs, which is included in Loss on extinguishment of debt, net within the condensed consolidated statements of income. In March 2024, the Company also repaid $16.9 million of borrowings under the Term Loan A Facility in accordance with the previous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10.25% Senior Secured Notes due 2029</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issued $875 million aggregate principal amount of 10.25% Senior Secured Notes due 2029 (the “Secured Notes”). AMC Networks received net proceeds of $863 million, after deducting initial purchasers' discounts. The Secured Notes are guaranteed by AMC Network Entertainment and AMC Networks' subsidiaries that guarantee the Credit Agreement.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Notes were issued pursuant to an Indenture, dated as of April 9, 2024 (the “Secured Notes Indenture”), among AMC Networks, the Guarantors and U.S. Bank Trust Company, National Association, as Trustee.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Notes accrue interest at a rate of 10.25% per annum and mature on January 15, 2029. Interest is payable semiannually on January 15 and July 15 of each year, commencing on July 15, 2024. The Secured Notes are AMC Networks’ general senior secured obligations, secured on a first-priority basis by substantially all of AMC Networks’ and the Guarantors’ assets and property, subject to certain liens permitted under the Secured Notes Indenture, and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Secured Notes, in each case, to the extent of the value of the collateral.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January 15, 2026, AMC Networks may redeem the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January 15 of the years indicated below:</w:t>
      </w:r>
    </w:p>
    <w:tbl>
      <w:tblPr>
        <w:tblW w:w="3011" w:type="dxa"/>
        <w:jc w:val="left"/>
        <w:tblInd w:w="0" w:type="dxa"/>
        <w:tblLayout w:type="fixed"/>
        <w:tblCellMar>
          <w:top w:w="28" w:type="dxa"/>
          <w:left w:w="28" w:type="dxa"/>
          <w:bottom w:w="28" w:type="dxa"/>
          <w:right w:w="28" w:type="dxa"/>
        </w:tblCellMar>
      </w:tblPr>
      <w:tblGrid>
        <w:gridCol w:w="610"/>
        <w:gridCol w:w="537"/>
        <w:gridCol w:w="547"/>
        <w:gridCol w:w="109"/>
        <w:gridCol w:w="109"/>
        <w:gridCol w:w="109"/>
        <w:gridCol w:w="289"/>
        <w:gridCol w:w="289"/>
        <w:gridCol w:w="412"/>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105.125%</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102.563%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optional redemption of the Secured Notes described above, at any time prior to January 15, 2026, AMC Networks may redeem up to 40% of the aggregate principal amount of the Secured Notes at a redemption price equal to 110.250% of the principal amount thereof, plus accrued and unpaid interest and additional interest, if any, using the net proceeds of certain equity offerings. At any time prior to January 15, 2026, AMC Networks may also redeem up to 10% of the aggregate principal amount of the Secured Notes during any twelve month period at a redemption price equal to 103.000% of the aggregate principal amount thereof, plus accrued and unpaid interest thereon to, but excluding, the redemption date.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at any time prior to January 15, 2026, AMC Networks may redeem the Secured Notes, at its option in whole or in part, at any time, at a redemption price equal to 100% of the principal amount thereof to be redeemed plus the “Applicable Premium” calculated as described in the Secured Notes Indenture at the Treasury rate + 50 basis points, and accrued and unpaid interest thereon, if any, to, but excluding, the redemption date.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Tender Offer and Redemption of 4.75% Senior Notes due 2025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the Company recorded a charge of $3.1 million to write off the remaining unamortized discount and deferred financing costs associated with the 4.75% Senior Notes due 2025, which is included in Loss on extinguishment of debt, net within the condensed consolidated statements of income.</w:t>
      </w:r>
    </w:p>
    <w:p>
      <w:pPr>
        <w:pStyle w:val="TextBody"/>
        <w:bidi w:val="0"/>
        <w:spacing w:before="120" w:after="283"/>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leases included in the condensed consolidated balance sheets as follows:</w:t>
      </w:r>
    </w:p>
    <w:tbl>
      <w:tblPr>
        <w:tblW w:w="8676" w:type="dxa"/>
        <w:jc w:val="left"/>
        <w:tblInd w:w="0" w:type="dxa"/>
        <w:tblLayout w:type="fixed"/>
        <w:tblCellMar>
          <w:top w:w="28" w:type="dxa"/>
          <w:left w:w="28" w:type="dxa"/>
          <w:bottom w:w="28" w:type="dxa"/>
          <w:right w:w="28" w:type="dxa"/>
        </w:tblCellMar>
      </w:tblPr>
      <w:tblGrid>
        <w:gridCol w:w="661"/>
        <w:gridCol w:w="584"/>
        <w:gridCol w:w="585"/>
        <w:gridCol w:w="999"/>
        <w:gridCol w:w="999"/>
        <w:gridCol w:w="1001"/>
        <w:gridCol w:w="109"/>
        <w:gridCol w:w="109"/>
        <w:gridCol w:w="109"/>
        <w:gridCol w:w="295"/>
        <w:gridCol w:w="1157"/>
        <w:gridCol w:w="152"/>
        <w:gridCol w:w="109"/>
        <w:gridCol w:w="109"/>
        <w:gridCol w:w="109"/>
        <w:gridCol w:w="281"/>
        <w:gridCol w:w="1103"/>
        <w:gridCol w:w="205"/>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Fair Value Measurement</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 - Quoted prices for identical instruments in active markets.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III - Instruments whose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these hierarchy levels, the Company's financial assets and liabilities that are measured at fair value on a recurring basis at September 30, 2024 and December 31, 2023:</w:t>
      </w:r>
    </w:p>
    <w:tbl>
      <w:tblPr>
        <w:tblW w:w="8209"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211"/>
        <w:gridCol w:w="826"/>
        <w:gridCol w:w="109"/>
        <w:gridCol w:w="109"/>
        <w:gridCol w:w="109"/>
        <w:gridCol w:w="109"/>
        <w:gridCol w:w="211"/>
        <w:gridCol w:w="616"/>
        <w:gridCol w:w="109"/>
        <w:gridCol w:w="109"/>
        <w:gridCol w:w="109"/>
        <w:gridCol w:w="109"/>
        <w:gridCol w:w="226"/>
        <w:gridCol w:w="436"/>
        <w:gridCol w:w="117"/>
        <w:gridCol w:w="109"/>
        <w:gridCol w:w="109"/>
        <w:gridCol w:w="109"/>
        <w:gridCol w:w="211"/>
        <w:gridCol w:w="82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(comprised of money market mutual funds) are classified within Level I of the fair value hierarchy because they are valued using quoted market prices.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the Company did not have any material assets or liabilities measured at fair value on a recurring basis that would be considered Level III.</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Credit Facility Debt and Senior Notes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6938" w:type="dxa"/>
        <w:jc w:val="left"/>
        <w:tblInd w:w="0" w:type="dxa"/>
        <w:tblLayout w:type="fixed"/>
        <w:tblCellMar>
          <w:top w:w="28" w:type="dxa"/>
          <w:left w:w="28" w:type="dxa"/>
          <w:bottom w:w="28" w:type="dxa"/>
          <w:right w:w="28" w:type="dxa"/>
        </w:tblCellMar>
      </w:tblPr>
      <w:tblGrid>
        <w:gridCol w:w="1437"/>
        <w:gridCol w:w="1265"/>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397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5498" w:type="dxa"/>
        <w:jc w:val="center"/>
        <w:tblInd w:w="0" w:type="dxa"/>
        <w:tblLayout w:type="fixed"/>
        <w:tblCellMar>
          <w:top w:w="28" w:type="dxa"/>
          <w:left w:w="28" w:type="dxa"/>
          <w:bottom w:w="28" w:type="dxa"/>
          <w:right w:w="28" w:type="dxa"/>
        </w:tblCellMar>
      </w:tblPr>
      <w:tblGrid>
        <w:gridCol w:w="916"/>
        <w:gridCol w:w="807"/>
        <w:gridCol w:w="811"/>
        <w:gridCol w:w="211"/>
        <w:gridCol w:w="976"/>
        <w:gridCol w:w="109"/>
        <w:gridCol w:w="109"/>
        <w:gridCol w:w="109"/>
        <w:gridCol w:w="109"/>
        <w:gridCol w:w="211"/>
        <w:gridCol w:w="97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12. Derivative Financial Instruments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as follows:</w:t>
      </w:r>
    </w:p>
    <w:tbl>
      <w:tblPr>
        <w:tblW w:w="10205" w:type="dxa"/>
        <w:jc w:val="left"/>
        <w:tblInd w:w="0" w:type="dxa"/>
        <w:tblLayout w:type="fixed"/>
        <w:tblCellMar>
          <w:top w:w="28" w:type="dxa"/>
          <w:left w:w="28" w:type="dxa"/>
          <w:bottom w:w="28" w:type="dxa"/>
          <w:right w:w="28" w:type="dxa"/>
        </w:tblCellMar>
      </w:tblPr>
      <w:tblGrid>
        <w:gridCol w:w="1258"/>
        <w:gridCol w:w="1109"/>
        <w:gridCol w:w="1100"/>
        <w:gridCol w:w="1081"/>
        <w:gridCol w:w="1081"/>
        <w:gridCol w:w="1083"/>
        <w:gridCol w:w="109"/>
        <w:gridCol w:w="109"/>
        <w:gridCol w:w="109"/>
        <w:gridCol w:w="319"/>
        <w:gridCol w:w="932"/>
        <w:gridCol w:w="165"/>
        <w:gridCol w:w="109"/>
        <w:gridCol w:w="109"/>
        <w:gridCol w:w="109"/>
        <w:gridCol w:w="305"/>
        <w:gridCol w:w="891"/>
        <w:gridCol w:w="227"/>
      </w:tblGrid>
      <w:tr>
        <w:trPr/>
        <w:tc>
          <w:tcPr>
            <w:tcW w:w="125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related to the Company's derivative financial instruments not designated as hedging instruments are as follows:</w:t>
      </w:r>
    </w:p>
    <w:tbl>
      <w:tblPr>
        <w:tblW w:w="10205" w:type="dxa"/>
        <w:jc w:val="left"/>
        <w:tblInd w:w="0" w:type="dxa"/>
        <w:tblLayout w:type="fixed"/>
        <w:tblCellMar>
          <w:top w:w="28" w:type="dxa"/>
          <w:left w:w="28" w:type="dxa"/>
          <w:bottom w:w="28" w:type="dxa"/>
          <w:right w:w="28" w:type="dxa"/>
        </w:tblCellMar>
      </w:tblPr>
      <w:tblGrid>
        <w:gridCol w:w="642"/>
        <w:gridCol w:w="549"/>
        <w:gridCol w:w="514"/>
        <w:gridCol w:w="1134"/>
        <w:gridCol w:w="934"/>
        <w:gridCol w:w="937"/>
        <w:gridCol w:w="109"/>
        <w:gridCol w:w="109"/>
        <w:gridCol w:w="109"/>
        <w:gridCol w:w="256"/>
        <w:gridCol w:w="567"/>
        <w:gridCol w:w="132"/>
        <w:gridCol w:w="132"/>
        <w:gridCol w:w="132"/>
        <w:gridCol w:w="132"/>
        <w:gridCol w:w="256"/>
        <w:gridCol w:w="627"/>
        <w:gridCol w:w="132"/>
        <w:gridCol w:w="114"/>
        <w:gridCol w:w="114"/>
        <w:gridCol w:w="114"/>
        <w:gridCol w:w="241"/>
        <w:gridCol w:w="588"/>
        <w:gridCol w:w="124"/>
        <w:gridCol w:w="124"/>
        <w:gridCol w:w="124"/>
        <w:gridCol w:w="124"/>
        <w:gridCol w:w="241"/>
        <w:gridCol w:w="706"/>
        <w:gridCol w:w="188"/>
      </w:tblGrid>
      <w:tr>
        <w:trPr/>
        <w:tc>
          <w:tcPr>
            <w:tcW w:w="6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 Recognized in Earnings on Derivatives</w:t>
            </w:r>
          </w:p>
        </w:tc>
      </w:tr>
      <w:tr>
        <w:trPr/>
        <w:tc>
          <w:tcPr>
            <w:tcW w:w="1705" w:type="dxa"/>
            <w:gridSpan w:val="3"/>
            <w:vMerge w:val="continue"/>
            <w:tcBorders/>
            <w:tcMar>
              <w:top w:w="0" w:type="dxa"/>
              <w:left w:w="0" w:type="dxa"/>
              <w:bottom w:w="0" w:type="dxa"/>
              <w:right w:w="0" w:type="dxa"/>
            </w:tcMar>
            <w:vAlign w:val="center"/>
          </w:tcPr>
          <w:p>
            <w:pPr>
              <w:pStyle w:val="Normal"/>
              <w:bidi w:val="0"/>
              <w:jc w:val="left"/>
              <w:rPr/>
            </w:pPr>
            <w:r>
              <w:rPr/>
            </w:r>
          </w:p>
        </w:tc>
        <w:tc>
          <w:tcPr>
            <w:tcW w:w="3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705" w:type="dxa"/>
            <w:gridSpan w:val="3"/>
            <w:vMerge w:val="continue"/>
            <w:tcBorders/>
            <w:tcMar>
              <w:top w:w="0" w:type="dxa"/>
              <w:left w:w="0" w:type="dxa"/>
              <w:bottom w:w="0" w:type="dxa"/>
              <w:right w:w="0" w:type="dxa"/>
            </w:tcMar>
            <w:vAlign w:val="center"/>
          </w:tcPr>
          <w:p>
            <w:pPr>
              <w:pStyle w:val="Normal"/>
              <w:bidi w:val="0"/>
              <w:jc w:val="left"/>
              <w:rPr/>
            </w:pPr>
            <w:r>
              <w:rPr/>
            </w:r>
          </w:p>
        </w:tc>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13. Income Taxes</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income tax expense was $19.9 million on income from operations before income taxes of $66.3 million, and $54.4 million on income from operations before income taxes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$126.0 million, respectively, representing an effective tax rate of 30% and 43%, respectively. The effective tax rate for the nine months ended September 30, 2024 was impacted by the $68.0 million nondeductible goodwill impairment charge at AMCNI. Inclusive of the nondeductible goodwill impairment charge, items resulting in variances from the federal statutory rate of 21% for the three and nine months ended September 30, 2024 primarily consisted of state and local income tax expense, tax expense from foreign operations, tax expense for an increase in the valuation allowance for foreign taxes and tax expense related to non-deductible compensation. </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income tax expense was $23.7 million on income from operations before income taxes of $91.6 million, and $82.7 million on income from operations before income taxes of $324.0 million, respectively, representing an effective tax rate of 26% for both periods. The items resulting in variances from the federal statutory rate of 21% for the three and nine months ended September 30, 2023 primarily consisted of state and local income tax expense and tax expense related to non-deductible compensation. </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foreign tax credit carry forwards of $55.2 million, expiring on various dates from 2024 through 2034. These carryforwards have been reduced to zero by a valuation allowance of $55.2 million as it is more likely than not that these carry forwards will not be realized.</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$28.6 million of cash and cash equivalents, previously held by foreign subsidiaries, was repatriated to the United States. Our consolidated cash and cash equivalents balance of $816.4 million, as of September 30, 2024, included $142.9 million held by foreign subsidiaries. Of this amount, approximately $35.0 million is expected to be repatriated to the United States with the remaining amount continuing to be reinvested in foreign operations. Tax expense related to the repatriated amount, as well as the expected remaining repatriation amount, has been accrued and we do not expect to incur any significant, additional taxes related to the remaining balance.</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the first quarter of 2024 and as of September 30, 2024, the Pillar Two minimum tax requirement is not expected to have a material impact upon the Company's results of operations or financial position for the year ending December 31, 2024. </w:t>
      </w:r>
    </w:p>
    <w:p>
      <w:pPr>
        <w:pStyle w:val="TextBody"/>
        <w:bidi w:val="0"/>
        <w:spacing w:before="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As of September 30, 2024, the Company's contractual obligations not reflected on the Company's condensed consolidated balance sheet increased</w:t>
      </w:r>
      <w:r>
        <w:rPr>
          <w:color w:val="000000"/>
        </w:rPr>
        <w:t xml:space="preserve"> </w:t>
      </w:r>
      <w:r>
        <w:rPr>
          <w:rFonts w:ascii="Times New Roman;sans-serif" w:hAnsi="Times New Roman;sans-serif"/>
          <w:b w:val="false"/>
          <w:color w:val="000000"/>
          <w:sz w:val="20"/>
        </w:rPr>
        <w:t>$180.8 million, as compared to December 31, 2023, to</w:t>
      </w:r>
      <w:r>
        <w:rPr>
          <w:color w:val="000000"/>
        </w:rPr>
        <w:t xml:space="preserve"> </w:t>
      </w:r>
      <w:r>
        <w:rPr>
          <w:rFonts w:ascii="Times New Roman;sans-serif" w:hAnsi="Times New Roman;sans-serif"/>
          <w:b w:val="false"/>
          <w:color w:val="000000"/>
          <w:sz w:val="20"/>
        </w:rPr>
        <w:t>$1,054.4 million. The increase was primarily driven by the execution of new long-term third-party service contracts.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 2023, the Plaintiffs filed a notice of appeal of the court’s post-trial, demurrer, and summary adjudication decisions. On 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the sum of approximately $7.8 million. The arbitral panel's decision did not have a material impact on the Company's financial condition or results of operations.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and the parties are currently conducting discovery. The trial for this matter, initially scheduled for September 17, 2024, has been rescheduled to October 27, 2025</w:t>
      </w:r>
      <w:r>
        <w:rPr>
          <w:rFonts w:ascii="Calibri;sans-serif" w:hAnsi="Calibri;sans-serif"/>
          <w:b w:val="false"/>
          <w:color w:val="000000"/>
          <w:sz w:val="20"/>
        </w:rPr>
        <w:t>.</w:t>
      </w:r>
      <w:r>
        <w:rPr>
          <w:color w:val="000000"/>
        </w:rPr>
        <w:t xml:space="preserve"> </w:t>
      </w:r>
      <w:r>
        <w:rPr>
          <w:rFonts w:ascii="Times New Roman;sans-serif" w:hAnsi="Times New Roman;sans-serif"/>
          <w:b w:val="false"/>
          <w:color w:val="000000"/>
          <w:sz w:val="20"/>
        </w:rPr>
        <w:t>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a party to actions and claims arising from alleged violations of the federal Video Privacy Protection Act (the “VPPA”) and analogous state laws. In addition to putative class actions, the Company faced a series of arbitration claims managed by multiple plaintiffs’ law firms. The class action complaints and the arbitration claims all alleged that the Company’s use of a Meta Platforms, Inc. pixel on the websites for certain of its subscription video services and channels violated the privacy protection provisions of the VPPA and its state law analogues. On October 27, 2023, the Company reached a settlement with multiple plaintiffs relating to their pending class actions alleging violations of the VPPA and analogous state laws with respect to the Company's subscription video services. On May 16, 2024, the class action settlement was approved by the United States District Court for the Southern District of New York. The Company has also reached settlements to resolve the arbitration claims. All of the settlements reached by the Company in connection with these matters were reimbursed by the Company’s insurance carriers.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Equity Plans</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third quarter of 2024, AMC Networks granted 12,968 RSUs under the 2011 Stock Plan for Non-Employee Directors to a non-employee director that vested on the date of grant.</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second quarter of 2024, AMC Networks granted 104,546 RSUs under the 2011 Stock Plan for Non-Employee Directors to non-employee directors that vested on the date of grant.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 xml:space="preserve">During the first quarter of 2024, AMC Networks granted </w:t>
      </w:r>
      <w:r>
        <w:rPr>
          <w:rFonts w:ascii="Times New Roman;sans-serif" w:hAnsi="Times New Roman;sans-serif"/>
          <w:b w:val="false"/>
          <w:color w:val="000000"/>
          <w:sz w:val="20"/>
        </w:rPr>
        <w:t>2,025,265</w:t>
      </w:r>
      <w:r>
        <w:rPr>
          <w:color w:val="000000"/>
          <w:shd w:fill="FFFFFF" w:val="clear"/>
        </w:rPr>
        <w:t xml:space="preserve"> </w:t>
      </w:r>
      <w:r>
        <w:rPr>
          <w:rFonts w:ascii="Times New Roman;sans-serif" w:hAnsi="Times New Roman;sans-serif"/>
          <w:b w:val="false"/>
          <w:color w:val="000000"/>
          <w:sz w:val="20"/>
          <w:shd w:fill="FFFFFF" w:val="clear"/>
        </w:rPr>
        <w:t xml:space="preserve">RSUs to certain executive officers and employees under the AMC Networks Inc. Amended and Restated 2016 Employee Stock Plan, which vest ratably over a three-year period.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There were no RSU vests for employees during the three months ended September 30, 2024. During the nine months ended September 30, 2024, 914,296</w:t>
      </w:r>
      <w:r>
        <w:rPr>
          <w:color w:val="000000"/>
          <w:shd w:fill="FFFFFF" w:val="clear"/>
        </w:rPr>
        <w:t xml:space="preserve"> </w:t>
      </w:r>
      <w:r>
        <w:rPr>
          <w:rFonts w:ascii="Times New Roman;sans-serif" w:hAnsi="Times New Roman;sans-serif"/>
          <w:b w:val="false"/>
          <w:color w:val="000000"/>
          <w:sz w:val="20"/>
          <w:shd w:fill="FFFFFF" w:val="clear"/>
        </w:rPr>
        <w:t xml:space="preserve">RSUs </w:t>
      </w:r>
      <w:r>
        <w:rPr>
          <w:rFonts w:ascii="Times New Roman;sans-serif" w:hAnsi="Times New Roman;sans-serif"/>
          <w:b w:val="false"/>
          <w:color w:val="000000"/>
          <w:sz w:val="20"/>
        </w:rPr>
        <w:t>previously issued to employees of the Company vested. On the vesting dat</w:t>
      </w:r>
      <w:r>
        <w:rPr>
          <w:rFonts w:ascii="Times New Roman;sans-serif" w:hAnsi="Times New Roman;sans-serif"/>
          <w:b w:val="false"/>
          <w:color w:val="000000"/>
          <w:sz w:val="20"/>
          <w:shd w:fill="FFFFFF" w:val="clear"/>
        </w:rPr>
        <w:t xml:space="preserve">e, 377,717 RSUs </w:t>
      </w:r>
      <w:r>
        <w:rPr>
          <w:rFonts w:ascii="Times New Roman;sans-serif" w:hAnsi="Times New Roman;sans-serif"/>
          <w:b w:val="false"/>
          <w:color w:val="000000"/>
          <w:sz w:val="20"/>
        </w:rPr>
        <w:t>were surrendered to AMC Networks to cover the required statutory tax withholding obligations an</w:t>
      </w:r>
      <w:r>
        <w:rPr>
          <w:rFonts w:ascii="Times New Roman;sans-serif" w:hAnsi="Times New Roman;sans-serif"/>
          <w:b w:val="false"/>
          <w:color w:val="000000"/>
          <w:sz w:val="20"/>
          <w:shd w:fill="FFFFFF" w:val="clear"/>
        </w:rPr>
        <w:t>d 536,579</w:t>
      </w:r>
      <w:r>
        <w:rPr>
          <w:color w:val="000000"/>
        </w:rPr>
        <w:t xml:space="preserve"> </w:t>
      </w:r>
      <w:r>
        <w:rPr>
          <w:rFonts w:ascii="Times New Roman;sans-serif" w:hAnsi="Times New Roman;sans-serif"/>
          <w:b w:val="false"/>
          <w:color w:val="000000"/>
          <w:sz w:val="20"/>
        </w:rPr>
        <w:t xml:space="preserve">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pPr>
      <w:r>
        <w:rPr>
          <w:rFonts w:ascii="Times New Roman;sans-serif" w:hAnsi="Times New Roman;sans-serif"/>
          <w:b w:val="false"/>
          <w:color w:val="000000"/>
          <w:sz w:val="20"/>
        </w:rPr>
        <w:t>AMC Networks Class A Common Stock were issued. Units are surrendered to satisfy the employees' statutory minimu</w:t>
      </w:r>
      <w:r>
        <w:rPr>
          <w:rFonts w:ascii="Times New Roman;sans-serif" w:hAnsi="Times New Roman;sans-serif"/>
          <w:b w:val="false"/>
          <w:color w:val="000000"/>
          <w:sz w:val="20"/>
          <w:shd w:fill="FFFFFF" w:val="clear"/>
        </w:rPr>
        <w:t>m tax withholding obligations for the applicable income and other employment tax. The units surrendered during the</w:t>
      </w:r>
      <w:r>
        <w:rPr>
          <w:color w:val="000000"/>
        </w:rPr>
        <w:t xml:space="preserve"> </w:t>
      </w:r>
      <w:r>
        <w:rPr>
          <w:rFonts w:ascii="Times New Roman;sans-serif" w:hAnsi="Times New Roman;sans-serif"/>
          <w:b w:val="false"/>
          <w:color w:val="000000"/>
          <w:sz w:val="20"/>
        </w:rPr>
        <w:t>nine months ended September 30, 2024 h</w:t>
      </w:r>
      <w:r>
        <w:rPr>
          <w:rFonts w:ascii="Times New Roman;sans-serif" w:hAnsi="Times New Roman;sans-serif"/>
          <w:b w:val="false"/>
          <w:color w:val="000000"/>
          <w:sz w:val="20"/>
          <w:shd w:fill="FFFFFF" w:val="clear"/>
        </w:rPr>
        <w:t xml:space="preserve">ad an aggregate value of </w:t>
      </w:r>
      <w:r>
        <w:rPr>
          <w:rFonts w:ascii="Times New Roman;sans-serif" w:hAnsi="Times New Roman;sans-serif"/>
          <w:b w:val="false"/>
          <w:color w:val="000000"/>
          <w:sz w:val="20"/>
        </w:rPr>
        <w:t>$4.6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which has been reflected as a financing activity in the condensed consolidated statement of cash flows for the nine months ended September 30, 2024.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share-based compensation expenses of $5.8 million and $20.3 million for the three and nine months ended September 30, 2024, respectively, and $6.4 million and $19.9 million (including $0.2 million recorded as part of Restructuring and other related charges) for the three and nine months ended September 30, 2023, respectively. Share-based compensation expenses are recognized in the condensed consolidated statements of income as part of Selling, general and administrative expenses.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As of September 30, 2024, there was </w:t>
      </w:r>
      <w:r>
        <w:rPr>
          <w:rFonts w:ascii="Times New Roman;sans-serif" w:hAnsi="Times New Roman;sans-serif"/>
          <w:b w:val="false"/>
          <w:color w:val="000000"/>
          <w:sz w:val="20"/>
          <w:shd w:fill="FFFFFF" w:val="clear"/>
        </w:rPr>
        <w:t xml:space="preserve">$30.2 million </w:t>
      </w:r>
      <w:r>
        <w:rPr>
          <w:rFonts w:ascii="Times New Roman;sans-serif" w:hAnsi="Times New Roman;sans-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shd w:fill="FFFFFF" w:val="clear"/>
        </w:rPr>
        <w:t xml:space="preserve"> </w:t>
      </w:r>
      <w:r>
        <w:rPr>
          <w:rFonts w:ascii="Times New Roman;sans-serif" w:hAnsi="Times New Roman;sans-serif"/>
          <w:b w:val="false"/>
          <w:color w:val="000000"/>
          <w:sz w:val="20"/>
        </w:rPr>
        <w:t>2.0 years</w:t>
      </w:r>
      <w:r>
        <w:rPr>
          <w:rFonts w:ascii="Times New Roman;sans-serif" w:hAnsi="Times New Roman;sans-serif"/>
          <w:b w:val="false"/>
          <w:color w:val="000000"/>
          <w:sz w:val="20"/>
          <w:shd w:fill="FFFFFF" w:val="clear"/>
        </w:rPr>
        <w:t>.</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16. Redeemable Noncontrolling Interests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previous acquisitions of New Video Channel America L.L.C (owner of the cable channel BBCA) and RLJ Entertainment, the terms of the acquisition agreements provide the noncontrolling members with a right to put all of their noncontrolling interest to subsidiaries of the Company at a future time. Since the exercise of these put rights is outside the Company's control, the noncontrolling interest in each entity is presented as a redeemable noncontrolling interest outside of stockholders' equity on the Company's condensed consolidated balance sheet.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activity related to redeemable noncontrolling interest for the three and nine months ended September 30, 2024 and 2023: </w:t>
      </w:r>
    </w:p>
    <w:tbl>
      <w:tblPr>
        <w:tblW w:w="6404" w:type="dxa"/>
        <w:jc w:val="left"/>
        <w:tblInd w:w="0" w:type="dxa"/>
        <w:tblLayout w:type="fixed"/>
        <w:tblCellMar>
          <w:top w:w="28" w:type="dxa"/>
          <w:left w:w="28" w:type="dxa"/>
          <w:bottom w:w="28" w:type="dxa"/>
          <w:right w:w="28" w:type="dxa"/>
        </w:tblCellMar>
      </w:tblPr>
      <w:tblGrid>
        <w:gridCol w:w="1105"/>
        <w:gridCol w:w="976"/>
        <w:gridCol w:w="979"/>
        <w:gridCol w:w="592"/>
        <w:gridCol w:w="2320"/>
        <w:gridCol w:w="432"/>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180,065 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fair value</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185,182 </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83" w:type="dxa"/>
        <w:jc w:val="left"/>
        <w:tblInd w:w="0" w:type="dxa"/>
        <w:tblLayout w:type="fixed"/>
        <w:tblCellMar>
          <w:top w:w="28" w:type="dxa"/>
          <w:left w:w="28" w:type="dxa"/>
          <w:bottom w:w="28" w:type="dxa"/>
          <w:right w:w="28" w:type="dxa"/>
        </w:tblCellMar>
      </w:tblPr>
      <w:tblGrid>
        <w:gridCol w:w="628"/>
        <w:gridCol w:w="555"/>
        <w:gridCol w:w="556"/>
        <w:gridCol w:w="592"/>
        <w:gridCol w:w="2320"/>
        <w:gridCol w:w="432"/>
      </w:tblGrid>
      <w:tr>
        <w:trPr/>
        <w:tc>
          <w:tcPr>
            <w:tcW w:w="6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241,486 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(20,142)</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6314" w:type="dxa"/>
        <w:jc w:val="left"/>
        <w:tblInd w:w="0" w:type="dxa"/>
        <w:tblLayout w:type="fixed"/>
        <w:tblCellMar>
          <w:top w:w="28" w:type="dxa"/>
          <w:left w:w="28" w:type="dxa"/>
          <w:bottom w:w="28" w:type="dxa"/>
          <w:right w:w="28" w:type="dxa"/>
        </w:tblCellMar>
      </w:tblPr>
      <w:tblGrid>
        <w:gridCol w:w="1105"/>
        <w:gridCol w:w="975"/>
        <w:gridCol w:w="979"/>
        <w:gridCol w:w="576"/>
        <w:gridCol w:w="2258"/>
        <w:gridCol w:w="421"/>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fair value</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185,182 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4994" w:type="dxa"/>
        <w:jc w:val="left"/>
        <w:tblInd w:w="0" w:type="dxa"/>
        <w:tblLayout w:type="fixed"/>
        <w:tblCellMar>
          <w:top w:w="28" w:type="dxa"/>
          <w:left w:w="28" w:type="dxa"/>
          <w:bottom w:w="28" w:type="dxa"/>
          <w:right w:w="28" w:type="dxa"/>
        </w:tblCellMar>
      </w:tblPr>
      <w:tblGrid>
        <w:gridCol w:w="628"/>
        <w:gridCol w:w="554"/>
        <w:gridCol w:w="557"/>
        <w:gridCol w:w="576"/>
        <w:gridCol w:w="2258"/>
        <w:gridCol w:w="421"/>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253,669 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225,400 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 closed a transaction with BBC Studios in which it acquired the remaining 50.1% of the BBC America joint-venture that it had not previously owned for $42.0 million in cash. The Company now owns 100% of the BBC America business, with full operational control, and will continue to fully consolidate BBC America.</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Assuming the transaction had closed on September 30, 2024, $132.9 million of redeemable noncontrolling interest related to BBC America, and reflected on the condensed consolidated balance sheet, would have been eliminated. Additionally, the Company’s future contractual programming commitments to BBC Studios would have been significantly reduced.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17. Related Party Transactions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related parties enter into transactions with each other in the ordinary course of business. Revenues, net from related parties amounted to $1.3 million for each of the three months ended September 30, 2024 and 2023, and $3.9 million for each of the nine months ended September 30, 2024 and 2023. Amounts charged to the Company, included in Selling, general and administrative expenses, pursuant to transactions with its related parties amounted to $0.2 million and $0.9 million for the three months ended September 30, 2024 and 2023, respectively, and $0.7 million and $7.5 million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18. Cash Flows</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non-cash investing and financing activities and other supplemental data:</w:t>
      </w:r>
    </w:p>
    <w:tbl>
      <w:tblPr>
        <w:tblW w:w="6716" w:type="dxa"/>
        <w:jc w:val="left"/>
        <w:tblInd w:w="0" w:type="dxa"/>
        <w:tblLayout w:type="fixed"/>
        <w:tblCellMar>
          <w:top w:w="28" w:type="dxa"/>
          <w:left w:w="28" w:type="dxa"/>
          <w:bottom w:w="28" w:type="dxa"/>
          <w:right w:w="28" w:type="dxa"/>
        </w:tblCellMar>
      </w:tblPr>
      <w:tblGrid>
        <w:gridCol w:w="1398"/>
        <w:gridCol w:w="1234"/>
        <w:gridCol w:w="1237"/>
        <w:gridCol w:w="268"/>
        <w:gridCol w:w="782"/>
        <w:gridCol w:w="138"/>
        <w:gridCol w:w="138"/>
        <w:gridCol w:w="138"/>
        <w:gridCol w:w="138"/>
        <w:gridCol w:w="268"/>
        <w:gridCol w:w="782"/>
        <w:gridCol w:w="195"/>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Non-Cash Investing and Financing Activities: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additions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incurred but not yet paid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Data:</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payments,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Segment Information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two operating segments: Domestic Operations and International. These operating segments represent strategic business units that are managed separately.</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updated the name of its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170"/>
        <w:gridCol w:w="1014"/>
        <w:gridCol w:w="1008"/>
        <w:gridCol w:w="306"/>
        <w:gridCol w:w="1200"/>
        <w:gridCol w:w="157"/>
        <w:gridCol w:w="109"/>
        <w:gridCol w:w="109"/>
        <w:gridCol w:w="109"/>
        <w:gridCol w:w="228"/>
        <w:gridCol w:w="779"/>
        <w:gridCol w:w="119"/>
        <w:gridCol w:w="109"/>
        <w:gridCol w:w="109"/>
        <w:gridCol w:w="109"/>
        <w:gridCol w:w="407"/>
        <w:gridCol w:w="1427"/>
        <w:gridCol w:w="213"/>
        <w:gridCol w:w="109"/>
        <w:gridCol w:w="109"/>
        <w:gridCol w:w="109"/>
        <w:gridCol w:w="211"/>
        <w:gridCol w:w="826"/>
        <w:gridCol w:w="159"/>
      </w:tblGrid>
      <w:tr>
        <w:trPr/>
        <w:tc>
          <w:tcPr>
            <w:tcW w:w="117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0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r>
      <w:tr>
        <w:trPr/>
        <w:tc>
          <w:tcPr>
            <w:tcW w:w="3192" w:type="dxa"/>
            <w:gridSpan w:val="3"/>
            <w:vMerge w:val="continue"/>
            <w:tcBorders/>
            <w:tcMar>
              <w:top w:w="0" w:type="dxa"/>
              <w:left w:w="0" w:type="dxa"/>
              <w:bottom w:w="0" w:type="dxa"/>
              <w:right w:w="0" w:type="dxa"/>
            </w:tcMar>
            <w:vAlign w:val="center"/>
          </w:tcPr>
          <w:p>
            <w:pPr>
              <w:pStyle w:val="Normal"/>
              <w:bidi w:val="0"/>
              <w:jc w:val="left"/>
              <w:rPr/>
            </w:pPr>
            <w:r>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129,978 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(45,027)</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1281"/>
        <w:gridCol w:w="1073"/>
        <w:gridCol w:w="1052"/>
        <w:gridCol w:w="290"/>
        <w:gridCol w:w="1138"/>
        <w:gridCol w:w="149"/>
        <w:gridCol w:w="109"/>
        <w:gridCol w:w="109"/>
        <w:gridCol w:w="109"/>
        <w:gridCol w:w="228"/>
        <w:gridCol w:w="779"/>
        <w:gridCol w:w="119"/>
        <w:gridCol w:w="109"/>
        <w:gridCol w:w="109"/>
        <w:gridCol w:w="109"/>
        <w:gridCol w:w="382"/>
        <w:gridCol w:w="1338"/>
        <w:gridCol w:w="199"/>
        <w:gridCol w:w="109"/>
        <w:gridCol w:w="109"/>
        <w:gridCol w:w="109"/>
        <w:gridCol w:w="211"/>
        <w:gridCol w:w="826"/>
        <w:gridCol w:w="159"/>
      </w:tblGrid>
      <w:tr>
        <w:trPr/>
        <w:tc>
          <w:tcPr>
            <w:tcW w:w="128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67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3406" w:type="dxa"/>
            <w:gridSpan w:val="3"/>
            <w:vMerge w:val="continue"/>
            <w:tcBorders/>
            <w:tcMar>
              <w:top w:w="0" w:type="dxa"/>
              <w:left w:w="0" w:type="dxa"/>
              <w:bottom w:w="0" w:type="dxa"/>
              <w:right w:w="0" w:type="dxa"/>
            </w:tcMar>
            <w:vAlign w:val="center"/>
          </w:tcPr>
          <w:p>
            <w:pPr>
              <w:pStyle w:val="Normal"/>
              <w:bidi w:val="0"/>
              <w:jc w:val="left"/>
              <w:rPr/>
            </w:pPr>
            <w:r>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394,051 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541,198 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161,627 </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(48,762)</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 (credits)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43"/>
        <w:gridCol w:w="975"/>
        <w:gridCol w:w="964"/>
        <w:gridCol w:w="268"/>
        <w:gridCol w:w="1245"/>
        <w:gridCol w:w="138"/>
        <w:gridCol w:w="109"/>
        <w:gridCol w:w="109"/>
        <w:gridCol w:w="109"/>
        <w:gridCol w:w="211"/>
        <w:gridCol w:w="826"/>
        <w:gridCol w:w="109"/>
        <w:gridCol w:w="109"/>
        <w:gridCol w:w="109"/>
        <w:gridCol w:w="109"/>
        <w:gridCol w:w="362"/>
        <w:gridCol w:w="1448"/>
        <w:gridCol w:w="189"/>
        <w:gridCol w:w="109"/>
        <w:gridCol w:w="109"/>
        <w:gridCol w:w="109"/>
        <w:gridCol w:w="211"/>
        <w:gridCol w:w="976"/>
        <w:gridCol w:w="159"/>
      </w:tblGrid>
      <w:tr>
        <w:trPr/>
        <w:tc>
          <w:tcPr>
            <w:tcW w:w="11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3082" w:type="dxa"/>
            <w:gridSpan w:val="3"/>
            <w:vMerge w:val="continue"/>
            <w:tcBorders/>
            <w:tcMar>
              <w:top w:w="0" w:type="dxa"/>
              <w:left w:w="0" w:type="dxa"/>
              <w:bottom w:w="0" w:type="dxa"/>
              <w:right w:w="0" w:type="dxa"/>
            </w:tcMar>
            <w:vAlign w:val="center"/>
          </w:tcPr>
          <w:p>
            <w:pPr>
              <w:pStyle w:val="Normal"/>
              <w:bidi w:val="0"/>
              <w:jc w:val="left"/>
              <w:rPr/>
            </w:pPr>
            <w:r>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1,170,567 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1,592,760 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374,730 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(133,627)</w:t>
            </w:r>
          </w:p>
        </w:tc>
        <w:tc>
          <w:tcPr>
            <w:tcW w:w="1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214,619 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467,856 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(90,656)</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433,407 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1135"/>
        <w:gridCol w:w="971"/>
        <w:gridCol w:w="961"/>
        <w:gridCol w:w="269"/>
        <w:gridCol w:w="1249"/>
        <w:gridCol w:w="138"/>
        <w:gridCol w:w="109"/>
        <w:gridCol w:w="109"/>
        <w:gridCol w:w="109"/>
        <w:gridCol w:w="211"/>
        <w:gridCol w:w="826"/>
        <w:gridCol w:w="109"/>
        <w:gridCol w:w="109"/>
        <w:gridCol w:w="109"/>
        <w:gridCol w:w="109"/>
        <w:gridCol w:w="364"/>
        <w:gridCol w:w="1456"/>
        <w:gridCol w:w="190"/>
        <w:gridCol w:w="109"/>
        <w:gridCol w:w="109"/>
        <w:gridCol w:w="109"/>
        <w:gridCol w:w="211"/>
        <w:gridCol w:w="976"/>
        <w:gridCol w:w="158"/>
      </w:tblGrid>
      <w:tr>
        <w:trPr/>
        <w:tc>
          <w:tcPr>
            <w:tcW w:w="113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3067" w:type="dxa"/>
            <w:gridSpan w:val="3"/>
            <w:vMerge w:val="continue"/>
            <w:tcBorders/>
            <w:tcMar>
              <w:top w:w="0" w:type="dxa"/>
              <w:left w:w="0" w:type="dxa"/>
              <w:bottom w:w="0" w:type="dxa"/>
              <w:right w:w="0" w:type="dxa"/>
            </w:tcMar>
            <w:vAlign w:val="center"/>
          </w:tcPr>
          <w:p>
            <w:pPr>
              <w:pStyle w:val="Normal"/>
              <w:bidi w:val="0"/>
              <w:jc w:val="left"/>
              <w:rPr/>
            </w:pPr>
            <w:r>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1,259,512 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1,734,871 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523,645 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(134,212)</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569,808 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revenues in the Domestic Operations segment include revenues related to the Company's streaming services of $152.0 million and $142.5 million for the three months ended September 30, 2024 and 2023, respectively, and $447.3 million and $420.8 million for the nine months ended September 30, 2024 and 2023, respectively.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are primarily licensing revenues recognized between the Domestic Operations and International segments.</w:t>
      </w:r>
    </w:p>
    <w:tbl>
      <w:tblPr>
        <w:tblW w:w="8150" w:type="dxa"/>
        <w:jc w:val="left"/>
        <w:tblInd w:w="0" w:type="dxa"/>
        <w:tblLayout w:type="fixed"/>
        <w:tblCellMar>
          <w:top w:w="28" w:type="dxa"/>
          <w:left w:w="28" w:type="dxa"/>
          <w:bottom w:w="28" w:type="dxa"/>
          <w:right w:w="28" w:type="dxa"/>
        </w:tblCellMar>
      </w:tblPr>
      <w:tblGrid>
        <w:gridCol w:w="752"/>
        <w:gridCol w:w="664"/>
        <w:gridCol w:w="668"/>
        <w:gridCol w:w="260"/>
        <w:gridCol w:w="851"/>
        <w:gridCol w:w="134"/>
        <w:gridCol w:w="134"/>
        <w:gridCol w:w="134"/>
        <w:gridCol w:w="134"/>
        <w:gridCol w:w="260"/>
        <w:gridCol w:w="851"/>
        <w:gridCol w:w="134"/>
        <w:gridCol w:w="109"/>
        <w:gridCol w:w="109"/>
        <w:gridCol w:w="109"/>
        <w:gridCol w:w="240"/>
        <w:gridCol w:w="908"/>
        <w:gridCol w:w="124"/>
        <w:gridCol w:w="124"/>
        <w:gridCol w:w="124"/>
        <w:gridCol w:w="124"/>
        <w:gridCol w:w="240"/>
        <w:gridCol w:w="788"/>
        <w:gridCol w:w="175"/>
      </w:tblGrid>
      <w:tr>
        <w:trPr/>
        <w:tc>
          <w:tcPr>
            <w:tcW w:w="7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84"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revenues based on customer location:</w:t>
      </w:r>
    </w:p>
    <w:tbl>
      <w:tblPr>
        <w:tblW w:w="7382" w:type="dxa"/>
        <w:jc w:val="left"/>
        <w:tblInd w:w="0" w:type="dxa"/>
        <w:tblLayout w:type="fixed"/>
        <w:tblCellMar>
          <w:top w:w="28" w:type="dxa"/>
          <w:left w:w="28" w:type="dxa"/>
          <w:bottom w:w="28" w:type="dxa"/>
          <w:right w:w="28" w:type="dxa"/>
        </w:tblCellMar>
      </w:tblPr>
      <w:tblGrid>
        <w:gridCol w:w="433"/>
        <w:gridCol w:w="382"/>
        <w:gridCol w:w="384"/>
        <w:gridCol w:w="233"/>
        <w:gridCol w:w="913"/>
        <w:gridCol w:w="120"/>
        <w:gridCol w:w="120"/>
        <w:gridCol w:w="120"/>
        <w:gridCol w:w="120"/>
        <w:gridCol w:w="233"/>
        <w:gridCol w:w="913"/>
        <w:gridCol w:w="120"/>
        <w:gridCol w:w="109"/>
        <w:gridCol w:w="109"/>
        <w:gridCol w:w="109"/>
        <w:gridCol w:w="211"/>
        <w:gridCol w:w="976"/>
        <w:gridCol w:w="109"/>
        <w:gridCol w:w="109"/>
        <w:gridCol w:w="109"/>
        <w:gridCol w:w="109"/>
        <w:gridCol w:w="211"/>
        <w:gridCol w:w="97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within the Domestic Operations segment accounted for approximately 16% and 15% of consolidated revenues, net for the three and nine months ended September 30, 2024, respectively. For the three and nine months ended September 30, 2023, one customer within the Domestic Operations segment accounted for approximately 12% and 13%, respectively, of consolidated revenues.</w:t>
      </w:r>
    </w:p>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property and equipment based on asset location: </w:t>
      </w:r>
    </w:p>
    <w:tbl>
      <w:tblPr>
        <w:tblW w:w="6039" w:type="dxa"/>
        <w:jc w:val="left"/>
        <w:tblInd w:w="0" w:type="dxa"/>
        <w:tblLayout w:type="fixed"/>
        <w:tblCellMar>
          <w:top w:w="28" w:type="dxa"/>
          <w:left w:w="28" w:type="dxa"/>
          <w:bottom w:w="28" w:type="dxa"/>
          <w:right w:w="28" w:type="dxa"/>
        </w:tblCellMar>
      </w:tblPr>
      <w:tblGrid>
        <w:gridCol w:w="910"/>
        <w:gridCol w:w="803"/>
        <w:gridCol w:w="806"/>
        <w:gridCol w:w="295"/>
        <w:gridCol w:w="1157"/>
        <w:gridCol w:w="152"/>
        <w:gridCol w:w="109"/>
        <w:gridCol w:w="109"/>
        <w:gridCol w:w="109"/>
        <w:gridCol w:w="281"/>
        <w:gridCol w:w="1103"/>
        <w:gridCol w:w="205"/>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135,084 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bidi w:val="0"/>
        <w:spacing w:lineRule="auto" w:line="288" w:before="20" w:after="60"/>
        <w:ind w:left="0" w:right="0" w:hanging="360"/>
        <w:jc w:val="both"/>
        <w:rPr/>
      </w:pPr>
      <w:r>
        <w:rPr>
          <w:color w:val="000000"/>
        </w:rPr>
        <w:t>•</w:t>
      </w:r>
      <w:r>
        <w:rPr>
          <w:rFonts w:ascii="Times New Roman;sans-serif" w:hAnsi="Times New Roman;sans-serif"/>
          <w:b w:val="false"/>
          <w:color w:val="000000"/>
          <w:sz w:val="20"/>
        </w:rPr>
        <w:t>the level of our revenues;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market demand, including changes in viewer consumption patterns, for our programming networks, our subscription streaming services, our programming, and our production services;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demand for advertising inventory and our ability to deliver guaranteed viewer ratings;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highly competitive nature of the cable, telecommunications, streaming and programming industries;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market demand for our owned original programming and our film content;</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loss of any of our key personnel and artistic talent;</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impact of strikes, including those related to the Writers, Directors, and Screen Actors guilds;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security of our program rights and other electronic data;</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our ability to maintain and renew distribution or affiliation agreements with distributors;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operate, including fluctuations in inflation rates and recession risk;</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changes in domestic and foreign laws or regulations under which we operate;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changes in laws or treaties relating to taxation, or the interpretation thereof, in the United States or in the countries in which we operate;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the impact of existing and proposed federal, state and international laws and regulations relating to data protection, privacy and security, including the European Union's General Data Protection Regulation, the California Consumer Privacy Act and other similar comprehensive privacy and security laws that have been or may be enacted in other states;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our substantial debt and high leverage;</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reduced access to, or inability to access, capital or credit markets, or significant increases in costs to borrow;</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level of our expenses;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future acquisitions and dispositions of assets;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our ability to successfully acquire new businesses and, if acquired, to integrate, and implement our plan with respect to businesses we acquire;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 of businesses we acquire;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outcome of litigation, arbitration and other proceedings;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whether pending uncompleted transactions, if any, are completed on the terms and at the times set forth (if at all);</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financial community and rating agency perceptions of our business, operations, financial condition and the industry in which we operate;</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impact of pandemics or other health emergencies on the economy and our business;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 xml:space="preserve">events that are outside our control, such as political unrest in international markets, terrorist attacks, natural disasters and other similar events; and </w:t>
      </w:r>
    </w:p>
    <w:p>
      <w:pPr>
        <w:pStyle w:val="TextBody"/>
        <w:bidi w:val="0"/>
        <w:spacing w:lineRule="auto" w:line="288" w:before="20" w:after="60"/>
        <w:ind w:left="0" w:right="0" w:hanging="360"/>
        <w:jc w:val="left"/>
        <w:rPr/>
      </w:pPr>
      <w:r>
        <w:rPr>
          <w:color w:val="000000"/>
        </w:rPr>
        <w:t>•</w:t>
      </w:r>
      <w:r>
        <w:rPr>
          <w:rFonts w:ascii="Times New Roman;sans-serif" w:hAnsi="Times New Roman;sans-serif"/>
          <w:b w:val="false"/>
          <w:color w:val="000000"/>
          <w:sz w:val="20"/>
        </w:rPr>
        <w:t>the factors described under Item 1A, "Risk Factors" in our 2023 Annual Report on Form 10-K (the "2023 Form 10-K"), as filed with the Securities and Exchange Commission ("SEC").</w:t>
      </w:r>
    </w:p>
    <w:p>
      <w:pPr>
        <w:pStyle w:val="TextBody"/>
        <w:bidi w:val="0"/>
        <w:spacing w:lineRule="auto" w:line="288" w:before="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disclaim any obligation to update or revise the forward-looking statements contained herein, except as otherwise required by applicable federal securities laws.</w:t>
      </w:r>
    </w:p>
    <w:p>
      <w:pPr>
        <w:pStyle w:val="TextBody"/>
        <w:bidi w:val="0"/>
        <w:spacing w:before="60" w:after="6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Introduction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2023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Business Overview.</w:t>
      </w:r>
      <w:r>
        <w:rPr>
          <w:color w:val="000000"/>
        </w:rPr>
        <w:t xml:space="preserve"> </w:t>
      </w:r>
      <w:r>
        <w:rPr>
          <w:rFonts w:ascii="Times New Roman;sans-serif" w:hAnsi="Times New Roman;sans-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Consolidated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and nine months ended September 30, 2024 compared to the three and nine months ended September 30, 2023. Our discussion is presented on both a consolidated and segment basis.</w:t>
      </w:r>
      <w:r>
        <w:rPr>
          <w:color w:val="000000"/>
          <w:shd w:fill="FFFFFF" w:val="clear"/>
        </w:rPr>
        <w:t xml:space="preserve"> </w:t>
      </w:r>
      <w:r>
        <w:rPr>
          <w:rFonts w:ascii="Times New Roman;sans-serif" w:hAnsi="Times New Roman;sans-serif"/>
          <w:b w:val="false"/>
          <w:color w:val="000000"/>
          <w:sz w:val="20"/>
          <w:shd w:fill="FFFFFF" w:val="clear"/>
        </w:rPr>
        <w:t>Our two segments are: (i) Domestic Operations and (ii) International.</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 discussion of our financial condition as of September 30, 2024, as well as an analysis of our cash flows for the nine months ended September 30, 2024 and 2023. The discussion of our financial condition and liquidity also includes summaries of (i) our primary sources of liquidity and (ii) our contractual obligations that existed at September 30, 2024 as compared to December 31, 2023.</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Critical Accounting Policies and Estimates</w:t>
      </w:r>
      <w:r>
        <w:rPr>
          <w:rFonts w:ascii="Times New Roman;sans-serif" w:hAnsi="Times New Roman;sans-serif"/>
          <w:b w:val="false"/>
          <w:color w:val="000000"/>
          <w:sz w:val="20"/>
        </w:rPr>
        <w:t xml:space="preserve">. This section provides an update, if any, to our significant accounting policies or critical accounting estimates since December 31, 2023.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Highlights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The tables presented below set forth our consolidated revenues, net, operating income (loss) and adjusted operating income (loss) ("AOI")</w:t>
      </w:r>
      <w:r>
        <w:rPr>
          <w:rFonts w:ascii="Times New Roman;sans-serif" w:hAnsi="Times New Roman;sans-serif"/>
          <w:b w:val="false"/>
          <w:color w:val="000000"/>
          <w:sz w:val="13"/>
        </w:rPr>
        <w:t>1</w:t>
      </w:r>
      <w:r>
        <w:rPr>
          <w:rFonts w:ascii="Times New Roman;sans-serif" w:hAnsi="Times New Roman;sans-serif"/>
          <w:b w:val="false"/>
          <w:color w:val="000000"/>
          <w:sz w:val="20"/>
        </w:rPr>
        <w:t>, for the periods indicated.</w:t>
      </w:r>
    </w:p>
    <w:tbl>
      <w:tblPr>
        <w:tblW w:w="9499" w:type="dxa"/>
        <w:jc w:val="left"/>
        <w:tblInd w:w="0" w:type="dxa"/>
        <w:tblLayout w:type="fixed"/>
        <w:tblCellMar>
          <w:top w:w="28" w:type="dxa"/>
          <w:left w:w="28" w:type="dxa"/>
          <w:bottom w:w="28" w:type="dxa"/>
          <w:right w:w="28" w:type="dxa"/>
        </w:tblCellMar>
      </w:tblPr>
      <w:tblGrid>
        <w:gridCol w:w="1186"/>
        <w:gridCol w:w="1049"/>
        <w:gridCol w:w="1050"/>
        <w:gridCol w:w="230"/>
        <w:gridCol w:w="919"/>
        <w:gridCol w:w="119"/>
        <w:gridCol w:w="119"/>
        <w:gridCol w:w="119"/>
        <w:gridCol w:w="119"/>
        <w:gridCol w:w="230"/>
        <w:gridCol w:w="919"/>
        <w:gridCol w:w="119"/>
        <w:gridCol w:w="109"/>
        <w:gridCol w:w="109"/>
        <w:gridCol w:w="109"/>
        <w:gridCol w:w="211"/>
        <w:gridCol w:w="991"/>
        <w:gridCol w:w="109"/>
        <w:gridCol w:w="109"/>
        <w:gridCol w:w="109"/>
        <w:gridCol w:w="109"/>
        <w:gridCol w:w="211"/>
        <w:gridCol w:w="991"/>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 net</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599,614</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636,954</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1,822,009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2,033,029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Income (Loss)</w:t>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93,653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120,850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214,619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399,855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Operating Income (Loss)</w:t>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131,476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177,268</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433,407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569,808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Adjusted Operating Income (Loss), is a non-GAAP financial measure. See the "Non-GAAP Financial Measures" section on page 44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through the following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five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240"/>
        <w:ind w:left="0" w:right="0" w:hanging="360"/>
        <w:jc w:val="both"/>
        <w:rPr/>
      </w:pPr>
      <w:r>
        <w:rPr>
          <w:color w:val="000000"/>
          <w:shd w:fill="FFFFFF" w:val="clear"/>
        </w:rPr>
        <w:t>•</w:t>
      </w:r>
      <w:r>
        <w:rPr>
          <w:rFonts w:ascii="Times New Roman;sans-serif" w:hAnsi="Times New Roman;sans-serif"/>
          <w:b w:val="false"/>
          <w:i/>
          <w:color w:val="000000"/>
          <w:sz w:val="20"/>
        </w:rPr>
        <w:t>International</w:t>
      </w:r>
      <w:r>
        <w:rPr>
          <w:rFonts w:ascii="Times New Roman;sans-serif" w:hAnsi="Times New Roman;sans-serif"/>
          <w:b w:val="false"/>
          <w:color w:val="000000"/>
          <w:sz w:val="20"/>
        </w:rPr>
        <w:t>: AMC Networks International ("AMCNI"), our international programming businesses consisting of a portfolio of channels distributed around the world.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updated the name of our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pStyle w:val="TextBody"/>
        <w:bidi w:val="0"/>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Domestic Operations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 includes fees paid by distributors and consumers for our programming networks and streaming services. Subscription fees paid by distributors represent the largest component of distribution revenue. Substantially all of our subscription revenues for our programming networks are based on a per subscriber fee, commonly referred to as "affiliation agreements". The subscription revenues we earn vary from period to period, distributor to distributor and also vary among our programming services, but are generally based on the impact of renewals of affiliation agreements and upon the number of each distributor's subscribers who receive our programming, referred to as viewing subscribers. Subscription fees for our streaming services are typically based on a per subscriber fee and are generally paid by distributors and consumers on a monthly basis.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Most of our advertising revenues vary based on the timing of our original programming series and the popularity of our programming as measured by Nielsen.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predominantly monetized individually are amortized based on the individual-film-forecast-computation method.</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 </w:t>
      </w:r>
    </w:p>
    <w:p>
      <w:pPr>
        <w:pStyle w:val="TextBody"/>
        <w:bidi w:val="0"/>
        <w:spacing w:lineRule="auto" w:line="288" w:before="120" w:after="120"/>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Our International segment consists of the operations of AMCNI, which earns revenue principally from the international distribution of programming and, to a lesser extent, the sale of advertising from our AMCNI programming networks. For the nine</w:t>
      </w:r>
      <w:r>
        <w:rPr>
          <w:color w:val="000000"/>
          <w:shd w:fill="FFFFFF" w:val="clear"/>
        </w:rPr>
        <w:t xml:space="preserve"> </w:t>
      </w:r>
      <w:r>
        <w:rPr>
          <w:rFonts w:ascii="Times New Roman;sans-serif" w:hAnsi="Times New Roman;sans-serif"/>
          <w:b w:val="false"/>
          <w:color w:val="000000"/>
          <w:sz w:val="20"/>
          <w:shd w:fill="FFFFFF" w:val="clear"/>
        </w:rPr>
        <w:t>months ended September 30, 2024, distribution revenues represented 66% of the revenues of the International segm</w:t>
      </w:r>
      <w:r>
        <w:rPr>
          <w:rFonts w:ascii="Times New Roman;sans-serif" w:hAnsi="Times New Roman;sans-serif"/>
          <w:b w:val="false"/>
          <w:color w:val="000000"/>
          <w:sz w:val="20"/>
        </w:rPr>
        <w:t xml:space="preserve">ent. Distribution revenue primarily includes subscription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Programming expenses and program operating costs are included in technical and operating expenses, and represent the largest expense of the International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 </w:t>
      </w:r>
    </w:p>
    <w:p>
      <w:pPr>
        <w:pStyle w:val="TextBody"/>
        <w:bidi w:val="0"/>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 Inter-segment Eliminations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Economic Conditions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factors and circumstances, particularly high inflation and interest rates, and uncertainty regarding changes to inflation rates and interest rates, may adversely impact our results of operations, cash flows and financial position or our ability to refinance our indebtedness on terms favorable to us, or at all.</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Capital and credit market disruptions, as well as other events such as pandemics or other health emergencies, inflation, international conflict and recession, have in the past caused and could in the future cause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operating segment's revenues, net and expenses. Where we have management control of an entity, we consolidate 100% of such entity in our condensed consolidated statements of income notwithstanding that a third-party owns an interest, which may be significant, in such entity. The noncontrolling owner's interest in the operating results of consolidated subsidiaries are reflected in net income or loss attributable to noncontrolling interests in our condensed consolidated statements of income.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Three and Nine Months Ended September 30, 2024 and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828"/>
        <w:gridCol w:w="527"/>
        <w:gridCol w:w="398"/>
        <w:gridCol w:w="211"/>
        <w:gridCol w:w="826"/>
        <w:gridCol w:w="109"/>
        <w:gridCol w:w="109"/>
        <w:gridCol w:w="109"/>
        <w:gridCol w:w="109"/>
        <w:gridCol w:w="211"/>
        <w:gridCol w:w="826"/>
        <w:gridCol w:w="109"/>
        <w:gridCol w:w="109"/>
        <w:gridCol w:w="109"/>
        <w:gridCol w:w="109"/>
        <w:gridCol w:w="306"/>
        <w:gridCol w:w="310"/>
        <w:gridCol w:w="367"/>
        <w:gridCol w:w="109"/>
        <w:gridCol w:w="109"/>
        <w:gridCol w:w="109"/>
        <w:gridCol w:w="211"/>
        <w:gridCol w:w="976"/>
        <w:gridCol w:w="109"/>
        <w:gridCol w:w="109"/>
        <w:gridCol w:w="109"/>
        <w:gridCol w:w="109"/>
        <w:gridCol w:w="211"/>
        <w:gridCol w:w="976"/>
        <w:gridCol w:w="109"/>
        <w:gridCol w:w="109"/>
        <w:gridCol w:w="109"/>
        <w:gridCol w:w="109"/>
        <w:gridCol w:w="264"/>
        <w:gridCol w:w="266"/>
        <w:gridCol w:w="420"/>
      </w:tblGrid>
      <w:tr>
        <w:trPr/>
        <w:tc>
          <w:tcPr>
            <w:tcW w:w="8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changes in the table above deemed "n/m" are not meaningful.</w:t>
            </w:r>
          </w:p>
        </w:tc>
      </w:tr>
    </w:tbl>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creased 4.9% in our Domestic Operations business due to a decline in affiliate revenues, partially offset by an increase in streaming revenues, and decreased 13.6% in our International business primarily due to the non-renewal of an AMCNI distribution agreement in the United Kingdom ("U.K.") in the fourth quarter of 2023. We expect linear subscriber declines to continue in our Domestic Operations business, consistent with the declines across the cable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 revenues decreased 87.6% in our International business due to the divestiture of the 25/7 Media business on December 29, 2023. Content licensing and other revenues increased 31.0% in our Domestic Operations business primarily due to the delivery of 13 AMC branded shows in connection with our new content licensing agreement with Netflix. We expect content licensing revenues to vary for the remainder of 2024 and in 2025 based on the timing and availability of our programming to distributors.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9.5% in our Domestic Operations business primarily due to linear ratings declines and continued softness in the advertising market, partially offset by digital and advanced advertising revenue growth. The decrease in our Domestic Operations business was partially offset by a 16.5% increase in our International business, primarily due to continued digital and advanced advertising growth in the U.K and increased ratings and growth across Central and Northern European advertising markets. We expect advertising revenue to continue to decline as the advertising market gravitates toward other distribution platforms.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5.2% in our Domestic Operations business due to a decline in affiliate revenues, partially offset by an increase in streaming revenues, and decreased 12.4% in our International business primarily due to the non-renewal of an AMCNI distribution agreement in the U.K. in the fourth quarter of 2023. </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Content licensing and other revenues decreased</w:t>
      </w:r>
      <w:r>
        <w:rPr>
          <w:color w:val="000000"/>
        </w:rPr>
        <w:t xml:space="preserve"> </w:t>
      </w:r>
      <w:r>
        <w:rPr>
          <w:rFonts w:ascii="Times New Roman;sans-serif" w:hAnsi="Times New Roman;sans-serif"/>
          <w:b w:val="false"/>
          <w:color w:val="000000"/>
          <w:sz w:val="20"/>
        </w:rPr>
        <w:t xml:space="preserve">14.9% in our Domestic Operations business due to the availability of deliveries in the period, and decreased 88.3% in our International business due to the divestiture of the 25/7 Media business on December 29, 2023.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decreased 11.2% in our Domestic Operations business primarily due to linear ratings declines and continued softness in the advertising market, partially offset by digital and advanced advertising revenue growth. The decrease in our Domestic Operations business was partially offset by an increase of 40.1% in our International business, primarily due to the recognition of a one-time retroactive adjustment reported and paid by a third party for $13.4 million, digital and advanced advertising growth in the U.K. and increased ratings and growth across Central and Northern European advertising markets. </w:t>
      </w:r>
    </w:p>
    <w:p>
      <w:pPr>
        <w:pStyle w:val="TextBody"/>
        <w:bidi w:val="0"/>
        <w:spacing w:lineRule="auto" w:line="28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technical and operating expenses primarily include the amortization of program rights, such as those for original programming, feature films and licensed series, and other direct programming costs, such as participation and residual costs, distribution and production related costs and program delivery costs, such as transmission, encryption, hosting, and formatting.</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increased 7.7% in our Domestic Operations business primarily due to an increase in program rights amortization driven by the slate of AMC originals premiering over the last twelve months. Technical and operating expenses (excluding depreciation and amortization) decreased 35.4% in our International business primarily due to the divestiture of the 25/7 Media business on December 29, 2023.</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decreased 4.7% in our Domestic Operations business primarily due to the impacts in 2023 associated with the </w:t>
      </w:r>
      <w:r>
        <w:rPr>
          <w:rFonts w:ascii="Times New Roman;sans-serif" w:hAnsi="Times New Roman;sans-serif"/>
          <w:b w:val="false"/>
          <w:color w:val="000000"/>
          <w:sz w:val="20"/>
          <w:shd w:fill="FFFFFF" w:val="clear"/>
        </w:rPr>
        <w:t xml:space="preserve">delivery </w:t>
      </w:r>
      <w:r>
        <w:rPr>
          <w:rFonts w:ascii="Times New Roman;sans-serif" w:hAnsi="Times New Roman;sans-serif"/>
          <w:b w:val="false"/>
          <w:color w:val="000000"/>
          <w:sz w:val="20"/>
        </w:rPr>
        <w:t xml:space="preserve">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an AMC Studios produced series, and the early termination of an output agreement that resulted in the acceleration of program rights amortization into 2023, partially offset by an increase in program rights amortization driven by the slate of AMC originals premiering over the last twelve months. Technical and operating expenses (excluding depreciation and amortization) decreased 38.3% in our International business primarily due to the divestiture of the 25/7 Media business on December 29, 2023.</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selling, general and administrative expenses primarily include sales, marketing and advertising expenses, administrative costs and costs of non-production facilities.</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and may continue to be significant changes in the level of our selling, general and administrative expenses due to the timing of promotions and marketing of original programming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5.1% in our Domestic Operations business primarily due to higher employee related costs, partially offset by lower levels of marketing expenses related to the third quarter 2024 content slate, and decreased 18.0% in our International business primarily due to the divestiture of the 25/7 Media business on December 29,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6.0% in our Domestic Operations business primarily due to higher marketing and subscriber acquisition expenses and decreased 6.7% in our International business primarily due to the divestiture of the 25/7 Media business on December 29, 2023. </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and other charges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impairment and other charges recorded during the third quarter of 2024.</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September 30, 2024 </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rPr>
        <w:t>During the second quarter of 2024, we determined that the decline in our stock price was an indicator of potential impairment of goodwill. Accordingly, we performed quantitative assessments for all of our reporting units and concluded that the fair value of the AMCNI reporting unit declined to less than its carrying amount. As a result, we recognized an impairment charge of</w:t>
      </w:r>
      <w:r>
        <w:rPr>
          <w:color w:val="000000"/>
          <w:shd w:fill="FFFFFF" w:val="clear"/>
        </w:rPr>
        <w:t xml:space="preserve"> </w:t>
      </w:r>
      <w:r>
        <w:rPr>
          <w:rFonts w:ascii="Times New Roman;sans-serif" w:hAnsi="Times New Roman;sans-serif"/>
          <w:b w:val="false"/>
          <w:color w:val="000000"/>
          <w:sz w:val="20"/>
          <w:shd w:fill="FFFFFF" w:val="clear"/>
        </w:rPr>
        <w:t>$68.0 million</w:t>
      </w:r>
      <w:r>
        <w:rPr>
          <w:rFonts w:ascii="Times New Roman;sans-serif" w:hAnsi="Times New Roman;sans-serif"/>
          <w:b w:val="false"/>
          <w:color w:val="000000"/>
          <w:sz w:val="20"/>
        </w:rPr>
        <w:t>, which is included in Impairment and other charges in the condensed consolidated statements of income.</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the second quarter of 2024, given continued market challenges and linear declines, we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$29.2 million was recorded for identifiable intangible assets and other long-lived assets, which is included in Impairment and other charges in the condensed consolidated statements of income within our Domestic Operations business.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recorded a $5.4 million other charge.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September 30, 2023 </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given the impact of market challenges at 25/7 Media, we revised our outlook for the 25/7 Media business resulting in lower expected future cash flows. As a result, we determined that sufficient indicators of potential impairment of long-lived assets and goodwill existed at 25/7 Media and an impairment charge of $24.9 million was recorded. Additionally, during the third quarter of 2023, the Company recorded a $5.4 million other charge.</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and other related charges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September 30, 2024 </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rPr>
        <w:t xml:space="preserve">For the three months ended September 30, 2024, restructuring and other related charges of </w:t>
      </w:r>
      <w:r>
        <w:rPr>
          <w:rFonts w:ascii="Times New Roman;sans-serif" w:hAnsi="Times New Roman;sans-serif"/>
          <w:b w:val="false"/>
          <w:color w:val="000000"/>
          <w:sz w:val="20"/>
          <w:shd w:fill="FFFFFF" w:val="clear"/>
        </w:rPr>
        <w:t>$3.5 million</w:t>
      </w:r>
      <w:r>
        <w:rPr>
          <w:color w:val="000000"/>
        </w:rPr>
        <w:t xml:space="preserve"> </w:t>
      </w:r>
      <w:r>
        <w:rPr>
          <w:rFonts w:ascii="Times New Roman;sans-serif" w:hAnsi="Times New Roman;sans-serif"/>
          <w:b w:val="false"/>
          <w:color w:val="000000"/>
          <w:sz w:val="20"/>
        </w:rPr>
        <w:t>primarily consisted</w:t>
      </w:r>
      <w:r>
        <w:rPr>
          <w:color w:val="000000"/>
          <w:shd w:fill="FFFFFF" w:val="clear"/>
        </w:rPr>
        <w:t xml:space="preserve"> </w:t>
      </w:r>
      <w:r>
        <w:rPr>
          <w:rFonts w:ascii="Times New Roman;sans-serif" w:hAnsi="Times New Roman;sans-serif"/>
          <w:b w:val="false"/>
          <w:color w:val="000000"/>
          <w:sz w:val="20"/>
          <w:shd w:fill="FFFFFF" w:val="clear"/>
        </w:rPr>
        <w:t xml:space="preserve">of severance and employee-related costs </w:t>
      </w:r>
      <w:r>
        <w:rPr>
          <w:rFonts w:ascii="Times New Roman;sans-serif" w:hAnsi="Times New Roman;sans-serif"/>
          <w:b w:val="false"/>
          <w:color w:val="000000"/>
          <w:sz w:val="20"/>
        </w:rPr>
        <w:t>in our Domestic Operations business</w:t>
      </w:r>
      <w:r>
        <w:rPr>
          <w:rFonts w:ascii="Times New Roman;sans-serif" w:hAnsi="Times New Roman;sans-serif"/>
          <w:b w:val="false"/>
          <w:color w:val="000000"/>
          <w:sz w:val="20"/>
          <w:shd w:fill="FFFFFF" w:val="clear"/>
        </w:rPr>
        <w: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September 30, 2024 </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rPr>
        <w:t>For the nine months ended September 30, 2024, restructuring and other related charges of $6.4 million primarily consisted</w:t>
      </w:r>
      <w:r>
        <w:rPr>
          <w:color w:val="000000"/>
          <w:shd w:fill="FFFFFF" w:val="clear"/>
        </w:rPr>
        <w:t xml:space="preserve"> </w:t>
      </w:r>
      <w:r>
        <w:rPr>
          <w:rFonts w:ascii="Times New Roman;sans-serif" w:hAnsi="Times New Roman;sans-serif"/>
          <w:b w:val="false"/>
          <w:color w:val="000000"/>
          <w:sz w:val="20"/>
          <w:shd w:fill="FFFFFF" w:val="clear"/>
        </w:rPr>
        <w:t>of severance and employee-related costs, as well as content impairments in connection with WE tv shifting to a reduced o</w:t>
      </w:r>
      <w:r>
        <w:rPr>
          <w:rFonts w:ascii="Times New Roman;sans-serif" w:hAnsi="Times New Roman;sans-serif"/>
          <w:b w:val="false"/>
          <w:color w:val="000000"/>
          <w:sz w:val="20"/>
        </w:rPr>
        <w:t xml:space="preserve">riginals strategy, in our Domestic Operations business.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and nine months ended September 30, 2023 </w:t>
      </w:r>
    </w:p>
    <w:p>
      <w:pPr>
        <w:pStyle w:val="TextBody"/>
        <w:bidi w:val="0"/>
        <w:spacing w:lineRule="auto" w:line="268" w:before="120" w:after="120"/>
        <w:ind w:left="0" w:right="0" w:firstLine="495"/>
        <w:jc w:val="both"/>
        <w:rPr/>
      </w:pPr>
      <w:r>
        <w:rPr>
          <w:rFonts w:ascii="Times New Roman;sans-serif" w:hAnsi="Times New Roman;sans-serif"/>
          <w:b w:val="false"/>
          <w:color w:val="000000"/>
          <w:sz w:val="20"/>
          <w:shd w:fill="FFFFFF" w:val="clear"/>
        </w:rPr>
        <w:t xml:space="preserve">Restructuring and other related charges were </w:t>
      </w:r>
      <w:r>
        <w:rPr>
          <w:rFonts w:ascii="Times New Roman;sans-serif" w:hAnsi="Times New Roman;sans-serif"/>
          <w:b w:val="false"/>
          <w:color w:val="000000"/>
          <w:sz w:val="20"/>
        </w:rPr>
        <w:t>$10.6 million</w:t>
      </w:r>
      <w:r>
        <w:rPr>
          <w:color w:val="000000"/>
          <w:shd w:fill="FFFFFF" w:val="clear"/>
        </w:rPr>
        <w:t xml:space="preserve"> </w:t>
      </w:r>
      <w:r>
        <w:rPr>
          <w:rFonts w:ascii="Times New Roman;sans-serif" w:hAnsi="Times New Roman;sans-serif"/>
          <w:b w:val="false"/>
          <w:color w:val="000000"/>
          <w:sz w:val="20"/>
          <w:shd w:fill="FFFFFF" w:val="clear"/>
        </w:rPr>
        <w:t>and $22.5 million for t</w:t>
      </w:r>
      <w:r>
        <w:rPr>
          <w:rFonts w:ascii="Times New Roman;sans-serif" w:hAnsi="Times New Roman;sans-serif"/>
          <w:b w:val="false"/>
          <w:color w:val="000000"/>
          <w:sz w:val="20"/>
        </w:rPr>
        <w:t>he three and nine months ended September 30, 2023</w:t>
      </w:r>
      <w:r>
        <w:rPr>
          <w:rFonts w:ascii="Times New Roman;sans-serif" w:hAnsi="Times New Roman;sans-serif"/>
          <w:b w:val="false"/>
          <w:color w:val="000000"/>
          <w:sz w:val="20"/>
          <w:shd w:fill="FFFFFF" w:val="clear"/>
        </w:rPr>
        <w:t>, respectively, related to a restructuring plan (the "Plan") that commenced on November 28, 2022. During the third quarter of 2023, the Company substantially completed the Plan and exited a portion of its office space in its corporate headquarters in New York and all of its office space in Silver Spring, Maryland and Woodland Hills, California. In connection with exiting a portion of the New York office, the Company recorded impairment charges of $11.6 million, consisting of $9.1 million for operating lease right-of use assets and $2.5 million for leasehold improvements. The remaining costs consisted primarily of severance and other employee-related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a decrease in revenues, net of $37.3 million, partially offset by a reduction in total operating expenses of $10.1 million.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a decrease in revenues, net of $211.0 million and the $68.0 million goodwill impairment charge at AMCNI, partially offset by a decrease in technical and operating expenses of $93.5 million.</w:t>
      </w:r>
    </w:p>
    <w:p>
      <w:pPr>
        <w:pStyle w:val="TextBody"/>
        <w:bidi w:val="0"/>
        <w:spacing w:lineRule="auto" w:line="28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was primarily due to an increase in average interest rates associated with the 10.25% Senior Secured Notes due 2029 refinancing the 4.75% Senior Notes due 2025, partially offset by the impact of a lower outstanding debt balance. Interest expense will continue to increase through the remainder of 2024, as compared to 2023, as a result of the refinancing and convertible note transactions described under “Liquidity and Capital Resources.”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was primarily due to an increase in average interest rates associated with the 10.25% Senior Secured Notes due 2029 refinancing the 4.75% Senior Notes due 2025, partially offset by the impact of a lower outstanding debt balance. </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comprised of income generated from our money market mutual fund accounts and bank deposits. The decrease from the prior year can primarily be attributed to lower cash balances.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from the prior year can primarily be attributed to interest received in connection with a one-time retroactive adjustment reported and paid by a third party.</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Loss on extinguishment of debt,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September 30, 2024 </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we voluntarily prepaid $35.0 million of borrowings under the Term Loan A Facility, resulting in the recognition of a $0.4 million charge to write off a portion of the associated unamortized discount and deferred financing costs.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September 30, 2024 </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we voluntarily prepaid $35.0 million of borrowings under the Term Loan A Facility, resulting in the recognition of a $0.4 million charge to write off a portion of the associated unamortized discount and deferred financing costs.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we repurchased $15.0 million of our outstanding 4.25% Senior Notes due 2029 through open market repurchases, at a discount of $4.9 million, and retired the repurchased notes. We recorded a $4.7 million gain which reflects the discount, net of $0.2 million to write off a portion of the unamortized discount and deferred financing costs associated with the notes. </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we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we recorded a charge of $3.1 million to write off the remaining unamortized discount and deferred financing costs associated with the 4.75% Senior Notes due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2024, we entered into Amendment No. 3 ("Amendment No. 3") to the Second Amended and Restated Credit Agreement, dated as of July 28, 2017 (as amended to date and by Amendment No. 3, the "Credit Agreement"). In connection with Amendment No. 3, we made a $165.6 million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connection with the partial prepayment of the Term Loan A Facility and reduction of the revolving loan commitments, we recorded a charge of $1.3 million to write off a portion of the unamortized discount and deferred financing costs associated with the Credit Agreement.</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Miscellaneous, net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miscellaneous, net was primarily related to the impact of foreign currency fluctuations.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miscellaneous, net was primarily related to the impact of foreign currency fluctuations and costs incurred in connection with the refinancing transactions in the second quarter of 2024.</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 expense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2024, income tax expense was $19.9 million on income from operations before income taxes of $66.3 million, representing an effective tax rate of 30%. The items resulting in variances from the federal statutory rate of 21% primarily consisted of state and local income tax expense, tax expense from foreign operations, tax expense for an increase in the valuation allowance for foreign taxes and tax expense related to non-deductible compensation.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income tax expense was $23.7 million on income from operations before income taxes of $91.6 million, representing an effective tax rate of 26%. The items resulting in variances from the federal statutory rate of 21% primarily consisted of state and local income tax expense and tax expense related to non-deductible compensation.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income tax expense was $54.4 million on income from operations before income taxes of $126.0 million, representing an effective tax rate of 43%. The effective tax rate for the nine months ended September 30, 2024 was impacted by the $68.0 million nondeductible goodwill impairment charge at AMCNI. Inclusive of the nondeductible goodwill impairment charge, items resulting in variances from the federal statutory rate of 21% primarily consisted of state and local income tax expense, tax expense from foreign operations, tax expense for an increase in the valuation allowance for foreign taxes and tax expense related to non-deductible compensation.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income tax expense was $82.7 million on income from operations before income taxes of $324.0 million, representing an effective tax rate of 26%. The items resulting in variances from the federal statutory rate of 21% primarily consisted of state and local income tax expense and tax expense related to non-deductible compensation.</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Domestic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Domestic Operations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66"/>
        <w:gridCol w:w="519"/>
        <w:gridCol w:w="387"/>
        <w:gridCol w:w="211"/>
        <w:gridCol w:w="826"/>
        <w:gridCol w:w="109"/>
        <w:gridCol w:w="109"/>
        <w:gridCol w:w="109"/>
        <w:gridCol w:w="109"/>
        <w:gridCol w:w="211"/>
        <w:gridCol w:w="826"/>
        <w:gridCol w:w="109"/>
        <w:gridCol w:w="109"/>
        <w:gridCol w:w="109"/>
        <w:gridCol w:w="109"/>
        <w:gridCol w:w="109"/>
        <w:gridCol w:w="262"/>
        <w:gridCol w:w="266"/>
        <w:gridCol w:w="367"/>
        <w:gridCol w:w="109"/>
        <w:gridCol w:w="109"/>
        <w:gridCol w:w="109"/>
        <w:gridCol w:w="211"/>
        <w:gridCol w:w="826"/>
        <w:gridCol w:w="109"/>
        <w:gridCol w:w="109"/>
        <w:gridCol w:w="109"/>
        <w:gridCol w:w="109"/>
        <w:gridCol w:w="211"/>
        <w:gridCol w:w="976"/>
        <w:gridCol w:w="109"/>
        <w:gridCol w:w="109"/>
        <w:gridCol w:w="109"/>
        <w:gridCol w:w="109"/>
        <w:gridCol w:w="109"/>
        <w:gridCol w:w="263"/>
        <w:gridCol w:w="265"/>
        <w:gridCol w:w="423"/>
      </w:tblGrid>
      <w:tr>
        <w:trPr/>
        <w:tc>
          <w:tcPr>
            <w:tcW w:w="8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60" w:type="dxa"/>
            <w:gridSpan w:val="4"/>
            <w:tcBorders/>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5"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060" w:type="dxa"/>
            <w:gridSpan w:val="4"/>
            <w:tcBorders/>
          </w:tcPr>
          <w:p>
            <w:pPr>
              <w:pStyle w:val="TableContents"/>
              <w:bidi w:val="0"/>
              <w:spacing w:before="0" w:after="283"/>
              <w:jc w:val="left"/>
              <w:rPr>
                <w:sz w:val="4"/>
                <w:szCs w:val="4"/>
              </w:rPr>
            </w:pPr>
            <w:r>
              <w:rPr>
                <w:sz w:val="4"/>
                <w:szCs w:val="4"/>
              </w:rPr>
            </w:r>
          </w:p>
        </w:tc>
      </w:tr>
      <w:tr>
        <w:trPr/>
        <w:tc>
          <w:tcPr>
            <w:tcW w:w="9145"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1060"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decreased due to a 13.5% decline in affiliate revenues, partially offset by a 6.6% increase in streaming revenues. Affiliate revenues decreased primarily due to basic subscriber declines. Streaming revenues increased due to year-over-year subscriber growth and price increases. Subscription revenues include revenues related to the Company's streaming services of $152.0 million and $142.5 million for the three months ended September 30, 2024 and 2023, respectively. Aggregate paid subscribers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to our streaming services increased 5.4% to 11.8 million at September 30, 2024 compared to 11.1 million at September 30, 2023. </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increased primarily due to the delivery of 13 AMC branded shows in connection with our new content licensing agreement with Netflix.</w:t>
      </w:r>
    </w:p>
    <w:p>
      <w:pPr>
        <w:pStyle w:val="TextBody"/>
        <w:bidi w:val="0"/>
        <w:spacing w:lineRule="auto" w:line="276"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primarily due to linear ratings declines and continued softness in the advertising market, partially offset by digital and advanced advertising revenue growth.</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 xml:space="preserve">decreased due to a 13.3% decline in affiliate revenues, partially offset by a 6.3% increase in streaming revenues. Affiliate revenues decreased primarily due to basic subscriber declines. Streaming revenues increased due to year-over-year subscriber growth and price increases. Subscription revenues include revenues related to the Company's streaming services of $447.3 million and $420.8 million for the nine months ended September 30, 2024 and 2023, respectively. </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 xml:space="preserve">decreased due to the availability of deliveries in the period, including $56.1 million of revenue associated with the 2023 delivery 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 xml:space="preserve">an AMC Studios produced series, and the impact of $20.3 million recognized in 2023 associated with the early termination of an output agreement that resulted in the acceleration of revenue into 2023. These decreases were partially offset by the delivery of 13 AMC branded shows in connection with our new content licensing agreement with Netflix in the third quarter of 2024, and the sale of our rights and interests to </w:t>
      </w:r>
      <w:r>
        <w:rPr>
          <w:rFonts w:ascii="Times New Roman;sans-serif" w:hAnsi="Times New Roman;sans-serif"/>
          <w:b w:val="false"/>
          <w:i/>
          <w:color w:val="000000"/>
          <w:sz w:val="20"/>
        </w:rPr>
        <w:t xml:space="preserve">Killing Eve </w:t>
      </w:r>
      <w:r>
        <w:rPr>
          <w:rFonts w:ascii="Times New Roman;sans-serif" w:hAnsi="Times New Roman;sans-serif"/>
          <w:b w:val="false"/>
          <w:color w:val="000000"/>
          <w:sz w:val="20"/>
        </w:rPr>
        <w:t>in the first quarter of 2024.</w:t>
      </w:r>
    </w:p>
    <w:p>
      <w:pPr>
        <w:pStyle w:val="TextBody"/>
        <w:bidi w:val="0"/>
        <w:spacing w:lineRule="auto" w:line="276"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primarily due to linear ratings declines and continued softness in the advertising market, partially offset by digital and advanced advertising revenue growth.</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A paid subscription is defined as a subscription to a direct-to-consumer service or a subscription received through distributor arrangements, in which we receive a fee for the distribution of our streaming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increased primarily due to an increase in program rights amortization driven by the slate of AMC originals premiering over the last twelve months.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decreased primarily due to the impacts in 2023 associated with the </w:t>
      </w:r>
      <w:r>
        <w:rPr>
          <w:rFonts w:ascii="Times New Roman;sans-serif" w:hAnsi="Times New Roman;sans-serif"/>
          <w:b w:val="false"/>
          <w:color w:val="000000"/>
          <w:sz w:val="20"/>
          <w:shd w:fill="FFFFFF" w:val="clear"/>
        </w:rPr>
        <w:t xml:space="preserve">delivery </w:t>
      </w:r>
      <w:r>
        <w:rPr>
          <w:rFonts w:ascii="Times New Roman;sans-serif" w:hAnsi="Times New Roman;sans-serif"/>
          <w:b w:val="false"/>
          <w:color w:val="000000"/>
          <w:sz w:val="20"/>
        </w:rPr>
        <w:t xml:space="preserve">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 xml:space="preserve">an AMC Studios produced series and the early termination of an output agreement that resulted in the acceleration of program rights amortization into 2023. These decreases were partially offset by an increase in program rights amortization driven by the slate of AMC originals premiering over the last twelve months.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primarily due to higher employee related costs, partially offset by lower levels of marketing expenses related to the third quarter 2024 content slate.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primarily due to higher marketing and subscriber acquisition expenses.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adjusted operating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and nine months ended September 30, 2024 vs. 2023</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the revenue headwinds in our linear businesses.</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International</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International segment results for the periods indicated.</w:t>
      </w:r>
    </w:p>
    <w:tbl>
      <w:tblPr>
        <w:tblW w:w="10205" w:type="dxa"/>
        <w:jc w:val="left"/>
        <w:tblInd w:w="0" w:type="dxa"/>
        <w:tblLayout w:type="fixed"/>
        <w:tblCellMar>
          <w:top w:w="28" w:type="dxa"/>
          <w:left w:w="28" w:type="dxa"/>
          <w:bottom w:w="28" w:type="dxa"/>
          <w:right w:w="28" w:type="dxa"/>
        </w:tblCellMar>
      </w:tblPr>
      <w:tblGrid>
        <w:gridCol w:w="888"/>
        <w:gridCol w:w="674"/>
        <w:gridCol w:w="558"/>
        <w:gridCol w:w="211"/>
        <w:gridCol w:w="721"/>
        <w:gridCol w:w="109"/>
        <w:gridCol w:w="109"/>
        <w:gridCol w:w="109"/>
        <w:gridCol w:w="109"/>
        <w:gridCol w:w="211"/>
        <w:gridCol w:w="721"/>
        <w:gridCol w:w="109"/>
        <w:gridCol w:w="109"/>
        <w:gridCol w:w="109"/>
        <w:gridCol w:w="109"/>
        <w:gridCol w:w="109"/>
        <w:gridCol w:w="267"/>
        <w:gridCol w:w="267"/>
        <w:gridCol w:w="367"/>
        <w:gridCol w:w="109"/>
        <w:gridCol w:w="109"/>
        <w:gridCol w:w="109"/>
        <w:gridCol w:w="211"/>
        <w:gridCol w:w="826"/>
        <w:gridCol w:w="109"/>
        <w:gridCol w:w="109"/>
        <w:gridCol w:w="109"/>
        <w:gridCol w:w="109"/>
        <w:gridCol w:w="211"/>
        <w:gridCol w:w="826"/>
        <w:gridCol w:w="109"/>
        <w:gridCol w:w="109"/>
        <w:gridCol w:w="109"/>
        <w:gridCol w:w="109"/>
        <w:gridCol w:w="109"/>
        <w:gridCol w:w="267"/>
        <w:gridCol w:w="267"/>
        <w:gridCol w:w="423"/>
      </w:tblGrid>
      <w:tr>
        <w:trPr/>
        <w:tc>
          <w:tcPr>
            <w:tcW w:w="8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66" w:type="dxa"/>
            <w:gridSpan w:val="4"/>
            <w:tcBorders/>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39"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Selling, general and administrative expenses exclude share-based compensation expenses</w:t>
            </w:r>
          </w:p>
        </w:tc>
        <w:tc>
          <w:tcPr>
            <w:tcW w:w="1066"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primarily due to the non-renewal of an AMCNI distribution agreement in the U.K. in the fourth quarter of 2023. </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revenues dec</w:t>
      </w:r>
      <w:r>
        <w:rPr>
          <w:rFonts w:ascii="Times New Roman;sans-serif" w:hAnsi="Times New Roman;sans-serif"/>
          <w:b w:val="false"/>
          <w:color w:val="000000"/>
          <w:sz w:val="20"/>
        </w:rPr>
        <w:t xml:space="preserve">reased due to the divestiture of the 25/7 Media business on December 29, 2023. 25/7 Media generated $19.5 million of content licensing and other revenue during the three months ended September 30, 2023. </w:t>
      </w:r>
    </w:p>
    <w:p>
      <w:pPr>
        <w:pStyle w:val="TextBody"/>
        <w:bidi w:val="0"/>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increased primarily due to continued digital and advanced advertising growth in the U.K, and increased ratings and growth across Central and Northern European advertising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primarily due to the non-renewal of an AMCNI distribution agreement in the U.K. in the fourth quarter of 2023. </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revenues dec</w:t>
      </w:r>
      <w:r>
        <w:rPr>
          <w:rFonts w:ascii="Times New Roman;sans-serif" w:hAnsi="Times New Roman;sans-serif"/>
          <w:b w:val="false"/>
          <w:color w:val="000000"/>
          <w:sz w:val="20"/>
        </w:rPr>
        <w:t xml:space="preserve">reased due to the divestiture of the 25/7 Media business on December 29, 2023. 25/7 Media generated $68.8 million of content licensing and other revenue during the nine months ended September 30, 2023. </w:t>
      </w:r>
    </w:p>
    <w:p>
      <w:pPr>
        <w:pStyle w:val="TextBody"/>
        <w:bidi w:val="0"/>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increased primarily due to the recognition of a one-time retroactive adjustment reported and paid by a third party for $13.4 million, digital and advanced advertising growth in the U.K, and increased ratings and growth across Central and Northern European advertising markets.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expenses (excluding depreciation and amortization) decreased primarily due to the divestiture of the 25/7 Media business on December 29, 2023. 25/7 Media incurred $15.5 million of technical and operating expenses during the three months ended September 30, 2023. The remaining decrease was primarily attributable to content cost savings associated with the non-renewal of an AMCNI distribution agreement in the U.K. in the fourth quarter of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expenses (excluding depreciation and amortization) decreased primarily due to the divestiture of the 25/7 Media business on December 29, 2023. 25/7 Media incurred $53.7 million of technical and operating expenses during the nine months ended September 30, 2023. The remaining decrease was primarily attributable to content cost savings associated with the non-renewal of an AMCNI distribution agreement in the U.K. in the fourth quarter of 2023.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primarily due to the divestiture of the 25/7 Media business on December 29, 2023, as well as a decrease in corporate overhead costs allocated to AMCNI. 25/7 Media incurred $3.2 million of selling, general and administrative expenses during the three months ended September 30,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primarily due to the divestiture of the 25/7 Media business on December 29, 2023, partially offset by increased selling expenses at AMCNI, including commissions. 25/7 Media incurred $11.6 million of selling, general and administrative expenses during the nine months ended September 30, 2023.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adjusted operating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segment adjusted operating income was primarily due to an increase in advertising revenues and a decrease in AMCNI selling, general and administrative expenses, partially offset by the impact of the non-renewal of an AMCNI distribution agreement in the U.K. and the divestiture of the 25/7 Media business on December 29, 2023. 25/7 Media generated $0.8 million of adjusted operating income during the three months ended September 30,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segment adjusted operating income was primarily due to the recognition of a one-time retroactive adjustment reported and paid by a third party for $13.4 million, partially offset by the impact of the non-renewal of an AMCNI distribution agreement in the U.K. and the divestiture of the 25/7 Media business on December 29, 2023. 25/7 Media generated $3.5 million of adjusted operating income during the nine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Corporate and Inter-segment Elimination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Corporate and Inter-segment Eliminations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50"/>
        <w:gridCol w:w="695"/>
        <w:gridCol w:w="610"/>
        <w:gridCol w:w="211"/>
        <w:gridCol w:w="745"/>
        <w:gridCol w:w="109"/>
        <w:gridCol w:w="109"/>
        <w:gridCol w:w="109"/>
        <w:gridCol w:w="109"/>
        <w:gridCol w:w="211"/>
        <w:gridCol w:w="745"/>
        <w:gridCol w:w="109"/>
        <w:gridCol w:w="109"/>
        <w:gridCol w:w="109"/>
        <w:gridCol w:w="109"/>
        <w:gridCol w:w="308"/>
        <w:gridCol w:w="308"/>
        <w:gridCol w:w="367"/>
        <w:gridCol w:w="109"/>
        <w:gridCol w:w="109"/>
        <w:gridCol w:w="109"/>
        <w:gridCol w:w="211"/>
        <w:gridCol w:w="745"/>
        <w:gridCol w:w="109"/>
        <w:gridCol w:w="109"/>
        <w:gridCol w:w="109"/>
        <w:gridCol w:w="109"/>
        <w:gridCol w:w="211"/>
        <w:gridCol w:w="745"/>
        <w:gridCol w:w="109"/>
        <w:gridCol w:w="109"/>
        <w:gridCol w:w="109"/>
        <w:gridCol w:w="109"/>
        <w:gridCol w:w="266"/>
        <w:gridCol w:w="268"/>
        <w:gridCol w:w="367"/>
        <w:gridCol w:w="109"/>
        <w:gridCol w:w="162"/>
      </w:tblGrid>
      <w:tr>
        <w:trPr/>
        <w:tc>
          <w:tcPr>
            <w:tcW w:w="85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eliminations are primarily related to Domestic Operations revenues recognized for licensing sales to the International segment.</w:t>
      </w:r>
    </w:p>
    <w:p>
      <w:pPr>
        <w:pStyle w:val="TextBody"/>
        <w:bidi w:val="0"/>
        <w:spacing w:lineRule="auto" w:line="276"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 eliminations are primarily related to AMCNI programming amortization for content acquired from the Domestic Operations segment.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such costs as executive salaries and benefits, costs of maintaining corporate headquarters, facilities and common support functions.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three and nine months ended September 30, 2024 compared to 2023 increased primarily due to higher employee related costs, including additional compensation incurred in connection with an executive officer's separation agreement. </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entered into Amendment No. 3 ("Amendment No. 3") to the Second Amended and Restated Credit Agreement, dated as of July 28, 2017 (as amended to date and by Amendment No. 3,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Amendment No. 3, AMC Networks made a partial prepayment of the Term Loan A Facility, bringing the total principal amount outstanding under the Term Loan A Facility to $425 million, and reduced the Revolving Credit Facility to $175 million. In addition, pursuant to Amendment No. 3, the maturity date of $325 million principal amount of loans under the Term Loan A Facility as well as all of the commitments under the Revolving Credit Facility has been extended to April 9, 2028. The maturity date of the remaining $100 million principal amount of loans under the Term Loan A Facility continues to be February 8, 2026. Amendment No. 3 also includes certain other modifications to covenants and other provisions of the Credit Agreement. In addition, we also voluntarily prepaid $35.0 million of borrowings under the Term Loan A Facility during the third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issued $875 million aggregate principal amount of 10.25% Senior Secured Notes due January 15, 2029 (the “Secured Notes”). AMC Networks received net proceeds of $863.0 million, after deducting initial purchasers' discounts. The Secured Notes are guaranteed by AMC Network Entertainment and AMC Networks' subsidiaries that guarantee the Credit Agreement.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AMC Networks Inc. completed a private unregistered offering of $143.8 million aggregate principal amount of its 4.25% Convertible Senior Notes due 2029 (the “Convertible Notes”), which amount includes the full exercise of the initial purchasers’ option to purchase additional Convertible Notes. AMC Networks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the Secured Notes, subject to certain exceptions, on a senior, unsecured basis.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repurchased $15.0 million of its outstanding 4.25% Senior Notes due 2029 through open market repurchases, at a discount of $4.9 million, and retired the repurchased notes.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 closed a transaction with BBC Studios in which it acquired the remaining 50.1% of the BBC America joint-venture that the Company had not previously owned for $42.0 million in cash. The Company now owns 100% of the BBC America business, with full operational control, and will continue to fully consolidate BBC America.</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Assuming the transaction had closed on September 30, 2024, $132.9 million of redeemable noncontrolling interest related to BBC America, and reflected on the condensed consolidated balance sheet, would have been eliminated. Additionally, the Company’s future contractual programming commitments to BBC Studios would have been significantly reduced.</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$28.6 million of cash and cash equivalents, previously held by foreign subsidiaries, was repatriated to the United States. Our consolidated cash and cash equivalents balance of $816.4 million, as of September 30, 2024, included $142.9 million held by foreign subsidiaries. Of this amount, approximately $35.0 million is expected to be repatriated to the United States with the remaining amount continuing to be reinvested in foreign operations. Tax expense related to the repatriated amount, as well as the expected remaining repatriation amount, has been accrued and we do not expect to incur any significant, additional taxes related to the remaining balance.</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combination of cash-on-hand, cash generated from operating activities, availability under our Revolving Credit Facility and our accounts receivable monetization program, borrowings under additional financing facilities and proceeds from the issuance of the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has authorized a program to repurchase up to $1.5 billion of its outstanding shares of common stock (the "Stock Repurchase Program"). The Stock Repurchase Program has no pre-established termination date and may be suspended or discontinued at any time. For the three and nine months ended September 30, 2024, the Company did not repurchase any of its Class A common stock. As of September 30, 2024, the Company had $135.3 million of authorization remaining for repurchase under the Stock Repurchase Program.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2023 Form 10-K. 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was not drawn upon at September 30, 2024. The total undrawn revolver commitment is available to be drawn for our general corporate purposes. </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was in compliance with all of its debt covenants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cash flows provided by (used in) operating, investing and financing activities for the periods indicated:</w:t>
      </w:r>
    </w:p>
    <w:tbl>
      <w:tblPr>
        <w:tblW w:w="7629" w:type="dxa"/>
        <w:jc w:val="left"/>
        <w:tblInd w:w="0" w:type="dxa"/>
        <w:tblLayout w:type="fixed"/>
        <w:tblCellMar>
          <w:top w:w="28" w:type="dxa"/>
          <w:left w:w="28" w:type="dxa"/>
          <w:bottom w:w="28" w:type="dxa"/>
          <w:right w:w="28" w:type="dxa"/>
        </w:tblCellMar>
      </w:tblPr>
      <w:tblGrid>
        <w:gridCol w:w="1729"/>
        <w:gridCol w:w="1526"/>
        <w:gridCol w:w="1530"/>
        <w:gridCol w:w="225"/>
        <w:gridCol w:w="883"/>
        <w:gridCol w:w="116"/>
        <w:gridCol w:w="116"/>
        <w:gridCol w:w="116"/>
        <w:gridCol w:w="116"/>
        <w:gridCol w:w="225"/>
        <w:gridCol w:w="883"/>
        <w:gridCol w:w="164"/>
      </w:tblGrid>
      <w:tr>
        <w:trPr/>
        <w:tc>
          <w:tcPr>
            <w:tcW w:w="172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785" w:type="dxa"/>
            <w:gridSpan w:val="3"/>
            <w:vMerge w:val="continue"/>
            <w:tcBorders/>
            <w:tcMar>
              <w:top w:w="0" w:type="dxa"/>
              <w:left w:w="0" w:type="dxa"/>
              <w:bottom w:w="0" w:type="dxa"/>
              <w:right w:w="0" w:type="dxa"/>
            </w:tcMar>
            <w:vAlign w:val="center"/>
          </w:tcPr>
          <w:p>
            <w:pPr>
              <w:pStyle w:val="Normal"/>
              <w:bidi w:val="0"/>
              <w:jc w:val="left"/>
              <w:rPr/>
            </w:pPr>
            <w:r>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from operations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244,601 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shd w:fill="FFFFFF" w:val="clear"/>
        </w:rPr>
        <w:t xml:space="preserve">Net cash provided by operating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nine months ended September 30, 2024</w:t>
      </w:r>
      <w:r>
        <w:rPr>
          <w:color w:val="000000"/>
          <w:shd w:fill="FFFFFF" w:val="clear"/>
        </w:rPr>
        <w:t xml:space="preserve"> </w:t>
      </w:r>
      <w:r>
        <w:rPr>
          <w:rFonts w:ascii="Times New Roman;sans-serif" w:hAnsi="Times New Roman;sans-serif"/>
          <w:b w:val="false"/>
          <w:color w:val="000000"/>
          <w:sz w:val="20"/>
          <w:shd w:fill="FFFFFF" w:val="clear"/>
        </w:rPr>
        <w:t xml:space="preserve">and 2023 amounted to </w:t>
      </w:r>
      <w:r>
        <w:rPr>
          <w:rFonts w:ascii="Times New Roman;sans-serif" w:hAnsi="Times New Roman;sans-serif"/>
          <w:b w:val="false"/>
          <w:color w:val="000000"/>
          <w:sz w:val="20"/>
        </w:rPr>
        <w:t>$317.5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$131.1 million</w:t>
      </w:r>
      <w:r>
        <w:rPr>
          <w:rFonts w:ascii="Times New Roman;sans-serif" w:hAnsi="Times New Roman;sans-serif"/>
          <w:b w:val="false"/>
          <w:color w:val="000000"/>
          <w:sz w:val="20"/>
          <w:shd w:fill="FFFFFF" w:val="clear"/>
        </w:rPr>
        <w:t xml:space="preserve">, respectively.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net cash provided by operating activities primarily resulted from $915.4 million of net income before amortization of program rights, depreciation and amortization, and other non-cash items, partially offset by payments for program rights of $691.5 million. Changes in all other assets and liabilities resulted in a net cash inflow of $93.6 million. </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operating activities primarily resulted from $1,033.6 million of net income before amortization of program rights, depreciation and amortization, and other non-cash items, partially offset by payments for program rights of $844.3 million and restructuring initiatives of $101.6 million. Changes in all other assets and liabilities resulted in a net cash inflow of $43.4 million. </w:t>
      </w:r>
    </w:p>
    <w:p>
      <w:pPr>
        <w:pStyle w:val="TextBody"/>
        <w:bidi w:val="0"/>
        <w:spacing w:lineRule="auto" w:line="276"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shd w:fill="FFFFFF" w:val="clear"/>
        </w:rPr>
        <w:t xml:space="preserve">Net cash used in investing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nine months ended September 30, 2024</w:t>
      </w:r>
      <w:r>
        <w:rPr>
          <w:color w:val="000000"/>
          <w:shd w:fill="FFFFFF" w:val="clear"/>
        </w:rPr>
        <w:t xml:space="preserve"> </w:t>
      </w:r>
      <w:r>
        <w:rPr>
          <w:rFonts w:ascii="Times New Roman;sans-serif" w:hAnsi="Times New Roman;sans-serif"/>
          <w:b w:val="false"/>
          <w:color w:val="000000"/>
          <w:sz w:val="20"/>
          <w:shd w:fill="FFFFFF" w:val="clear"/>
        </w:rPr>
        <w:t xml:space="preserve">and 2023 amounted to </w:t>
      </w:r>
      <w:r>
        <w:rPr>
          <w:rFonts w:ascii="Times New Roman;sans-serif" w:hAnsi="Times New Roman;sans-serif"/>
          <w:b w:val="false"/>
          <w:color w:val="000000"/>
          <w:sz w:val="20"/>
        </w:rPr>
        <w:t>$20.2 million and $19.2 million, respectively.</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net cash used in investing activities consisted primarily of capital expenditures.</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investing activities consisted primarily of capital expenditures of $28.4 million, partially offset by proceeds from the sale of investments of $8.6 million.</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Net cash used in financing activities 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nine months ended September 30, 2024</w:t>
      </w:r>
      <w:r>
        <w:rPr>
          <w:color w:val="000000"/>
          <w:shd w:fill="FFFFFF" w:val="clear"/>
        </w:rPr>
        <w:t xml:space="preserve"> </w:t>
      </w:r>
      <w:r>
        <w:rPr>
          <w:rFonts w:ascii="Times New Roman;sans-serif" w:hAnsi="Times New Roman;sans-serif"/>
          <w:b w:val="false"/>
          <w:color w:val="000000"/>
          <w:sz w:val="20"/>
          <w:shd w:fill="FFFFFF" w:val="clear"/>
        </w:rPr>
        <w:t xml:space="preserve">and 2023 amounted to </w:t>
      </w:r>
      <w:r>
        <w:rPr>
          <w:rFonts w:ascii="Times New Roman;sans-serif" w:hAnsi="Times New Roman;sans-serif"/>
          <w:b w:val="false"/>
          <w:color w:val="000000"/>
          <w:sz w:val="20"/>
        </w:rPr>
        <w:t>$52.7 million and $84.9 million, respectively.</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net cash used in financing activities primarily related to long-term debt refinancing transactions, the Convertible Notes issuance, principal payments on the Term Loan A Facility and distributions to noncontrolling interests of $18.0 million. </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primarily consisted of distributions to noncontrolling interests of $47.5 million, principal payments on the Term Loan A Facility of $25.3 million, taxes paid in lieu of shares issued for equity-based compensation of $7.2 million, and principal payments on finance leases of $3.1 million.</w:t>
      </w:r>
    </w:p>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450"/>
        <w:jc w:val="both"/>
        <w:rPr/>
      </w:pPr>
      <w:r>
        <w:rPr>
          <w:rFonts w:ascii="Times New Roman;sans-serif" w:hAnsi="Times New Roman;sans-serif"/>
          <w:b w:val="false"/>
          <w:i/>
          <w:color w:val="000000"/>
          <w:sz w:val="20"/>
        </w:rPr>
        <w:t>Free Cash Flow</w:t>
      </w:r>
      <w:r>
        <w:rPr>
          <w:rFonts w:ascii="Times New Roman;sans-serif" w:hAnsi="Times New Roman;sans-serif"/>
          <w:b w:val="false"/>
          <w:i/>
          <w:color w:val="000000"/>
          <w:sz w:val="13"/>
        </w:rPr>
        <w:t>3</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Free Cash Flow for the periods indicated:</w:t>
      </w:r>
    </w:p>
    <w:tbl>
      <w:tblPr>
        <w:tblW w:w="6635"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225"/>
        <w:gridCol w:w="883"/>
        <w:gridCol w:w="116"/>
        <w:gridCol w:w="116"/>
        <w:gridCol w:w="116"/>
        <w:gridCol w:w="116"/>
        <w:gridCol w:w="225"/>
        <w:gridCol w:w="883"/>
        <w:gridCol w:w="16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free cash flow is reflective of our cost management measures, including remaining prudent with our investments in programming, and due to the timing of payments made in connection with our restructuring initiatives. </w:t>
      </w:r>
    </w:p>
    <w:tbl>
      <w:tblPr>
        <w:tblW w:w="6564"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222"/>
        <w:gridCol w:w="837"/>
        <w:gridCol w:w="114"/>
        <w:gridCol w:w="114"/>
        <w:gridCol w:w="114"/>
        <w:gridCol w:w="114"/>
        <w:gridCol w:w="222"/>
        <w:gridCol w:w="948"/>
        <w:gridCol w:w="162"/>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Supplemental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contractual obligations not reflected on the condensed consolidated balance sheet increased $180.8 million, as compared to December 31, 2023, to $1,054.4 million. The increase was primarily driven by the execution of new long-term third-party service contracts.</w:t>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terms and conditions of the guarantees with respect to the notes outstanding as of September 30, 2024 for which AMC Networks is the issuer.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Note Guarantees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Debt of AMC Networks as of September 30, 2024 included $875.0 million of 10.25% Senior Secured Notes due 2029, $985.0 million of 4.25% Senior Notes due 2029, and $143.8 million of 4.25% Convertible Senior Notes due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subsidiaries of AMC Networks do not and will not guarantee the notes. </w:t>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Free Cash Flow is a non-GAAP financial measure. See the "Non-GAAP Financial Measures" section on page 44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Summarized Financial Information</w:t>
      </w:r>
    </w:p>
    <w:tbl>
      <w:tblPr>
        <w:tblW w:w="10205" w:type="dxa"/>
        <w:jc w:val="left"/>
        <w:tblInd w:w="0" w:type="dxa"/>
        <w:tblLayout w:type="fixed"/>
        <w:tblCellMar>
          <w:top w:w="28" w:type="dxa"/>
          <w:left w:w="28" w:type="dxa"/>
          <w:bottom w:w="28" w:type="dxa"/>
          <w:right w:w="28" w:type="dxa"/>
        </w:tblCellMar>
      </w:tblPr>
      <w:tblGrid>
        <w:gridCol w:w="862"/>
        <w:gridCol w:w="757"/>
        <w:gridCol w:w="760"/>
        <w:gridCol w:w="287"/>
        <w:gridCol w:w="987"/>
        <w:gridCol w:w="147"/>
        <w:gridCol w:w="130"/>
        <w:gridCol w:w="130"/>
        <w:gridCol w:w="130"/>
        <w:gridCol w:w="311"/>
        <w:gridCol w:w="1445"/>
        <w:gridCol w:w="160"/>
        <w:gridCol w:w="109"/>
        <w:gridCol w:w="109"/>
        <w:gridCol w:w="109"/>
        <w:gridCol w:w="261"/>
        <w:gridCol w:w="1026"/>
        <w:gridCol w:w="134"/>
        <w:gridCol w:w="125"/>
        <w:gridCol w:w="125"/>
        <w:gridCol w:w="125"/>
        <w:gridCol w:w="308"/>
        <w:gridCol w:w="1429"/>
        <w:gridCol w:w="239"/>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Statement</w:t>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2379"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1,466,115 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1,107,533 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99,373 </w:t>
            </w:r>
          </w:p>
        </w:tc>
        <w:tc>
          <w:tcPr>
            <w:tcW w:w="14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230,599 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307,735 </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428,244 </w:t>
            </w:r>
          </w:p>
        </w:tc>
        <w:tc>
          <w:tcPr>
            <w:tcW w:w="23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421,629 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934"/>
        <w:gridCol w:w="817"/>
        <w:gridCol w:w="818"/>
        <w:gridCol w:w="287"/>
        <w:gridCol w:w="977"/>
        <w:gridCol w:w="147"/>
        <w:gridCol w:w="109"/>
        <w:gridCol w:w="109"/>
        <w:gridCol w:w="109"/>
        <w:gridCol w:w="384"/>
        <w:gridCol w:w="1306"/>
        <w:gridCol w:w="198"/>
        <w:gridCol w:w="109"/>
        <w:gridCol w:w="109"/>
        <w:gridCol w:w="109"/>
        <w:gridCol w:w="287"/>
        <w:gridCol w:w="977"/>
        <w:gridCol w:w="147"/>
        <w:gridCol w:w="109"/>
        <w:gridCol w:w="109"/>
        <w:gridCol w:w="109"/>
        <w:gridCol w:w="416"/>
        <w:gridCol w:w="1214"/>
        <w:gridCol w:w="315"/>
      </w:tblGrid>
      <w:tr>
        <w:trPr/>
        <w:tc>
          <w:tcPr>
            <w:tcW w:w="9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subsidiaries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1,325,373 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3,749,569 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3,056,587 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3,676,129 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3,301,046 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equity:</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519,749 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173,031 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666,783 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2,533,879 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our significant accounting policies in Note 2 to the Company's Consolidated Financial Statements included in our 2023 Form 10-K. There have been no significant changes in our significant accounting policies since December 31, 2023.</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our critical accounting estimates in Item 7, "Management's Discussion and Analysis of Financial Condition and Results of Operations," in our 2023 Form 10-K. There have been no significant changes in our critical accounting estimates since December 31, 2023.</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Internally, we use AOI and Free Cash Flow as the most important indicators of our business performance, and evaluate management's effectiveness with specific reference to these indicators.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operating income (loss) to AOI for the periods indicated:</w:t>
      </w:r>
    </w:p>
    <w:tbl>
      <w:tblPr>
        <w:tblW w:w="10205" w:type="dxa"/>
        <w:jc w:val="left"/>
        <w:tblInd w:w="0" w:type="dxa"/>
        <w:tblLayout w:type="fixed"/>
        <w:tblCellMar>
          <w:top w:w="28" w:type="dxa"/>
          <w:left w:w="28" w:type="dxa"/>
          <w:bottom w:w="28" w:type="dxa"/>
          <w:right w:w="28" w:type="dxa"/>
        </w:tblCellMar>
      </w:tblPr>
      <w:tblGrid>
        <w:gridCol w:w="1097"/>
        <w:gridCol w:w="911"/>
        <w:gridCol w:w="918"/>
        <w:gridCol w:w="279"/>
        <w:gridCol w:w="1096"/>
        <w:gridCol w:w="144"/>
        <w:gridCol w:w="109"/>
        <w:gridCol w:w="109"/>
        <w:gridCol w:w="109"/>
        <w:gridCol w:w="211"/>
        <w:gridCol w:w="721"/>
        <w:gridCol w:w="109"/>
        <w:gridCol w:w="109"/>
        <w:gridCol w:w="109"/>
        <w:gridCol w:w="109"/>
        <w:gridCol w:w="506"/>
        <w:gridCol w:w="1772"/>
        <w:gridCol w:w="265"/>
        <w:gridCol w:w="109"/>
        <w:gridCol w:w="109"/>
        <w:gridCol w:w="109"/>
        <w:gridCol w:w="211"/>
        <w:gridCol w:w="826"/>
        <w:gridCol w:w="158"/>
      </w:tblGrid>
      <w:tr>
        <w:trPr/>
        <w:tc>
          <w:tcPr>
            <w:tcW w:w="109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(45,027)</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14"/>
        <w:gridCol w:w="979"/>
        <w:gridCol w:w="986"/>
        <w:gridCol w:w="269"/>
        <w:gridCol w:w="1057"/>
        <w:gridCol w:w="139"/>
        <w:gridCol w:w="109"/>
        <w:gridCol w:w="109"/>
        <w:gridCol w:w="109"/>
        <w:gridCol w:w="211"/>
        <w:gridCol w:w="721"/>
        <w:gridCol w:w="109"/>
        <w:gridCol w:w="109"/>
        <w:gridCol w:w="109"/>
        <w:gridCol w:w="109"/>
        <w:gridCol w:w="466"/>
        <w:gridCol w:w="1634"/>
        <w:gridCol w:w="244"/>
        <w:gridCol w:w="109"/>
        <w:gridCol w:w="109"/>
        <w:gridCol w:w="109"/>
        <w:gridCol w:w="211"/>
        <w:gridCol w:w="826"/>
        <w:gridCol w:w="158"/>
      </w:tblGrid>
      <w:tr>
        <w:trPr/>
        <w:tc>
          <w:tcPr>
            <w:tcW w:w="12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 (credits)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89"/>
        <w:gridCol w:w="900"/>
        <w:gridCol w:w="907"/>
        <w:gridCol w:w="278"/>
        <w:gridCol w:w="1091"/>
        <w:gridCol w:w="143"/>
        <w:gridCol w:w="109"/>
        <w:gridCol w:w="109"/>
        <w:gridCol w:w="109"/>
        <w:gridCol w:w="211"/>
        <w:gridCol w:w="784"/>
        <w:gridCol w:w="109"/>
        <w:gridCol w:w="109"/>
        <w:gridCol w:w="109"/>
        <w:gridCol w:w="109"/>
        <w:gridCol w:w="436"/>
        <w:gridCol w:w="1855"/>
        <w:gridCol w:w="225"/>
        <w:gridCol w:w="109"/>
        <w:gridCol w:w="109"/>
        <w:gridCol w:w="109"/>
        <w:gridCol w:w="211"/>
        <w:gridCol w:w="826"/>
        <w:gridCol w:w="159"/>
      </w:tblGrid>
      <w:tr>
        <w:trPr/>
        <w:tc>
          <w:tcPr>
            <w:tcW w:w="108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467,856 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(90,656)</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433,407 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7"/>
        <w:gridCol w:w="911"/>
        <w:gridCol w:w="918"/>
        <w:gridCol w:w="279"/>
        <w:gridCol w:w="1096"/>
        <w:gridCol w:w="144"/>
        <w:gridCol w:w="109"/>
        <w:gridCol w:w="109"/>
        <w:gridCol w:w="109"/>
        <w:gridCol w:w="211"/>
        <w:gridCol w:w="721"/>
        <w:gridCol w:w="109"/>
        <w:gridCol w:w="109"/>
        <w:gridCol w:w="109"/>
        <w:gridCol w:w="109"/>
        <w:gridCol w:w="440"/>
        <w:gridCol w:w="1874"/>
        <w:gridCol w:w="227"/>
        <w:gridCol w:w="109"/>
        <w:gridCol w:w="109"/>
        <w:gridCol w:w="109"/>
        <w:gridCol w:w="211"/>
        <w:gridCol w:w="826"/>
        <w:gridCol w:w="160"/>
      </w:tblGrid>
      <w:tr>
        <w:trPr/>
        <w:tc>
          <w:tcPr>
            <w:tcW w:w="109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569,808 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We define Free Cash Flow, which is a non-GAAP financial measure, as net cash provided by operating activities less capital expenditures, all of which are reported in our Consolidated Statement of Cash Flows. </w:t>
      </w:r>
      <w:r>
        <w:rPr>
          <w:rFonts w:ascii="Times New Roman;sans-serif" w:hAnsi="Times New Roman;sans-serif"/>
          <w:b w:val="false"/>
          <w:color w:val="000000"/>
          <w:sz w:val="20"/>
          <w:shd w:fill="FFFFFF" w:val="clear"/>
        </w:rPr>
        <w:t xml:space="preserve">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its liquidity </w:t>
      </w:r>
      <w:r>
        <w:rPr>
          <w:rFonts w:ascii="Times New Roman;sans-serif" w:hAnsi="Times New Roman;sans-serif"/>
          <w:b w:val="false"/>
          <w:color w:val="000000"/>
          <w:sz w:val="20"/>
        </w:rPr>
        <w:t xml:space="preserve">with other companies in our industry, although our measure of Free Cash Flow may not be directly comparable to similar measures reported by other companies. </w:t>
      </w:r>
    </w:p>
    <w:p>
      <w:pPr>
        <w:pStyle w:val="TextBody"/>
        <w:bidi w:val="0"/>
        <w:spacing w:lineRule="auto" w:line="336" w:before="120" w:after="120"/>
        <w:ind w:left="0" w:right="0" w:firstLine="495"/>
        <w:jc w:val="both"/>
        <w:rPr/>
      </w:pPr>
      <w:r>
        <w:rPr>
          <w:rFonts w:ascii="Times New Roman;sans-serif" w:hAnsi="Times New Roman;sans-serif"/>
          <w:b w:val="false"/>
          <w:color w:val="000000"/>
          <w:sz w:val="20"/>
        </w:rPr>
        <w:t>The following is a reconciliation of</w:t>
      </w:r>
      <w:r>
        <w:rPr>
          <w:color w:val="000000"/>
          <w:shd w:fill="FFFFFF" w:val="clear"/>
        </w:rPr>
        <w:t xml:space="preserve"> </w:t>
      </w:r>
      <w:r>
        <w:rPr>
          <w:rFonts w:ascii="Times New Roman;sans-serif" w:hAnsi="Times New Roman;sans-serif"/>
          <w:b w:val="false"/>
          <w:color w:val="000000"/>
          <w:sz w:val="20"/>
          <w:shd w:fill="FFFFFF" w:val="clear"/>
        </w:rPr>
        <w:t>net cash provided by operating activities</w:t>
      </w:r>
      <w:r>
        <w:rPr>
          <w:color w:val="000000"/>
        </w:rPr>
        <w:t xml:space="preserve"> </w:t>
      </w:r>
      <w:r>
        <w:rPr>
          <w:rFonts w:ascii="Times New Roman;sans-serif" w:hAnsi="Times New Roman;sans-serif"/>
          <w:b w:val="false"/>
          <w:color w:val="000000"/>
          <w:sz w:val="20"/>
        </w:rPr>
        <w:t>to Free Cash Flow for the periods indicated:</w:t>
      </w:r>
    </w:p>
    <w:tbl>
      <w:tblPr>
        <w:tblW w:w="6635"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225"/>
        <w:gridCol w:w="883"/>
        <w:gridCol w:w="116"/>
        <w:gridCol w:w="116"/>
        <w:gridCol w:w="116"/>
        <w:gridCol w:w="116"/>
        <w:gridCol w:w="225"/>
        <w:gridCol w:w="883"/>
        <w:gridCol w:w="16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level of interest rates prevailing at September 30, 2024, the carrying value of our fixed rate debt of $1.98 billion was more than its fair value of $1.74 billion by $236.5 million. The fair value of these financial instruments is estimated based on reference to quoted market prices for these or comparable securities. A hypothetical 100 basis point decrease in interest rates prevailing at September 30, 2024 would decrease the estimated fair value of our fixed rate debt by $10.5 million to $1.73 billion.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Interest Rate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three and nine months ended September 30, 2024, we did not have any interest rate swap contracts outstanding.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$2.4 billion of debt outstanding (excluding finance leases), of which $373.8 million is outstanding under our loan facility and is subject to variable interest rates. A hypothetical 100 basis point increase in interest rates prevailing at September 30, 2024 would increase our annual interest expense by $3.7 million. The interest rate paid on approximately 84% of our debt (excluding finance leases) as of September 30, 2024 is fixed.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Foreign Currency Exchange Rate Risk</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shd w:fill="FFFFFF" w:val="clear"/>
        </w:rPr>
        <w:t xml:space="preserve"> </w:t>
      </w:r>
      <w:r>
        <w:rPr>
          <w:rFonts w:ascii="Times New Roman;sans-serif" w:hAnsi="Times New Roman;sans-serif"/>
          <w:b w:val="false"/>
          <w:color w:val="000000"/>
          <w:sz w:val="20"/>
          <w:shd w:fill="FFFFFF" w:val="clear"/>
        </w:rPr>
        <w:t xml:space="preserve">as a result of changes in foreign currency exchange rates. The Company recognized gains of $8.5 million and $4.6 million </w:t>
      </w:r>
      <w:r>
        <w:rPr>
          <w:rFonts w:ascii="Times New Roman;sans-serif" w:hAnsi="Times New Roman;sans-serif"/>
          <w:b w:val="false"/>
          <w:color w:val="000000"/>
          <w:sz w:val="20"/>
        </w:rPr>
        <w:t xml:space="preserve">for the three and nine months ended September 30, 2024, respectively, and </w:t>
      </w:r>
      <w:r>
        <w:rPr>
          <w:rFonts w:ascii="Times New Roman;sans-serif" w:hAnsi="Times New Roman;sans-serif"/>
          <w:b w:val="false"/>
          <w:color w:val="000000"/>
          <w:sz w:val="20"/>
          <w:shd w:fill="FFFFFF" w:val="clear"/>
        </w:rPr>
        <w:t xml:space="preserve">losses of $3.3 million and $0.8 million </w:t>
      </w:r>
      <w:r>
        <w:rPr>
          <w:rFonts w:ascii="Times New Roman;sans-serif" w:hAnsi="Times New Roman;sans-serif"/>
          <w:b w:val="false"/>
          <w:color w:val="000000"/>
          <w:sz w:val="20"/>
        </w:rPr>
        <w:t>for the three and nine months ended September 30, 2023, respectively, related to foreign currency transactions. Such amounts are included in miscellaneous, net in the condensed consolidated statements of income.</w:t>
      </w:r>
    </w:p>
    <w:p>
      <w:pPr>
        <w:pStyle w:val="TextBody"/>
        <w:bidi w:val="0"/>
        <w:spacing w:lineRule="auto" w:line="288" w:before="120" w:after="12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September 30, 2024, the Company's principal executive officer (our Chief Executive Officer) and principal financial officer (our Chief Financial Officer) concluded that the Company's disclosure controls and procedures are effective.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2024, there were no changes in the Company's internal control over financial reporting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14, Commitments and Contingencies to the condensed consolidated financial statements included in this Quarterly Report on Form 10-Q for a description of our legal proceedings. </w:t>
      </w:r>
    </w:p>
    <w:p>
      <w:pPr>
        <w:pStyle w:val="TextBody"/>
        <w:bidi w:val="0"/>
        <w:spacing w:before="100" w:after="1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For the three and nine months ended September 30, 2024, the Company did not repurchase any of its Class A common stock. As of September 30, 2024,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 xml:space="preserve">of authorization remaining for repurchase under the Stock Repurchase Program.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ind w:left="0" w:right="0" w:hanging="720"/>
        <w:jc w:val="left"/>
        <w:rPr/>
      </w:pPr>
      <w:r>
        <w:rPr>
          <w:rFonts w:ascii="Times New Roman;sans-serif" w:hAnsi="Times New Roman;sans-serif"/>
          <w:b/>
          <w:color w:val="000000"/>
          <w:sz w:val="20"/>
        </w:rPr>
        <w:t>(a)</w:t>
      </w:r>
      <w:r>
        <w:rPr>
          <w:rFonts w:ascii="Times New Roman;sans-serif" w:hAnsi="Times New Roman;sans-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55"/>
        <w:gridCol w:w="211"/>
        <w:gridCol w:w="212"/>
        <w:gridCol w:w="3038"/>
        <w:gridCol w:w="2687"/>
        <w:gridCol w:w="3802"/>
      </w:tblGrid>
      <w:tr>
        <w:trPr/>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Separation Agreement, dated July 26, 2024, by and between AMC Networks Inc. and James G. Gallagher (incorporated by reference to Exhibit 10.5 to the Company’s Quarterly Report on Form 10-Q filed on August 9, 2024).</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4xex22.htm">
              <w:r>
                <w:rPr>
                  <w:rStyle w:val="InternetLink"/>
                  <w:rFonts w:ascii="Times New Roman;sans-serif" w:hAnsi="Times New Roman;sans-serif"/>
                  <w:b w:val="false"/>
                  <w:color w:val="0000FF"/>
                  <w:sz w:val="20"/>
                  <w:u w:val="single"/>
                </w:rPr>
                <w:t>Guarantor Subsidiaries of the Registrant</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4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4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4xex32.htm">
              <w:r>
                <w:rPr>
                  <w:rStyle w:val="InternetLink"/>
                  <w:rFonts w:ascii="Times New Roman;sans-serif" w:hAnsi="Times New Roman;sans-serif"/>
                  <w:b w:val="false"/>
                  <w:color w:val="0000FF"/>
                  <w:sz w:val="20"/>
                  <w:u w:val="single"/>
                </w:rPr>
                <w:t>Certifications of Chief Executive Officer and Chief Financial Officer pursuant to Section 906 of the Sarbanes-Oxley Act of 2002, 18 U.S.C. Section 1350.</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9527" w:type="dxa"/>
            <w:gridSpan w:val="3"/>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9527" w:type="dxa"/>
            <w:gridSpan w:val="3"/>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Inline XBRL document.</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52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356"/>
        <w:gridCol w:w="1356"/>
        <w:gridCol w:w="19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AMC Networks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1" w:before="0" w:after="2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List of Guarantor Subsidiaries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following subsidiaries of AMC Networks Inc. guarantee the notes issued by AMC Networks Inc.</w:t>
      </w:r>
    </w:p>
    <w:tbl>
      <w:tblPr>
        <w:tblW w:w="6042" w:type="dxa"/>
        <w:jc w:val="left"/>
        <w:tblInd w:w="0" w:type="dxa"/>
        <w:tblLayout w:type="fixed"/>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Film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Games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Broadcasting &amp;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Plus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Premiere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AMC/Sundance Channel Global Networks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AMCN Properties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American Movie Classics IV Holding Corp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Animal Control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Anime Network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Anthem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Brockmire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Cobalt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Comic Scribe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Crossed Pens Development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Dark Winds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Digital Store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Dispatches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Expedition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Families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Moons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Geese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Ground Work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HIDIVE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78"/>
        <w:gridCol w:w="947"/>
        <w:gridCol w:w="959"/>
        <w:gridCol w:w="109"/>
        <w:gridCol w:w="109"/>
        <w:gridCol w:w="109"/>
        <w:gridCol w:w="619"/>
        <w:gridCol w:w="619"/>
        <w:gridCol w:w="877"/>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Holdings LLC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Films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In Theaters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Television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Concessions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 Creative Contents Alliance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Kindred Spirit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Kopus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Kopus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Lodge Productions II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Making Waves Studio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Mechanical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Monument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Moonhaven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Newfound Lake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NOS4A2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 Pit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Peachwood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Pens Down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Premier Quills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Content Distribution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Rainbow Media Enterprises,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Rainbow Media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Rectify Productions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Monday Programming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Holding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II Holding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Roughhouse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Selects VOD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Filmworks,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Shudder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7" w:type="dxa"/>
        <w:jc w:val="left"/>
        <w:tblInd w:w="0" w:type="dxa"/>
        <w:tblLayout w:type="fixed"/>
        <w:tblCellMar>
          <w:top w:w="28" w:type="dxa"/>
          <w:left w:w="28" w:type="dxa"/>
          <w:bottom w:w="28" w:type="dxa"/>
          <w:right w:w="28" w:type="dxa"/>
        </w:tblCellMar>
      </w:tblPr>
      <w:tblGrid>
        <w:gridCol w:w="1055"/>
        <w:gridCol w:w="929"/>
        <w:gridCol w:w="941"/>
        <w:gridCol w:w="109"/>
        <w:gridCol w:w="109"/>
        <w:gridCol w:w="109"/>
        <w:gridCol w:w="619"/>
        <w:gridCol w:w="619"/>
        <w:gridCol w:w="877"/>
      </w:tblGrid>
      <w:tr>
        <w:trPr/>
        <w:tc>
          <w:tcPr>
            <w:tcW w:w="10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Sleuth Secrets Productions LLC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Channel Originals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Film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SundanceTV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Sxion 23,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IX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X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Vampire Chronicles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Voom HD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Woodbury Studios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Kristin A. Dolan,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9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Patrick O’Connell,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3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each of the undersigned officers of AMC Networks Inc. (“AMC Networks”) hereby certifies, to such officer’s knowledge, that AMC Networks’ Quarterly Report on Form 10-Q for the quarter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tbl>
      <w:tblPr>
        <w:tblW w:w="49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73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4991/000151499124000034/amcx-6302024xex105.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26035</Words>
  <Characters>150040</Characters>
  <CharactersWithSpaces>174015</CharactersWithSpaces>
  <Paragraphs>4010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