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57150</wp:posOffset>
            </wp:positionV>
            <wp:extent cx="3291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88265</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3"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ind w:left="5540"/>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86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For the transition period from</w:t>
            </w:r>
          </w:p>
        </w:tc>
        <w:tc>
          <w:tcPr>
            <w:tcW w:w="4240" w:type="dxa"/>
            <w:vAlign w:val="bottom"/>
            <w:gridSpan w:val="2"/>
          </w:tcPr>
          <w:p>
            <w:pPr>
              <w:ind w:left="60"/>
              <w:spacing w:after="0"/>
              <w:rPr>
                <w:sz w:val="20"/>
                <w:szCs w:val="20"/>
                <w:color w:val="auto"/>
              </w:rPr>
            </w:pPr>
            <w:r>
              <w:rPr>
                <w:rFonts w:ascii="Arial" w:cs="Arial" w:eastAsia="Arial" w:hAnsi="Arial"/>
                <w:sz w:val="18"/>
                <w:szCs w:val="18"/>
                <w:b w:val="1"/>
                <w:bCs w:val="1"/>
                <w:color w:val="auto"/>
              </w:rPr>
              <w:t>to</w:t>
            </w:r>
          </w:p>
        </w:tc>
      </w:tr>
      <w:tr>
        <w:trPr>
          <w:trHeight w:val="270"/>
        </w:trPr>
        <w:tc>
          <w:tcPr>
            <w:tcW w:w="2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1"/>
              </w:rPr>
              <w:t>Commission File Number: 1-35106</w:t>
            </w:r>
          </w:p>
        </w:tc>
      </w:tr>
      <w:tr>
        <w:trPr>
          <w:trHeight w:val="135"/>
        </w:trPr>
        <w:tc>
          <w:tcPr>
            <w:tcW w:w="25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0" w:type="dxa"/>
            <w:vAlign w:val="bottom"/>
            <w:tcBorders>
              <w:bottom w:val="single" w:sz="8" w:color="auto"/>
            </w:tcBorders>
            <w:gridSpan w:val="2"/>
          </w:tcPr>
          <w:p>
            <w:pPr>
              <w:spacing w:after="0"/>
              <w:rPr>
                <w:sz w:val="11"/>
                <w:szCs w:val="11"/>
                <w:color w:val="auto"/>
              </w:rPr>
            </w:pPr>
          </w:p>
        </w:tc>
        <w:tc>
          <w:tcPr>
            <w:tcW w:w="1920" w:type="dxa"/>
            <w:vAlign w:val="bottom"/>
          </w:tcPr>
          <w:p>
            <w:pPr>
              <w:spacing w:after="0"/>
              <w:rPr>
                <w:sz w:val="11"/>
                <w:szCs w:val="11"/>
                <w:color w:val="auto"/>
              </w:rPr>
            </w:pPr>
          </w:p>
        </w:tc>
      </w:tr>
      <w:tr>
        <w:trPr>
          <w:trHeight w:val="471"/>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29"/>
                <w:szCs w:val="29"/>
                <w:b w:val="1"/>
                <w:bCs w:val="1"/>
                <w:color w:val="auto"/>
                <w:w w:val="94"/>
              </w:rPr>
              <w:t>AMC Networks Inc.</w:t>
            </w:r>
          </w:p>
        </w:tc>
      </w:tr>
      <w:tr>
        <w:trPr>
          <w:trHeight w:val="246"/>
        </w:trPr>
        <w:tc>
          <w:tcPr>
            <w:tcW w:w="2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320" w:type="dxa"/>
            <w:vAlign w:val="bottom"/>
            <w:gridSpan w:val="3"/>
          </w:tcPr>
          <w:p>
            <w:pPr>
              <w:jc w:val="center"/>
              <w:ind w:right="27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3"/>
        </w:trPr>
        <w:tc>
          <w:tcPr>
            <w:tcW w:w="252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8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920" w:type="dxa"/>
            <w:vAlign w:val="bottom"/>
          </w:tcPr>
          <w:p>
            <w:pPr>
              <w:spacing w:after="0"/>
              <w:rPr>
                <w:sz w:val="6"/>
                <w:szCs w:val="6"/>
                <w:color w:val="auto"/>
              </w:rPr>
            </w:pPr>
          </w:p>
        </w:tc>
      </w:tr>
      <w:tr>
        <w:trPr>
          <w:trHeight w:val="430"/>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91"/>
              </w:rPr>
              <w:t>Delaware</w:t>
            </w:r>
          </w:p>
        </w:tc>
        <w:tc>
          <w:tcPr>
            <w:tcW w:w="2080" w:type="dxa"/>
            <w:vAlign w:val="bottom"/>
          </w:tcPr>
          <w:p>
            <w:pPr>
              <w:spacing w:after="0"/>
              <w:rPr>
                <w:sz w:val="24"/>
                <w:szCs w:val="24"/>
                <w:color w:val="auto"/>
              </w:rPr>
            </w:pPr>
          </w:p>
        </w:tc>
        <w:tc>
          <w:tcPr>
            <w:tcW w:w="4240" w:type="dxa"/>
            <w:vAlign w:val="bottom"/>
            <w:gridSpan w:val="2"/>
          </w:tcPr>
          <w:p>
            <w:pPr>
              <w:jc w:val="right"/>
              <w:ind w:right="1280"/>
              <w:spacing w:after="0"/>
              <w:rPr>
                <w:sz w:val="20"/>
                <w:szCs w:val="20"/>
                <w:color w:val="auto"/>
              </w:rPr>
            </w:pPr>
            <w:r>
              <w:rPr>
                <w:rFonts w:ascii="Arial" w:cs="Arial" w:eastAsia="Arial" w:hAnsi="Arial"/>
                <w:sz w:val="18"/>
                <w:szCs w:val="18"/>
                <w:b w:val="1"/>
                <w:bCs w:val="1"/>
                <w:color w:val="auto"/>
              </w:rPr>
              <w:t>27-5403694</w:t>
            </w:r>
          </w:p>
        </w:tc>
      </w:tr>
      <w:tr>
        <w:trPr>
          <w:trHeight w:val="144"/>
        </w:trPr>
        <w:tc>
          <w:tcPr>
            <w:tcW w:w="3300" w:type="dxa"/>
            <w:vAlign w:val="bottom"/>
            <w:gridSpan w:val="2"/>
          </w:tcPr>
          <w:p>
            <w:pPr>
              <w:jc w:val="center"/>
              <w:ind w:left="121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080" w:type="dxa"/>
            <w:vAlign w:val="bottom"/>
          </w:tcPr>
          <w:p>
            <w:pPr>
              <w:spacing w:after="0"/>
              <w:rPr>
                <w:sz w:val="12"/>
                <w:szCs w:val="12"/>
                <w:color w:val="auto"/>
              </w:rPr>
            </w:pPr>
          </w:p>
        </w:tc>
        <w:tc>
          <w:tcPr>
            <w:tcW w:w="4240" w:type="dxa"/>
            <w:vAlign w:val="bottom"/>
            <w:gridSpan w:val="2"/>
          </w:tcPr>
          <w:p>
            <w:pPr>
              <w:jc w:val="center"/>
              <w:ind w:left="75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300" w:type="dxa"/>
            <w:vAlign w:val="bottom"/>
            <w:gridSpan w:val="2"/>
          </w:tcPr>
          <w:p>
            <w:pPr>
              <w:jc w:val="center"/>
              <w:ind w:left="1219"/>
              <w:spacing w:after="0"/>
              <w:rPr>
                <w:sz w:val="20"/>
                <w:szCs w:val="20"/>
                <w:color w:val="auto"/>
              </w:rPr>
            </w:pPr>
            <w:r>
              <w:rPr>
                <w:rFonts w:ascii="Arial" w:cs="Arial" w:eastAsia="Arial" w:hAnsi="Arial"/>
                <w:sz w:val="14"/>
                <w:szCs w:val="14"/>
                <w:b w:val="1"/>
                <w:bCs w:val="1"/>
                <w:color w:val="auto"/>
                <w:w w:val="94"/>
              </w:rPr>
              <w:t>incorporation or organization)</w:t>
            </w:r>
          </w:p>
        </w:tc>
        <w:tc>
          <w:tcPr>
            <w:tcW w:w="2080" w:type="dxa"/>
            <w:vAlign w:val="bottom"/>
          </w:tcPr>
          <w:p>
            <w:pPr>
              <w:spacing w:after="0"/>
              <w:rPr>
                <w:sz w:val="16"/>
                <w:szCs w:val="16"/>
                <w:color w:val="auto"/>
              </w:rPr>
            </w:pP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6"/>
              </w:rPr>
              <w:t>Identification No.)</w:t>
            </w:r>
          </w:p>
        </w:tc>
      </w:tr>
      <w:tr>
        <w:trPr>
          <w:trHeight w:val="281"/>
        </w:trPr>
        <w:tc>
          <w:tcPr>
            <w:tcW w:w="3300" w:type="dxa"/>
            <w:vAlign w:val="bottom"/>
            <w:gridSpan w:val="2"/>
          </w:tcPr>
          <w:p>
            <w:pPr>
              <w:jc w:val="center"/>
              <w:ind w:left="1219"/>
              <w:spacing w:after="0"/>
              <w:rPr>
                <w:sz w:val="20"/>
                <w:szCs w:val="20"/>
                <w:color w:val="auto"/>
              </w:rPr>
            </w:pPr>
            <w:r>
              <w:rPr>
                <w:rFonts w:ascii="Arial" w:cs="Arial" w:eastAsia="Arial" w:hAnsi="Arial"/>
                <w:sz w:val="18"/>
                <w:szCs w:val="18"/>
                <w:b w:val="1"/>
                <w:bCs w:val="1"/>
                <w:color w:val="auto"/>
                <w:w w:val="89"/>
              </w:rPr>
              <w:t>11 Penn Plaza,</w:t>
            </w:r>
          </w:p>
        </w:tc>
        <w:tc>
          <w:tcPr>
            <w:tcW w:w="2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5"/>
        </w:trPr>
        <w:tc>
          <w:tcPr>
            <w:tcW w:w="3300" w:type="dxa"/>
            <w:vAlign w:val="bottom"/>
            <w:gridSpan w:val="2"/>
          </w:tcPr>
          <w:p>
            <w:pPr>
              <w:ind w:left="1460"/>
              <w:spacing w:after="0"/>
              <w:rPr>
                <w:sz w:val="20"/>
                <w:szCs w:val="20"/>
                <w:color w:val="auto"/>
              </w:rPr>
            </w:pPr>
            <w:r>
              <w:rPr>
                <w:rFonts w:ascii="Arial" w:cs="Arial" w:eastAsia="Arial" w:hAnsi="Arial"/>
                <w:sz w:val="18"/>
                <w:szCs w:val="18"/>
                <w:b w:val="1"/>
                <w:bCs w:val="1"/>
                <w:color w:val="auto"/>
              </w:rPr>
              <w:t>New York, NY</w:t>
            </w:r>
          </w:p>
        </w:tc>
        <w:tc>
          <w:tcPr>
            <w:tcW w:w="2080" w:type="dxa"/>
            <w:vAlign w:val="bottom"/>
          </w:tcPr>
          <w:p>
            <w:pPr>
              <w:spacing w:after="0"/>
              <w:rPr>
                <w:sz w:val="19"/>
                <w:szCs w:val="19"/>
                <w:color w:val="auto"/>
              </w:rPr>
            </w:pPr>
          </w:p>
        </w:tc>
        <w:tc>
          <w:tcPr>
            <w:tcW w:w="424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rPr>
              <w:t>10001</w:t>
            </w:r>
          </w:p>
        </w:tc>
      </w:tr>
      <w:tr>
        <w:trPr>
          <w:trHeight w:val="186"/>
        </w:trPr>
        <w:tc>
          <w:tcPr>
            <w:tcW w:w="5380" w:type="dxa"/>
            <w:vAlign w:val="bottom"/>
            <w:gridSpan w:val="3"/>
          </w:tcPr>
          <w:p>
            <w:pPr>
              <w:jc w:val="center"/>
              <w:ind w:right="71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4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gridSpan w:val="2"/>
          </w:tcPr>
          <w:p>
            <w:pPr>
              <w:jc w:val="center"/>
              <w:ind w:right="719"/>
              <w:spacing w:after="0"/>
              <w:rPr>
                <w:sz w:val="20"/>
                <w:szCs w:val="20"/>
                <w:color w:val="auto"/>
              </w:rPr>
            </w:pPr>
            <w:r>
              <w:rPr>
                <w:rFonts w:ascii="Arial" w:cs="Arial" w:eastAsia="Arial" w:hAnsi="Arial"/>
                <w:sz w:val="18"/>
                <w:szCs w:val="18"/>
                <w:b w:val="1"/>
                <w:bCs w:val="1"/>
                <w:color w:val="auto"/>
                <w:w w:val="90"/>
              </w:rPr>
              <w:t>(212) 324-8500</w:t>
            </w:r>
          </w:p>
        </w:tc>
        <w:tc>
          <w:tcPr>
            <w:tcW w:w="1920" w:type="dxa"/>
            <w:vAlign w:val="bottom"/>
          </w:tcPr>
          <w:p>
            <w:pPr>
              <w:spacing w:after="0"/>
              <w:rPr>
                <w:sz w:val="24"/>
                <w:szCs w:val="24"/>
                <w:color w:val="auto"/>
              </w:rPr>
            </w:pPr>
          </w:p>
        </w:tc>
      </w:tr>
      <w:tr>
        <w:trPr>
          <w:trHeight w:val="162"/>
        </w:trPr>
        <w:tc>
          <w:tcPr>
            <w:tcW w:w="2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320" w:type="dxa"/>
            <w:vAlign w:val="bottom"/>
            <w:gridSpan w:val="3"/>
          </w:tcPr>
          <w:p>
            <w:pPr>
              <w:jc w:val="center"/>
              <w:ind w:right="27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478"/>
        </w:trPr>
        <w:tc>
          <w:tcPr>
            <w:tcW w:w="3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tcPr>
          <w:p>
            <w:pPr>
              <w:jc w:val="center"/>
              <w:ind w:left="511"/>
              <w:spacing w:after="0"/>
              <w:rPr>
                <w:sz w:val="20"/>
                <w:szCs w:val="20"/>
                <w:color w:val="auto"/>
              </w:rPr>
            </w:pPr>
            <w:r>
              <w:rPr>
                <w:rFonts w:ascii="Arial" w:cs="Arial" w:eastAsia="Arial" w:hAnsi="Arial"/>
                <w:sz w:val="16"/>
                <w:szCs w:val="16"/>
                <w:b w:val="1"/>
                <w:bCs w:val="1"/>
                <w:color w:val="auto"/>
                <w:w w:val="91"/>
              </w:rPr>
              <w:t>Trading Symbol(s)</w:t>
            </w:r>
          </w:p>
        </w:tc>
        <w:tc>
          <w:tcPr>
            <w:tcW w:w="4240" w:type="dxa"/>
            <w:vAlign w:val="bottom"/>
            <w:gridSpan w:val="2"/>
          </w:tcPr>
          <w:p>
            <w:pPr>
              <w:ind w:left="12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16"/>
        </w:trPr>
        <w:tc>
          <w:tcPr>
            <w:tcW w:w="3300" w:type="dxa"/>
            <w:vAlign w:val="bottom"/>
            <w:gridSpan w:val="2"/>
          </w:tcPr>
          <w:p>
            <w:pPr>
              <w:jc w:val="center"/>
              <w:spacing w:after="0"/>
              <w:rPr>
                <w:sz w:val="20"/>
                <w:szCs w:val="20"/>
                <w:color w:val="auto"/>
              </w:rPr>
            </w:pPr>
            <w:r>
              <w:rPr>
                <w:rFonts w:ascii="Arial" w:cs="Arial" w:eastAsia="Arial" w:hAnsi="Arial"/>
                <w:sz w:val="16"/>
                <w:szCs w:val="16"/>
                <w:color w:val="auto"/>
                <w:w w:val="90"/>
              </w:rPr>
              <w:t>Class A Common Stock, par value $0.01 per share</w:t>
            </w:r>
          </w:p>
        </w:tc>
        <w:tc>
          <w:tcPr>
            <w:tcW w:w="2080" w:type="dxa"/>
            <w:vAlign w:val="bottom"/>
          </w:tcPr>
          <w:p>
            <w:pPr>
              <w:jc w:val="center"/>
              <w:ind w:left="511"/>
              <w:spacing w:after="0"/>
              <w:rPr>
                <w:sz w:val="20"/>
                <w:szCs w:val="20"/>
                <w:color w:val="auto"/>
              </w:rPr>
            </w:pPr>
            <w:r>
              <w:rPr>
                <w:rFonts w:ascii="Arial" w:cs="Arial" w:eastAsia="Arial" w:hAnsi="Arial"/>
                <w:sz w:val="16"/>
                <w:szCs w:val="16"/>
                <w:color w:val="auto"/>
              </w:rPr>
              <w:t>AMCX</w:t>
            </w:r>
          </w:p>
        </w:tc>
        <w:tc>
          <w:tcPr>
            <w:tcW w:w="4240" w:type="dxa"/>
            <w:vAlign w:val="bottom"/>
            <w:gridSpan w:val="2"/>
          </w:tcPr>
          <w:p>
            <w:pPr>
              <w:ind w:left="1460"/>
              <w:spacing w:after="0"/>
              <w:rPr>
                <w:sz w:val="20"/>
                <w:szCs w:val="20"/>
                <w:color w:val="auto"/>
              </w:rPr>
            </w:pPr>
            <w:r>
              <w:rPr>
                <w:rFonts w:ascii="Arial" w:cs="Arial" w:eastAsia="Arial" w:hAnsi="Arial"/>
                <w:sz w:val="16"/>
                <w:szCs w:val="16"/>
                <w:color w:val="auto"/>
              </w:rPr>
              <w:t>The  NASDAQ  Stock Market LLC</w:t>
            </w:r>
          </w:p>
        </w:tc>
      </w:tr>
      <w:tr>
        <w:trPr>
          <w:trHeight w:val="114"/>
        </w:trPr>
        <w:tc>
          <w:tcPr>
            <w:tcW w:w="25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r>
    </w:tbl>
    <w:p>
      <w:pPr>
        <w:spacing w:after="0" w:line="2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2"/>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April 29, 2022:</w:t>
            </w:r>
          </w:p>
        </w:tc>
        <w:tc>
          <w:tcPr>
            <w:tcW w:w="3800" w:type="dxa"/>
            <w:vAlign w:val="bottom"/>
          </w:tcPr>
          <w:p>
            <w:pPr>
              <w:spacing w:after="0"/>
              <w:rPr>
                <w:sz w:val="24"/>
                <w:szCs w:val="24"/>
                <w:color w:val="auto"/>
              </w:rPr>
            </w:pPr>
          </w:p>
        </w:tc>
      </w:tr>
      <w:tr>
        <w:trPr>
          <w:trHeight w:val="230"/>
        </w:trPr>
        <w:tc>
          <w:tcPr>
            <w:tcW w:w="7440" w:type="dxa"/>
            <w:vAlign w:val="bottom"/>
          </w:tcPr>
          <w:p>
            <w:pPr>
              <w:ind w:left="140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31,434,451</w:t>
            </w:r>
          </w:p>
        </w:tc>
      </w:tr>
      <w:tr>
        <w:trPr>
          <w:trHeight w:val="21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360" w:type="dxa"/>
            <w:vAlign w:val="bottom"/>
            <w:gridSpan w:val="9"/>
            <w:vMerge w:val="restart"/>
          </w:tcPr>
          <w:p>
            <w:pPr>
              <w:spacing w:after="0"/>
              <w:rPr>
                <w:sz w:val="20"/>
                <w:szCs w:val="20"/>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360" w:type="dxa"/>
            <w:vAlign w:val="bottom"/>
            <w:gridSpan w:val="9"/>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320" w:type="dxa"/>
            <w:vAlign w:val="bottom"/>
            <w:gridSpan w:val="2"/>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5540" w:type="dxa"/>
            <w:vAlign w:val="bottom"/>
            <w:gridSpan w:val="3"/>
          </w:tcPr>
          <w:p>
            <w:pPr>
              <w:spacing w:after="0"/>
              <w:rPr>
                <w:sz w:val="18"/>
                <w:szCs w:val="18"/>
                <w:color w:val="auto"/>
              </w:rPr>
            </w:pPr>
          </w:p>
        </w:tc>
        <w:tc>
          <w:tcPr>
            <w:tcW w:w="7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Item 2. Management’s Discussion and Analysis of Financial Condition and Results of Operations</w:t>
              </w:r>
            </w:hyperlink>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4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4"/>
              </w:rPr>
            </w:pPr>
            <w:hyperlink w:anchor="page36">
              <w:r>
                <w:rPr>
                  <w:rFonts w:ascii="Arial" w:cs="Arial" w:eastAsia="Arial" w:hAnsi="Arial"/>
                  <w:sz w:val="18"/>
                  <w:szCs w:val="18"/>
                  <w:color w:val="0000FF"/>
                  <w:w w:val="94"/>
                </w:rPr>
                <w:t>Item 4.</w:t>
              </w:r>
            </w:hyperlink>
          </w:p>
        </w:tc>
        <w:tc>
          <w:tcPr>
            <w:tcW w:w="1800" w:type="dxa"/>
            <w:vAlign w:val="bottom"/>
            <w:tcBorders>
              <w:top w:val="single" w:sz="8" w:color="0000FF"/>
              <w:bottom w:val="single" w:sz="8" w:color="0000FF"/>
            </w:tcBorders>
            <w:gridSpan w:val="4"/>
          </w:tcPr>
          <w:p>
            <w:pPr>
              <w:ind w:left="20"/>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9"/>
          </w:tcPr>
          <w:p>
            <w:pPr>
              <w:spacing w:after="0"/>
              <w:rPr>
                <w:sz w:val="18"/>
                <w:szCs w:val="18"/>
                <w:color w:val="auto"/>
              </w:rPr>
            </w:pPr>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OTHER INFORMATION</w:t>
              </w:r>
            </w:hyperlink>
          </w:p>
        </w:tc>
        <w:tc>
          <w:tcPr>
            <w:tcW w:w="76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1.</w:t>
              </w:r>
            </w:hyperlink>
          </w:p>
        </w:tc>
        <w:tc>
          <w:tcPr>
            <w:tcW w:w="1360" w:type="dxa"/>
            <w:vAlign w:val="bottom"/>
            <w:tcBorders>
              <w:bottom w:val="single" w:sz="8" w:color="0000FF"/>
            </w:tcBorders>
            <w:gridSpan w:val="3"/>
          </w:tcPr>
          <w:p>
            <w:pPr>
              <w:ind w:left="20"/>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834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2.</w:t>
              </w:r>
            </w:hyperlink>
          </w:p>
        </w:tc>
        <w:tc>
          <w:tcPr>
            <w:tcW w:w="4380" w:type="dxa"/>
            <w:vAlign w:val="bottom"/>
            <w:tcBorders>
              <w:bottom w:val="single" w:sz="8" w:color="0000FF"/>
            </w:tcBorders>
            <w:gridSpan w:val="13"/>
          </w:tcPr>
          <w:p>
            <w:pPr>
              <w:ind w:left="2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3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8">
              <w:r>
                <w:rPr>
                  <w:rFonts w:ascii="Arial" w:cs="Arial" w:eastAsia="Arial" w:hAnsi="Arial"/>
                  <w:sz w:val="18"/>
                  <w:szCs w:val="18"/>
                  <w:color w:val="0000FF"/>
                  <w:w w:val="94"/>
                </w:rPr>
                <w:t>Item 6.</w:t>
              </w:r>
            </w:hyperlink>
          </w:p>
        </w:tc>
        <w:tc>
          <w:tcPr>
            <w:tcW w:w="9700" w:type="dxa"/>
            <w:vAlign w:val="bottom"/>
            <w:gridSpan w:val="15"/>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7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18"/>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SIGNATURES</w:t>
              </w:r>
            </w:hyperlink>
          </w:p>
        </w:tc>
        <w:tc>
          <w:tcPr>
            <w:tcW w:w="76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99"/>
        </w:trPr>
        <w:tc>
          <w:tcPr>
            <w:tcW w:w="7600" w:type="dxa"/>
            <w:vAlign w:val="bottom"/>
          </w:tcPr>
          <w:p>
            <w:pPr>
              <w:ind w:left="350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821,626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892,221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trade (less allowance for doubtful accounts of $8,029 and $8,030)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815,444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Current portion of program rights,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10,068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282,453</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1,967,402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2,000,186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$299,737 and $286,133</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225,791</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1,855,025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1,731,838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701,239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709,344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11,334</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119,774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125,866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545,153</w:t>
            </w:r>
          </w:p>
        </w:tc>
        <w:tc>
          <w:tcPr>
            <w:tcW w:w="0" w:type="dxa"/>
            <w:vAlign w:val="bottom"/>
          </w:tcPr>
          <w:p>
            <w:pPr>
              <w:spacing w:after="0"/>
              <w:rPr>
                <w:sz w:val="1"/>
                <w:szCs w:val="1"/>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5,749,734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173,207</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280,906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340,407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program rights obligations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307,054</w:t>
            </w:r>
          </w:p>
        </w:tc>
        <w:tc>
          <w:tcPr>
            <w:tcW w:w="0" w:type="dxa"/>
            <w:vAlign w:val="bottom"/>
          </w:tcPr>
          <w:p>
            <w:pPr>
              <w:spacing w:after="0"/>
              <w:rPr>
                <w:sz w:val="1"/>
                <w:szCs w:val="1"/>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205,432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167,071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Current portion of lease obligations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36,596</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1,041,740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1,058,085</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183,594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218,321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2,804,720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151,839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163,600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165,860</w:t>
            </w:r>
          </w:p>
        </w:tc>
        <w:tc>
          <w:tcPr>
            <w:tcW w:w="0" w:type="dxa"/>
            <w:vAlign w:val="bottom"/>
          </w:tcPr>
          <w:p>
            <w:pPr>
              <w:spacing w:after="0"/>
              <w:rPr>
                <w:sz w:val="1"/>
                <w:szCs w:val="1"/>
                <w:color w:val="auto"/>
              </w:rPr>
            </w:pPr>
          </w:p>
        </w:tc>
      </w:tr>
      <w:tr>
        <w:trPr>
          <w:trHeight w:val="213"/>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4,485,000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4,562,425</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283,849</w:t>
            </w:r>
          </w:p>
        </w:tc>
        <w:tc>
          <w:tcPr>
            <w:tcW w:w="0" w:type="dxa"/>
            <w:vAlign w:val="bottom"/>
          </w:tcPr>
          <w:p>
            <w:pPr>
              <w:spacing w:after="0"/>
              <w:rPr>
                <w:sz w:val="1"/>
                <w:szCs w:val="1"/>
                <w:color w:val="auto"/>
              </w:rPr>
            </w:pP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A Common Stock, $0.01 par value, 360,000 shares authorized, 66,027 and 65,485 shares issued and 31,434</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30,892 shares outstanding,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335,803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347,971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2,098,047</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Treasury stock, at cost (34,593 and 34,593 shares Class A Common Stock, respectively)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(1,419,882)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(1,419,882)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(175,818)</w:t>
            </w:r>
          </w:p>
        </w:tc>
        <w:tc>
          <w:tcPr>
            <w:tcW w:w="0" w:type="dxa"/>
            <w:vAlign w:val="bottom"/>
          </w:tcPr>
          <w:p>
            <w:pPr>
              <w:spacing w:after="0"/>
              <w:rPr>
                <w:sz w:val="1"/>
                <w:szCs w:val="1"/>
                <w:color w:val="auto"/>
              </w:rPr>
            </w:pPr>
          </w:p>
        </w:tc>
      </w:tr>
      <w:tr>
        <w:trPr>
          <w:trHeight w:val="207"/>
        </w:trPr>
        <w:tc>
          <w:tcPr>
            <w:tcW w:w="7600" w:type="dxa"/>
            <w:vAlign w:val="bottom"/>
          </w:tcPr>
          <w:p>
            <w:pPr>
              <w:ind w:left="680"/>
              <w:spacing w:after="0"/>
              <w:rPr>
                <w:sz w:val="20"/>
                <w:szCs w:val="20"/>
                <w:color w:val="auto"/>
              </w:rPr>
            </w:pPr>
            <w:r>
              <w:rPr>
                <w:rFonts w:ascii="Arial" w:cs="Arial" w:eastAsia="Arial" w:hAnsi="Arial"/>
                <w:sz w:val="16"/>
                <w:szCs w:val="16"/>
                <w:color w:val="auto"/>
              </w:rPr>
              <w:t>Total AMC Networks stockholders' equity</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925,351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851,088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51,584</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976,978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902,672</w:t>
            </w:r>
          </w:p>
        </w:tc>
        <w:tc>
          <w:tcPr>
            <w:tcW w:w="0" w:type="dxa"/>
            <w:vAlign w:val="bottom"/>
          </w:tcPr>
          <w:p>
            <w:pPr>
              <w:spacing w:after="0"/>
              <w:rPr>
                <w:sz w:val="1"/>
                <w:szCs w:val="1"/>
                <w:color w:val="auto"/>
              </w:rPr>
            </w:pPr>
          </w:p>
        </w:tc>
      </w:tr>
      <w:tr>
        <w:trPr>
          <w:trHeight w:val="23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5,749,734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5,748,946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r>
      <w:tr>
        <w:trPr>
          <w:trHeight w:val="209"/>
        </w:trPr>
        <w:tc>
          <w:tcPr>
            <w:tcW w:w="8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280,572</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230,653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191,535</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r>
      <w:tr>
        <w:trPr>
          <w:trHeight w:val="229"/>
        </w:trPr>
        <w:tc>
          <w:tcPr>
            <w:tcW w:w="8280" w:type="dxa"/>
            <w:vAlign w:val="bottom"/>
          </w:tcPr>
          <w:p>
            <w:pPr>
              <w:ind w:left="360"/>
              <w:spacing w:after="0"/>
              <w:rPr>
                <w:sz w:val="20"/>
                <w:szCs w:val="20"/>
                <w:color w:val="auto"/>
              </w:rPr>
            </w:pPr>
            <w:r>
              <w:rPr>
                <w:rFonts w:ascii="Arial" w:cs="Arial" w:eastAsia="Arial" w:hAnsi="Arial"/>
                <w:sz w:val="18"/>
                <w:szCs w:val="18"/>
                <w:color w:val="auto"/>
              </w:rPr>
              <w:t>Impairment and other charges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16,055</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23"/>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537,480</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522,033</w:t>
            </w:r>
          </w:p>
        </w:tc>
      </w:tr>
      <w:tr>
        <w:trPr>
          <w:trHeight w:val="223"/>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169,708</w:t>
            </w:r>
          </w:p>
        </w:tc>
      </w:tr>
      <w:tr>
        <w:trPr>
          <w:trHeight w:val="210"/>
        </w:trPr>
        <w:tc>
          <w:tcPr>
            <w:tcW w:w="8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(34,742)</w:t>
            </w:r>
          </w:p>
        </w:tc>
      </w:tr>
      <w:tr>
        <w:trPr>
          <w:trHeight w:val="230"/>
        </w:trPr>
        <w:tc>
          <w:tcPr>
            <w:tcW w:w="82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29"/>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r>
      <w:tr>
        <w:trPr>
          <w:trHeight w:val="229"/>
        </w:trPr>
        <w:tc>
          <w:tcPr>
            <w:tcW w:w="8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r>
      <w:tr>
        <w:trPr>
          <w:trHeight w:val="223"/>
        </w:trPr>
        <w:tc>
          <w:tcPr>
            <w:tcW w:w="8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(49,068)</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152,168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120,640</w:t>
            </w:r>
          </w:p>
        </w:tc>
      </w:tr>
      <w:tr>
        <w:trPr>
          <w:trHeight w:val="230"/>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(25,915)</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94,725</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162"/>
        </w:trPr>
        <w:tc>
          <w:tcPr>
            <w:tcW w:w="8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Weighted average common shares: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41,930</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43,171</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94,725</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w:t>
            </w:r>
          </w:p>
        </w:tc>
      </w:tr>
      <w:tr>
        <w:trPr>
          <w:trHeight w:val="229"/>
        </w:trPr>
        <w:tc>
          <w:tcPr>
            <w:tcW w:w="8360" w:type="dxa"/>
            <w:vAlign w:val="bottom"/>
          </w:tcPr>
          <w:p>
            <w:pPr>
              <w:ind w:left="680"/>
              <w:spacing w:after="0"/>
              <w:rPr>
                <w:sz w:val="20"/>
                <w:szCs w:val="20"/>
                <w:color w:val="auto"/>
              </w:rPr>
            </w:pPr>
            <w:r>
              <w:rPr>
                <w:rFonts w:ascii="Arial" w:cs="Arial" w:eastAsia="Arial" w:hAnsi="Arial"/>
                <w:sz w:val="18"/>
                <w:szCs w:val="18"/>
                <w:color w:val="auto"/>
              </w:rPr>
              <w:t>Unrealized gain on interest rate swaps</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3"/>
        </w:trPr>
        <w:tc>
          <w:tcPr>
            <w:tcW w:w="8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(21,414)</w:t>
            </w:r>
          </w:p>
        </w:tc>
      </w:tr>
      <w:tr>
        <w:trPr>
          <w:trHeight w:val="229"/>
        </w:trPr>
        <w:tc>
          <w:tcPr>
            <w:tcW w:w="8360" w:type="dxa"/>
            <w:vAlign w:val="bottom"/>
          </w:tcPr>
          <w:p>
            <w:pPr>
              <w:ind w:left="6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3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loss, net of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73,168</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65,734</w:t>
            </w: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Class A</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2380" w:type="dxa"/>
            <w:vAlign w:val="bottom"/>
            <w:gridSpan w:val="8"/>
          </w:tcPr>
          <w:p>
            <w:pPr>
              <w:ind w:left="40"/>
              <w:spacing w:after="0" w:line="135" w:lineRule="exact"/>
              <w:rPr>
                <w:sz w:val="20"/>
                <w:szCs w:val="20"/>
                <w:color w:val="auto"/>
              </w:rPr>
            </w:pPr>
            <w:r>
              <w:rPr>
                <w:rFonts w:ascii="Arial" w:cs="Arial" w:eastAsia="Arial" w:hAnsi="Arial"/>
                <w:sz w:val="14"/>
                <w:szCs w:val="14"/>
                <w:b w:val="1"/>
                <w:bCs w:val="1"/>
                <w:color w:val="auto"/>
              </w:rPr>
              <w:t>Common   Paid-in   Accumulated</w:t>
            </w:r>
          </w:p>
        </w:tc>
        <w:tc>
          <w:tcPr>
            <w:tcW w:w="90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Stock</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$ 347,971</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2,098,047</w:t>
            </w:r>
          </w:p>
        </w:tc>
        <w:tc>
          <w:tcPr>
            <w:tcW w:w="8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(175,818)</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851,088</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51,584</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902,672</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104,188</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104,188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104,188</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2,439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2,439</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 to noncontrolling member</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(17,762)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(18,593)</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8,129</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(20,297)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(20,292)</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$ 335,803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2,202,235</w:t>
            </w: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(193,580)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925,351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51,627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Networks</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Common</w:t>
            </w:r>
          </w:p>
        </w:tc>
        <w:tc>
          <w:tcPr>
            <w:tcW w:w="720" w:type="dxa"/>
            <w:vAlign w:val="bottom"/>
            <w:gridSpan w:val="2"/>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$ 323,425</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1,847,451</w:t>
            </w:r>
          </w:p>
        </w:tc>
        <w:tc>
          <w:tcPr>
            <w:tcW w:w="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(134,950)</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616,805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26,296</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643,101</w:t>
            </w:r>
          </w:p>
        </w:tc>
        <w:tc>
          <w:tcPr>
            <w:tcW w:w="0" w:type="dxa"/>
            <w:vAlign w:val="bottom"/>
          </w:tcPr>
          <w:p>
            <w:pPr>
              <w:spacing w:after="0"/>
              <w:rPr>
                <w:sz w:val="1"/>
                <w:szCs w:val="1"/>
                <w:color w:val="auto"/>
              </w:rPr>
            </w:pPr>
          </w:p>
        </w:tc>
      </w:tr>
      <w:tr>
        <w:trPr>
          <w:trHeight w:val="118"/>
        </w:trPr>
        <w:tc>
          <w:tcPr>
            <w:tcW w:w="324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Net income attributable to AMC Networks’</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87,021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87,021</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redeemable noncontrolling interests</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Contribution from noncontrolling member</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2,582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2,582</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(21,557)</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9,795</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expenses</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13,446</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Arial" w:cs="Arial" w:eastAsia="Arial" w:hAnsi="Arial"/>
                <w:sz w:val="14"/>
                <w:szCs w:val="14"/>
                <w:color w:val="auto"/>
              </w:rPr>
              <w:t>Net share issuances under employee stock plans</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(32,335)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(32,328)</w:t>
            </w:r>
          </w:p>
        </w:tc>
        <w:tc>
          <w:tcPr>
            <w:tcW w:w="0" w:type="dxa"/>
            <w:vAlign w:val="bottom"/>
          </w:tcPr>
          <w:p>
            <w:pPr>
              <w:spacing w:after="0"/>
              <w:rPr>
                <w:sz w:val="1"/>
                <w:szCs w:val="1"/>
                <w:color w:val="auto"/>
              </w:rPr>
            </w:pPr>
          </w:p>
        </w:tc>
      </w:tr>
      <w:tr>
        <w:trPr>
          <w:trHeight w:val="18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$ 314,331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1,934,472</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 (1,419,882)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(156,237)</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673,452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19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Net income including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110,534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94,725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25,246</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Impairment and other charges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Share-based compensation expenses related to equity classified awards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13,446</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restructuring and other related charges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Amortization of program rights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192,852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150,987</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carriage fees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Unrealized foreign currency transaction (gain) loss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(13,758)</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r>
      <w:tr>
        <w:trPr>
          <w:trHeight w:val="229"/>
        </w:trPr>
        <w:tc>
          <w:tcPr>
            <w:tcW w:w="7920" w:type="dxa"/>
            <w:vAlign w:val="bottom"/>
          </w:tcPr>
          <w:p>
            <w:pPr>
              <w:ind w:left="66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22,074</w:t>
            </w:r>
          </w:p>
        </w:tc>
      </w:tr>
      <w:tr>
        <w:trPr>
          <w:trHeight w:val="216"/>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Bad debt expense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4,646</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loss on investments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36,996</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29,383</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Program rights and obligations, net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(237,951)</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11,138</w:t>
            </w:r>
          </w:p>
        </w:tc>
      </w:tr>
      <w:tr>
        <w:trPr>
          <w:trHeight w:val="213"/>
        </w:trPr>
        <w:tc>
          <w:tcPr>
            <w:tcW w:w="792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5,671</w:t>
            </w:r>
          </w:p>
        </w:tc>
      </w:tr>
      <w:tr>
        <w:trPr>
          <w:trHeight w:val="219"/>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carriage fees,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(84,918)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(67,664)</w:t>
            </w:r>
          </w:p>
        </w:tc>
      </w:tr>
      <w:tr>
        <w:trPr>
          <w:trHeight w:val="213"/>
        </w:trPr>
        <w:tc>
          <w:tcPr>
            <w:tcW w:w="79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107,563</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(8,537)</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Return of capital from investees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investments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(25,694)</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Cash paid on distribution of business</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(7,052)</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 received on loan to investee</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95,370</w:t>
            </w:r>
          </w:p>
        </w:tc>
      </w:tr>
      <w:tr>
        <w:trPr>
          <w:trHeight w:val="213"/>
        </w:trPr>
        <w:tc>
          <w:tcPr>
            <w:tcW w:w="7920" w:type="dxa"/>
            <w:vAlign w:val="bottom"/>
            <w:tcBorders>
              <w:top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55,962</w:t>
            </w:r>
          </w:p>
        </w:tc>
      </w:tr>
      <w:tr>
        <w:trPr>
          <w:trHeight w:val="193"/>
        </w:trPr>
        <w:tc>
          <w:tcPr>
            <w:tcW w:w="7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the issuance of long-term debt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984,500</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(1,015,000)</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Deemed repurchases of restricted stock units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(32,328)</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9,795</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on finance lease obligations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19"/>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w:t>
            </w:r>
          </w:p>
        </w:tc>
      </w:tr>
      <w:tr>
        <w:trPr>
          <w:trHeight w:val="207"/>
        </w:trPr>
        <w:tc>
          <w:tcPr>
            <w:tcW w:w="7920" w:type="dxa"/>
            <w:vAlign w:val="bottom"/>
            <w:tcBorders>
              <w:bottom w:val="single" w:sz="8" w:color="CCEEFF"/>
            </w:tcBorders>
          </w:tcPr>
          <w:p>
            <w:pPr>
              <w:ind w:left="110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(53,890)</w:t>
            </w: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109,635</w:t>
            </w:r>
          </w:p>
        </w:tc>
      </w:tr>
      <w:tr>
        <w:trPr>
          <w:trHeight w:val="206"/>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892,221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888,526</w:t>
            </w: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821,626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993,123</w:t>
            </w:r>
          </w:p>
        </w:tc>
      </w:tr>
      <w:tr>
        <w:trPr>
          <w:trHeight w:val="21"/>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93" w:lineRule="auto"/>
        <w:tabs>
          <w:tab w:leader="none" w:pos="65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Domestic Operations: </w:t>
      </w:r>
      <w:r>
        <w:rPr>
          <w:rFonts w:ascii="Arial" w:cs="Arial" w:eastAsia="Arial" w:hAnsi="Arial"/>
          <w:sz w:val="16"/>
          <w:szCs w:val="16"/>
          <w:color w:val="auto"/>
        </w:rPr>
        <w:t>Includes our programming services and AMC Broadcasting &amp; Technology. Our programming services consist of our five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programming networks, our streaming services, our AMC Studios operation and IFC Films. Our national programming networks are AMC, WE tv, BBC AMERICA, IFC, and SundanceTV. Our streaming services consist of our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56" w:lineRule="exact"/>
        <w:rPr>
          <w:rFonts w:ascii="Arial" w:cs="Arial" w:eastAsia="Arial" w:hAnsi="Arial"/>
          <w:sz w:val="16"/>
          <w:szCs w:val="16"/>
          <w:i w:val="1"/>
          <w:iCs w:val="1"/>
          <w:color w:val="auto"/>
        </w:rPr>
      </w:pPr>
    </w:p>
    <w:p>
      <w:pPr>
        <w:ind w:left="660" w:hanging="328"/>
        <w:spacing w:after="0" w:line="277" w:lineRule="auto"/>
        <w:tabs>
          <w:tab w:leader="none" w:pos="655"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2021 contained in the Company's Annual Report on Form 10-K ("2021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impact of governmental regulations that have been, and may continue to be, imposed in response to the pandemic, the effectiveness of actions taken to contain or mitigate the outbreak,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were made to the prior period amounts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2022,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gridSpan w:val="2"/>
          </w:tcPr>
          <w:p>
            <w:pPr>
              <w:ind w:left="4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2022</w:t>
            </w:r>
          </w:p>
        </w:tc>
        <w:tc>
          <w:tcPr>
            <w:tcW w:w="560" w:type="dxa"/>
            <w:vAlign w:val="bottom"/>
          </w:tcPr>
          <w:p>
            <w:pPr>
              <w:spacing w:after="0"/>
              <w:rPr>
                <w:sz w:val="18"/>
                <w:szCs w:val="18"/>
                <w:color w:val="auto"/>
              </w:rPr>
            </w:pPr>
          </w:p>
        </w:tc>
        <w:tc>
          <w:tcPr>
            <w:tcW w:w="152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December 31, 2021</w:t>
            </w:r>
          </w:p>
        </w:tc>
      </w:tr>
      <w:tr>
        <w:trPr>
          <w:trHeight w:val="226"/>
        </w:trPr>
        <w:tc>
          <w:tcPr>
            <w:tcW w:w="69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Balances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640"/>
              <w:spacing w:after="0"/>
              <w:rPr>
                <w:sz w:val="20"/>
                <w:szCs w:val="20"/>
                <w:color w:val="auto"/>
              </w:rPr>
            </w:pPr>
            <w:r>
              <w:rPr>
                <w:rFonts w:ascii="Arial" w:cs="Arial" w:eastAsia="Arial" w:hAnsi="Arial"/>
                <w:sz w:val="18"/>
                <w:szCs w:val="18"/>
                <w:color w:val="auto"/>
              </w:rPr>
              <w:t>Accounts receivable (including long-term, included in Other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1,031,446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1,106,225</w:t>
            </w:r>
          </w:p>
        </w:tc>
      </w:tr>
      <w:tr>
        <w:trPr>
          <w:trHeight w:val="229"/>
        </w:trPr>
        <w:tc>
          <w:tcPr>
            <w:tcW w:w="7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Prepaid expenses and other current assets)</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69,351</w:t>
            </w:r>
          </w:p>
        </w:tc>
      </w:tr>
      <w:tr>
        <w:trPr>
          <w:trHeight w:val="230"/>
        </w:trPr>
        <w:tc>
          <w:tcPr>
            <w:tcW w:w="7080" w:type="dxa"/>
            <w:vAlign w:val="bottom"/>
            <w:gridSpan w:val="2"/>
          </w:tcPr>
          <w:p>
            <w:pPr>
              <w:ind w:left="660"/>
              <w:spacing w:after="0"/>
              <w:rPr>
                <w:sz w:val="20"/>
                <w:szCs w:val="20"/>
                <w:color w:val="auto"/>
              </w:rPr>
            </w:pPr>
            <w:r>
              <w:rPr>
                <w:rFonts w:ascii="Arial" w:cs="Arial" w:eastAsia="Arial" w:hAnsi="Arial"/>
                <w:sz w:val="18"/>
                <w:szCs w:val="18"/>
                <w:color w:val="auto"/>
              </w:rPr>
              <w:t>Contract assets, long-term (included in Other assets)</w:t>
            </w: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29,323</w:t>
            </w:r>
          </w:p>
        </w:tc>
      </w:tr>
      <w:tr>
        <w:trPr>
          <w:trHeight w:val="229"/>
        </w:trPr>
        <w:tc>
          <w:tcPr>
            <w:tcW w:w="7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liabilities (Deferred revenue)</w:t>
            </w: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167,071</w:t>
            </w:r>
          </w:p>
        </w:tc>
      </w:tr>
      <w:tr>
        <w:trPr>
          <w:trHeight w:val="230"/>
        </w:trPr>
        <w:tc>
          <w:tcPr>
            <w:tcW w:w="7080" w:type="dxa"/>
            <w:vAlign w:val="bottom"/>
            <w:gridSpan w:val="2"/>
          </w:tcPr>
          <w:p>
            <w:pPr>
              <w:ind w:left="660"/>
              <w:spacing w:after="0"/>
              <w:rPr>
                <w:sz w:val="20"/>
                <w:szCs w:val="20"/>
                <w:color w:val="auto"/>
              </w:rPr>
            </w:pPr>
            <w:r>
              <w:rPr>
                <w:rFonts w:ascii="Arial" w:cs="Arial" w:eastAsia="Arial" w:hAnsi="Arial"/>
                <w:sz w:val="18"/>
                <w:szCs w:val="18"/>
                <w:color w:val="auto"/>
              </w:rPr>
              <w:t>Contract liabilities (Deferred revenue included in Other liabilities)</w:t>
            </w:r>
          </w:p>
        </w:tc>
        <w:tc>
          <w:tcPr>
            <w:tcW w:w="5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31,832</w:t>
            </w:r>
          </w:p>
        </w:tc>
      </w:tr>
    </w:tbl>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for the three months ended March 31, 2022 and 2021 relating to the contract liability at December 31, 2021 and 2020 was $29.4 million and $7.7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between basic and diluted weighted average common shares outstanding:</w:t>
      </w:r>
    </w:p>
    <w:p>
      <w:pPr>
        <w:spacing w:after="0" w:line="91" w:lineRule="exact"/>
        <w:rPr>
          <w:sz w:val="20"/>
          <w:szCs w:val="20"/>
          <w:color w:val="auto"/>
        </w:rPr>
      </w:pPr>
    </w:p>
    <w:p>
      <w:pPr>
        <w:ind w:left="900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27940</wp:posOffset>
            </wp:positionV>
            <wp:extent cx="18516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gridSpan w:val="2"/>
          </w:tcPr>
          <w:p>
            <w:pPr>
              <w:ind w:left="68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jc w:val="right"/>
              <w:ind w:right="11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6"/>
                <w:szCs w:val="16"/>
                <w:b w:val="1"/>
                <w:bCs w:val="1"/>
                <w:color w:val="auto"/>
              </w:rPr>
              <w:t>2021</w:t>
            </w:r>
          </w:p>
        </w:tc>
      </w:tr>
      <w:tr>
        <w:trPr>
          <w:trHeight w:val="226"/>
        </w:trPr>
        <w:tc>
          <w:tcPr>
            <w:tcW w:w="82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41,930</w:t>
            </w:r>
          </w:p>
        </w:tc>
      </w:tr>
      <w:tr>
        <w:trPr>
          <w:trHeight w:val="230"/>
        </w:trPr>
        <w:tc>
          <w:tcPr>
            <w:tcW w:w="8320" w:type="dxa"/>
            <w:vAlign w:val="bottom"/>
            <w:gridSpan w:val="2"/>
          </w:tcPr>
          <w:p>
            <w:pPr>
              <w:ind w:left="680"/>
              <w:spacing w:after="0"/>
              <w:rPr>
                <w:sz w:val="20"/>
                <w:szCs w:val="20"/>
                <w:color w:val="auto"/>
              </w:rPr>
            </w:pPr>
            <w:r>
              <w:rPr>
                <w:rFonts w:ascii="Arial" w:cs="Arial" w:eastAsia="Arial" w:hAnsi="Arial"/>
                <w:sz w:val="18"/>
                <w:szCs w:val="18"/>
                <w:color w:val="auto"/>
              </w:rPr>
              <w:t>Effect of dilution:</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Stock options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32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color w:val="auto"/>
              </w:rPr>
              <w:t>Restricted stock units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r>
      <w:tr>
        <w:trPr>
          <w:trHeight w:val="248"/>
        </w:trPr>
        <w:tc>
          <w:tcPr>
            <w:tcW w:w="83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Diluted weighted average common shares outstanding</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As of March 31, 2022 and March 31, 2021, 0.2 million and 0.4 million, respectively, of restricted stock units have been excluded from diluted weighted average common shares outstanding, as their impact would have been anti-dilutive.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March 31, 2022 and 2021, the Company did not repurchase any shares of its Class A Common Stock. As of March 31, 2022, the Company had $135.3 million of authorization remaining for repurchase under the Stock Repurchase Program.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and Other Charges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and other charges for the three months ended March 31, 2022.</w:t>
      </w:r>
    </w:p>
    <w:p>
      <w:pPr>
        <w:spacing w:after="0" w:line="90" w:lineRule="exact"/>
        <w:rPr>
          <w:sz w:val="20"/>
          <w:szCs w:val="20"/>
          <w:color w:val="auto"/>
        </w:rPr>
      </w:pPr>
    </w:p>
    <w:p>
      <w:pPr>
        <w:jc w:val="both"/>
        <w:ind w:firstLine="445"/>
        <w:spacing w:after="0" w:line="227" w:lineRule="auto"/>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the Company's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Other Related Charges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restructuring and other related charges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$8.6 million for the three months ended March 31, 2021, consisted of $4.1 million of severance costs associated with the restructuring plan announced in November 2020 and $4.5 million at AMCNI related to the termination of distribution in certain international territories.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w w:val="97"/>
              </w:rPr>
              <w:t>Three Months Ended</w:t>
            </w:r>
          </w:p>
        </w:tc>
      </w:tr>
      <w:tr>
        <w:trPr>
          <w:trHeight w:val="213"/>
        </w:trPr>
        <w:tc>
          <w:tcPr>
            <w:tcW w:w="9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March 31,</w:t>
            </w:r>
          </w:p>
        </w:tc>
      </w:tr>
      <w:tr>
        <w:trPr>
          <w:trHeight w:val="236"/>
        </w:trPr>
        <w:tc>
          <w:tcPr>
            <w:tcW w:w="9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r>
      <w:tr>
        <w:trPr>
          <w:trHeight w:val="22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Operations</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4,490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 Inter-segment eliminations</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2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8,625</w:t>
            </w:r>
          </w:p>
        </w:tc>
      </w:tr>
      <w:tr>
        <w:trPr>
          <w:trHeight w:val="20"/>
        </w:trPr>
        <w:tc>
          <w:tcPr>
            <w:tcW w:w="9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Note 6. Program Rights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60" w:type="dxa"/>
            <w:vAlign w:val="bottom"/>
            <w:gridSpan w:val="7"/>
          </w:tcPr>
          <w:p>
            <w:pPr>
              <w:ind w:left="440"/>
              <w:spacing w:after="0"/>
              <w:rPr>
                <w:sz w:val="20"/>
                <w:szCs w:val="20"/>
                <w:color w:val="auto"/>
              </w:rPr>
            </w:pPr>
            <w:r>
              <w:rPr>
                <w:rFonts w:ascii="Arial" w:cs="Arial" w:eastAsia="Arial" w:hAnsi="Arial"/>
                <w:sz w:val="18"/>
                <w:szCs w:val="18"/>
                <w:color w:val="auto"/>
                <w:w w:val="90"/>
              </w:rPr>
              <w:t>Total capitalized produced and licensed content by predominant monetization strategy is as follows: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 2022</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260" w:type="dxa"/>
            <w:vAlign w:val="bottom"/>
          </w:tcPr>
          <w:p>
            <w:pPr>
              <w:spacing w:after="0"/>
              <w:rPr>
                <w:sz w:val="14"/>
                <w:szCs w:val="14"/>
                <w:color w:val="auto"/>
              </w:rPr>
            </w:pPr>
          </w:p>
        </w:tc>
        <w:tc>
          <w:tcPr>
            <w:tcW w:w="164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248,085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165,975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414,060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449,897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863,957</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62,367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189,300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251,667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911,408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1,006,172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1,870,129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1,855,025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1,870,129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2021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Arial" w:cs="Arial" w:eastAsia="Arial" w:hAnsi="Arial"/>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Predominantly</w:t>
            </w:r>
          </w:p>
        </w:tc>
        <w:tc>
          <w:tcPr>
            <w:tcW w:w="420" w:type="dxa"/>
            <w:vAlign w:val="bottom"/>
          </w:tcPr>
          <w:p>
            <w:pPr>
              <w:spacing w:after="0"/>
              <w:rPr>
                <w:sz w:val="14"/>
                <w:szCs w:val="14"/>
                <w:color w:val="auto"/>
              </w:rPr>
            </w:pPr>
          </w:p>
        </w:tc>
        <w:tc>
          <w:tcPr>
            <w:tcW w:w="1380" w:type="dxa"/>
            <w:vAlign w:val="bottom"/>
            <w:vMerge w:val="restart"/>
          </w:tcPr>
          <w:p>
            <w:pPr>
              <w:jc w:val="right"/>
              <w:ind w:right="6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Monetized as a Group</w:t>
            </w: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Completed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185,228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127,470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312,698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In-production and in-development</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owned original program rights,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739,506</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Arial" w:cs="Arial" w:eastAsia="Arial" w:hAnsi="Arial"/>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Arial" w:cs="Arial" w:eastAsia="Arial" w:hAnsi="Arial"/>
                <w:sz w:val="18"/>
                <w:szCs w:val="18"/>
                <w:color w:val="auto"/>
              </w:rPr>
              <w:t>Licensed originals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209,986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Advances and content versioning costs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164,474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Arial" w:cs="Arial" w:eastAsia="Arial" w:hAnsi="Arial"/>
                <w:sz w:val="18"/>
                <w:szCs w:val="18"/>
                <w:color w:val="auto"/>
              </w:rPr>
              <w:t>Total licensed program rights,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1,268,591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1,731,838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1,741,906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Amortization of owned and licensed program rights, included in Technical and operating expenses on the condensed consolidated statements of income,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w w:val="93"/>
              </w:rPr>
              <w:t>Three Months Ended March 31, 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3"/>
              </w:rPr>
              <w:t>Predominantly</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80" w:type="dxa"/>
            <w:vAlign w:val="bottom"/>
          </w:tcPr>
          <w:p>
            <w:pPr>
              <w:spacing w:after="0"/>
              <w:rPr>
                <w:sz w:val="14"/>
                <w:szCs w:val="14"/>
                <w:color w:val="auto"/>
              </w:rPr>
            </w:pPr>
          </w:p>
        </w:tc>
        <w:tc>
          <w:tcPr>
            <w:tcW w:w="84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09"/>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49,840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16,935</w:t>
            </w:r>
          </w:p>
        </w:tc>
        <w:tc>
          <w:tcPr>
            <w:tcW w:w="16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66,775</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118,469</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126,077</w:t>
            </w:r>
          </w:p>
        </w:tc>
        <w:tc>
          <w:tcPr>
            <w:tcW w:w="0" w:type="dxa"/>
            <w:vAlign w:val="bottom"/>
          </w:tcPr>
          <w:p>
            <w:pPr>
              <w:spacing w:after="0"/>
              <w:rPr>
                <w:sz w:val="1"/>
                <w:szCs w:val="1"/>
                <w:color w:val="auto"/>
              </w:rPr>
            </w:pPr>
          </w:p>
        </w:tc>
      </w:tr>
      <w:tr>
        <w:trPr>
          <w:trHeight w:val="20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57,448</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135,404</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192,852</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3"/>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w w:val="93"/>
              </w:rPr>
              <w:t>Three Months Ended March 31, 2021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Predominantly</w:t>
            </w:r>
          </w:p>
        </w:tc>
        <w:tc>
          <w:tcPr>
            <w:tcW w:w="12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3"/>
              </w:rPr>
              <w:t>Predominantly</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Monetized</w:t>
            </w:r>
          </w:p>
        </w:tc>
        <w:tc>
          <w:tcPr>
            <w:tcW w:w="120" w:type="dxa"/>
            <w:vAlign w:val="bottom"/>
          </w:tcPr>
          <w:p>
            <w:pPr>
              <w:spacing w:after="0"/>
              <w:rPr>
                <w:sz w:val="14"/>
                <w:szCs w:val="14"/>
                <w:color w:val="auto"/>
              </w:rPr>
            </w:pPr>
          </w:p>
        </w:tc>
        <w:tc>
          <w:tcPr>
            <w:tcW w:w="136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0"/>
              </w:rPr>
              <w:t>Monetized as a</w:t>
            </w:r>
          </w:p>
        </w:tc>
        <w:tc>
          <w:tcPr>
            <w:tcW w:w="480" w:type="dxa"/>
            <w:vAlign w:val="bottom"/>
          </w:tcPr>
          <w:p>
            <w:pPr>
              <w:spacing w:after="0"/>
              <w:rPr>
                <w:sz w:val="14"/>
                <w:szCs w:val="14"/>
                <w:color w:val="auto"/>
              </w:rPr>
            </w:pPr>
          </w:p>
        </w:tc>
        <w:tc>
          <w:tcPr>
            <w:tcW w:w="840" w:type="dxa"/>
            <w:vAlign w:val="bottom"/>
            <w:vMerge w:val="restart"/>
          </w:tcPr>
          <w:p>
            <w:pPr>
              <w:jc w:val="right"/>
              <w:ind w:right="41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09"/>
        </w:trPr>
        <w:tc>
          <w:tcPr>
            <w:tcW w:w="6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Individually</w:t>
            </w:r>
          </w:p>
        </w:tc>
        <w:tc>
          <w:tcPr>
            <w:tcW w:w="1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color w:val="auto"/>
                <w:w w:val="94"/>
              </w:rPr>
              <w:t>Group</w:t>
            </w: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7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Owned original program rights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33,906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4,566</w:t>
            </w:r>
          </w:p>
        </w:tc>
        <w:tc>
          <w:tcPr>
            <w:tcW w:w="16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38,472</w:t>
            </w:r>
          </w:p>
        </w:tc>
        <w:tc>
          <w:tcPr>
            <w:tcW w:w="0" w:type="dxa"/>
            <w:vAlign w:val="bottom"/>
          </w:tcPr>
          <w:p>
            <w:pPr>
              <w:spacing w:after="0"/>
              <w:rPr>
                <w:sz w:val="1"/>
                <w:szCs w:val="1"/>
                <w:color w:val="auto"/>
              </w:rPr>
            </w:pP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Licensed program rights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25,020</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87,495</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112,515</w:t>
            </w:r>
          </w:p>
        </w:tc>
        <w:tc>
          <w:tcPr>
            <w:tcW w:w="0" w:type="dxa"/>
            <w:vAlign w:val="bottom"/>
          </w:tcPr>
          <w:p>
            <w:pPr>
              <w:spacing w:after="0"/>
              <w:rPr>
                <w:sz w:val="1"/>
                <w:szCs w:val="1"/>
                <w:color w:val="auto"/>
              </w:rPr>
            </w:pPr>
          </w:p>
        </w:tc>
      </w:tr>
      <w:tr>
        <w:trPr>
          <w:trHeight w:val="207"/>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Program rights amortization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92,061</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150,987</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expenses in the consolidated statements of income. There were no significant program rights write-offs included in technical and operating expense for the three months ended March 31, 2022 or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in and loans to non-consolidated entities which are included in Other assets in the condensed consolidated balance sheet. Equity method investments were $87.1 million at March 31, 2022 and $93.7 million at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miscellaneous, net in the condensed consolidated statement of income. Investments in marketable equity securities were $10.1 million at March 31, 2022 and $5.8 million at December 31, 2021. There were $4.3 million unrealized gains and $5.4 million realized losses on marketable equity securities for the three months ended March 31, 2022 and 2021, respectively, included in miscellaneous, net in the condensed consolidated statement of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 marketable equity securities. Investments in non-marketable equity securities were $37.7 million at March 31, 2022 and December 31, 2021. The changes in value, if any, are recorded in miscellaneous, net in the condensed consolidated statement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2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Domestic Operations</w:t>
            </w:r>
          </w:p>
        </w:tc>
        <w:tc>
          <w:tcPr>
            <w:tcW w:w="620" w:type="dxa"/>
            <w:vAlign w:val="bottom"/>
          </w:tcPr>
          <w:p>
            <w:pPr>
              <w:spacing w:after="0"/>
              <w:rPr>
                <w:sz w:val="16"/>
                <w:szCs w:val="16"/>
                <w:color w:val="auto"/>
              </w:rPr>
            </w:pPr>
          </w:p>
        </w:tc>
        <w:tc>
          <w:tcPr>
            <w:tcW w:w="16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International</w:t>
            </w:r>
          </w:p>
        </w:tc>
        <w:tc>
          <w:tcPr>
            <w:tcW w:w="820" w:type="dxa"/>
            <w:vAlign w:val="bottom"/>
          </w:tcPr>
          <w:p>
            <w:pPr>
              <w:spacing w:after="0"/>
              <w:rPr>
                <w:sz w:val="16"/>
                <w:szCs w:val="16"/>
                <w:color w:val="auto"/>
              </w:rPr>
            </w:pPr>
          </w:p>
        </w:tc>
        <w:tc>
          <w:tcPr>
            <w:tcW w:w="1280" w:type="dxa"/>
            <w:vAlign w:val="bottom"/>
            <w:vMerge w:val="restart"/>
          </w:tcPr>
          <w:p>
            <w:pPr>
              <w:jc w:val="right"/>
              <w:ind w:right="5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ind w:left="48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3"/>
            <w:vMerge w:val="continue"/>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and Other</w:t>
            </w:r>
          </w:p>
        </w:tc>
        <w:tc>
          <w:tcPr>
            <w:tcW w:w="8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December 31, 2021</w:t>
            </w:r>
          </w:p>
        </w:tc>
        <w:tc>
          <w:tcPr>
            <w:tcW w:w="100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353,470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355,874</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709,344</w:t>
            </w:r>
          </w:p>
        </w:tc>
        <w:tc>
          <w:tcPr>
            <w:tcW w:w="0" w:type="dxa"/>
            <w:vAlign w:val="bottom"/>
          </w:tcPr>
          <w:p>
            <w:pPr>
              <w:spacing w:after="0"/>
              <w:rPr>
                <w:sz w:val="1"/>
                <w:szCs w:val="1"/>
                <w:color w:val="auto"/>
              </w:rPr>
            </w:pPr>
          </w:p>
        </w:tc>
      </w:tr>
      <w:tr>
        <w:trPr>
          <w:trHeight w:val="229"/>
        </w:trPr>
        <w:tc>
          <w:tcPr>
            <w:tcW w:w="4580" w:type="dxa"/>
            <w:vAlign w:val="bottom"/>
          </w:tcPr>
          <w:p>
            <w:pPr>
              <w:ind w:left="480"/>
              <w:spacing w:after="0"/>
              <w:rPr>
                <w:sz w:val="20"/>
                <w:szCs w:val="20"/>
                <w:color w:val="auto"/>
              </w:rPr>
            </w:pPr>
            <w:r>
              <w:rPr>
                <w:rFonts w:ascii="Arial" w:cs="Arial" w:eastAsia="Arial" w:hAnsi="Arial"/>
                <w:sz w:val="18"/>
                <w:szCs w:val="18"/>
                <w:color w:val="auto"/>
              </w:rPr>
              <w:t>Purchase accounting adjustments</w:t>
            </w:r>
          </w:p>
        </w:tc>
        <w:tc>
          <w:tcPr>
            <w:tcW w:w="10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"second component" goodwill</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9"/>
        </w:trPr>
        <w:tc>
          <w:tcPr>
            <w:tcW w:w="4580" w:type="dxa"/>
            <w:vAlign w:val="bottom"/>
          </w:tcPr>
          <w:p>
            <w:pPr>
              <w:ind w:left="48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(6,361)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March 31, 2022</w:t>
            </w:r>
          </w:p>
        </w:tc>
        <w:tc>
          <w:tcPr>
            <w:tcW w:w="10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701,239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2022 and December 31, 2021, accumulated impairment charges in the International and Other segment totaled $123.1 million.</w:t>
      </w:r>
    </w:p>
    <w:p>
      <w:pPr>
        <w:spacing w:after="0" w:line="12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purchase accounting adjustments of $1.4 million to the carrying amount of goodwill in Domestic Operations relates to the acquisition of Sentai Holdings, a global supplier of anime content, including its anime-focused HIDIVE subscription streaming service, for which the allocation of goodwill is preliminary and is based on current estimates and currently available information, and is subject to revision based on final allocation of the purchase price to the identifiable assets and liabilities acquired.</w:t>
      </w:r>
    </w:p>
    <w:p>
      <w:pPr>
        <w:spacing w:after="0" w:line="7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$0.3 million in the carrying amount of goodwill for Domestic Operations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March 31, 2022</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5"/>
              </w:rPr>
              <w:t>Estimated Useful</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394"/>
              <w:spacing w:after="0"/>
              <w:rPr>
                <w:sz w:val="20"/>
                <w:szCs w:val="20"/>
                <w:color w:val="auto"/>
              </w:rPr>
            </w:pPr>
            <w:r>
              <w:rPr>
                <w:rFonts w:ascii="Arial" w:cs="Arial" w:eastAsia="Arial" w:hAnsi="Arial"/>
                <w:sz w:val="16"/>
                <w:szCs w:val="16"/>
                <w:b w:val="1"/>
                <w:bCs w:val="1"/>
                <w:color w:val="auto"/>
              </w:rPr>
              <w:t>Lives</w:t>
            </w: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645,838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(359,436)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286,402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to 25 years</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67,409</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to 20 years</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(434,174)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388,706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5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December 31, 2021</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80" w:type="dxa"/>
            <w:vAlign w:val="bottom"/>
          </w:tcPr>
          <w:p>
            <w:pPr>
              <w:spacing w:after="0"/>
              <w:rPr>
                <w:sz w:val="16"/>
                <w:szCs w:val="16"/>
                <w:color w:val="auto"/>
              </w:rPr>
            </w:pPr>
          </w:p>
        </w:tc>
        <w:tc>
          <w:tcPr>
            <w:tcW w:w="114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Amortization</w:t>
            </w:r>
          </w:p>
        </w:tc>
        <w:tc>
          <w:tcPr>
            <w:tcW w:w="3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649,543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(354,673)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294,870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 names and other amortizable intangible assets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379,534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(427,442)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399,434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three months ended March 31, 2022 and 2021 was $10.6 million and $9.5 million, respectively. Estimated aggregate amortization expense for intangible assets subject to amortization for each of the following five years is: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42,201</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42,118</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42,034</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40,290</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9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60" w:right="228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7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2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128,388</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133,988</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7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tcPr>
          <w:p>
            <w:pPr>
              <w:ind w:left="460"/>
              <w:spacing w:after="0"/>
              <w:rPr>
                <w:sz w:val="20"/>
                <w:szCs w:val="20"/>
                <w:color w:val="auto"/>
              </w:rPr>
            </w:pPr>
            <w:r>
              <w:rPr>
                <w:rFonts w:ascii="Arial" w:cs="Arial" w:eastAsia="Arial" w:hAnsi="Arial"/>
                <w:sz w:val="18"/>
                <w:szCs w:val="18"/>
                <w:color w:val="auto"/>
              </w:rPr>
              <w:t>The Company's long-term debt consists of the following:</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4"/>
                <w:szCs w:val="24"/>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24"/>
                <w:szCs w:val="24"/>
                <w:color w:val="auto"/>
              </w:rPr>
            </w:pPr>
          </w:p>
        </w:tc>
        <w:tc>
          <w:tcPr>
            <w:tcW w:w="170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226"/>
        </w:trPr>
        <w:tc>
          <w:tcPr>
            <w:tcW w:w="7320" w:type="dxa"/>
            <w:vAlign w:val="bottom"/>
            <w:tcBorders>
              <w:top w:val="single" w:sz="8" w:color="auto"/>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666,563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675,000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5.00% Notes due April 2024</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4.75% Notes due August 2025</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4.25% Notes due February 2029</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2,831,929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2,838,470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2,804,720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140" w:right="520" w:hanging="484"/>
        <w:spacing w:after="0" w:line="277" w:lineRule="auto"/>
        <w:tabs>
          <w:tab w:leader="none" w:pos="11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2022. Total undrawn revolver commitments are available to be drawn for general corporate purposes of the Company.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March 2022, the Company repaid $8.4 million of the principal amount of the Term Loan A Facility in accordance with the terms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condensed consolidated balance sheets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gridSpan w:val="2"/>
          </w:tcPr>
          <w:p>
            <w:pPr>
              <w:ind w:left="740"/>
              <w:spacing w:after="0"/>
              <w:rPr>
                <w:sz w:val="20"/>
                <w:szCs w:val="20"/>
                <w:color w:val="auto"/>
              </w:rPr>
            </w:pPr>
            <w:r>
              <w:rPr>
                <w:rFonts w:ascii="Arial" w:cs="Arial" w:eastAsia="Arial" w:hAnsi="Arial"/>
                <w:sz w:val="16"/>
                <w:szCs w:val="16"/>
                <w:b w:val="1"/>
                <w:bCs w:val="1"/>
                <w:color w:val="auto"/>
              </w:rPr>
              <w:t>Balance Sheet Location</w:t>
            </w:r>
          </w:p>
        </w:tc>
        <w:tc>
          <w:tcPr>
            <w:tcW w:w="32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8"/>
                <w:szCs w:val="18"/>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2021</w:t>
            </w:r>
          </w:p>
        </w:tc>
      </w:tr>
      <w:tr>
        <w:trPr>
          <w:trHeight w:val="185"/>
        </w:trPr>
        <w:tc>
          <w:tcPr>
            <w:tcW w:w="20" w:type="dxa"/>
            <w:vAlign w:val="bottom"/>
            <w:tcBorders>
              <w:top w:val="single" w:sz="8" w:color="auto"/>
            </w:tcBorders>
            <w:shd w:val="clear" w:color="auto" w:fill="CCEEFF"/>
          </w:tcPr>
          <w:p>
            <w:pPr>
              <w:spacing w:after="0"/>
              <w:rPr>
                <w:sz w:val="16"/>
                <w:szCs w:val="16"/>
                <w:color w:val="auto"/>
              </w:rPr>
            </w:pPr>
          </w:p>
        </w:tc>
        <w:tc>
          <w:tcPr>
            <w:tcW w:w="2340" w:type="dxa"/>
            <w:vAlign w:val="bottom"/>
            <w:tcBorders>
              <w:top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rPr>
              <w:t>Assets</w:t>
            </w:r>
          </w:p>
        </w:tc>
        <w:tc>
          <w:tcPr>
            <w:tcW w:w="4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4580" w:type="dxa"/>
            <w:vAlign w:val="bottom"/>
            <w:gridSpan w:val="2"/>
          </w:tcPr>
          <w:p>
            <w:pPr>
              <w:ind w:left="7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119,774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125,866</w:t>
            </w: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r>
      <w:tr>
        <w:trPr>
          <w:trHeight w:val="223"/>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Total lease assets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1560" w:type="dxa"/>
            <w:vAlign w:val="bottom"/>
            <w:tcBorders>
              <w:bottom w:val="single" w:sz="8" w:color="CCEEFF"/>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Current:</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Current portion of 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32,929</w:t>
            </w:r>
          </w:p>
        </w:tc>
      </w:tr>
      <w:tr>
        <w:trPr>
          <w:trHeight w:val="229"/>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Current portion of 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36,596</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20"/>
              <w:spacing w:after="0"/>
              <w:rPr>
                <w:sz w:val="20"/>
                <w:szCs w:val="20"/>
                <w:color w:val="auto"/>
              </w:rPr>
            </w:pPr>
            <w:r>
              <w:rPr>
                <w:rFonts w:ascii="Arial" w:cs="Arial" w:eastAsia="Arial" w:hAnsi="Arial"/>
                <w:sz w:val="18"/>
                <w:szCs w:val="18"/>
                <w:color w:val="auto"/>
              </w:rPr>
              <w:t>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Lease obligations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128,319</w:t>
            </w:r>
          </w:p>
        </w:tc>
      </w:tr>
      <w:tr>
        <w:trPr>
          <w:trHeight w:val="230"/>
        </w:trPr>
        <w:tc>
          <w:tcPr>
            <w:tcW w:w="2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Finance</w:t>
            </w:r>
          </w:p>
        </w:tc>
        <w:tc>
          <w:tcPr>
            <w:tcW w:w="458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Lease obligations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151,839</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4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2022 and December 31,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10"/>
        </w:trPr>
        <w:tc>
          <w:tcPr>
            <w:tcW w:w="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320" w:type="dxa"/>
            <w:vAlign w:val="bottom"/>
            <w:tcBorders>
              <w:top w:val="single" w:sz="8" w:color="auto"/>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95"/>
              </w:rPr>
              <w:t>At March 31, 2022: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r>
      <w:tr>
        <w:trPr>
          <w:trHeight w:val="230"/>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Liabilities</w:t>
            </w:r>
          </w:p>
        </w:tc>
        <w:tc>
          <w:tcPr>
            <w:tcW w:w="4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5,927</w:t>
            </w: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92"/>
              </w:rPr>
              <w:t>At December 31, 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185"/>
        </w:trPr>
        <w:tc>
          <w:tcPr>
            <w:tcW w:w="20" w:type="dxa"/>
            <w:vAlign w:val="bottom"/>
            <w:shd w:val="clear" w:color="auto" w:fill="CCEEFF"/>
          </w:tcPr>
          <w:p>
            <w:pPr>
              <w:spacing w:after="0"/>
              <w:rPr>
                <w:sz w:val="16"/>
                <w:szCs w:val="16"/>
                <w:color w:val="auto"/>
              </w:rPr>
            </w:pPr>
          </w:p>
        </w:tc>
        <w:tc>
          <w:tcPr>
            <w:tcW w:w="5100" w:type="dxa"/>
            <w:vAlign w:val="bottom"/>
            <w:gridSpan w:val="3"/>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380"/>
              <w:spacing w:after="0"/>
              <w:rPr>
                <w:sz w:val="20"/>
                <w:szCs w:val="20"/>
                <w:color w:val="auto"/>
              </w:rPr>
            </w:pPr>
            <w:r>
              <w:rPr>
                <w:rFonts w:ascii="Arial" w:cs="Arial" w:eastAsia="Arial" w:hAnsi="Arial"/>
                <w:sz w:val="18"/>
                <w:szCs w:val="18"/>
                <w:color w:val="auto"/>
              </w:rPr>
              <w:t>Marketable securities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5,771</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189"/>
        </w:trPr>
        <w:tc>
          <w:tcPr>
            <w:tcW w:w="20" w:type="dxa"/>
            <w:vAlign w:val="bottom"/>
          </w:tcPr>
          <w:p>
            <w:pPr>
              <w:spacing w:after="0"/>
              <w:rPr>
                <w:sz w:val="16"/>
                <w:szCs w:val="16"/>
                <w:color w:val="auto"/>
              </w:rPr>
            </w:pPr>
          </w:p>
        </w:tc>
        <w:tc>
          <w:tcPr>
            <w:tcW w:w="51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bl>
    <w:p>
      <w:pPr>
        <w:spacing w:after="0" w:line="18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(comprised of money market funds) and marketable securities are classified within Level I of the fair value hierarchy because they are valued using quoted market prices.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At March 31, 2022 and December 31, 2021, the Company did not have any assets or liabilities measured at fair value on a recurring basis that would be considered Level III.</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and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2022</w:t>
            </w:r>
          </w:p>
        </w:tc>
        <w:tc>
          <w:tcPr>
            <w:tcW w:w="136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6"/>
                <w:szCs w:val="16"/>
                <w:color w:val="auto"/>
              </w:rPr>
            </w:pPr>
          </w:p>
        </w:tc>
        <w:tc>
          <w:tcPr>
            <w:tcW w:w="1360" w:type="dxa"/>
            <w:vAlign w:val="bottom"/>
          </w:tcPr>
          <w:p>
            <w:pPr>
              <w:jc w:val="right"/>
              <w:ind w:right="513"/>
              <w:spacing w:after="0"/>
              <w:rPr>
                <w:sz w:val="20"/>
                <w:szCs w:val="20"/>
                <w:color w:val="auto"/>
              </w:rPr>
            </w:pPr>
            <w:r>
              <w:rPr>
                <w:rFonts w:ascii="Arial" w:cs="Arial" w:eastAsia="Arial" w:hAnsi="Arial"/>
                <w:sz w:val="16"/>
                <w:szCs w:val="16"/>
                <w:b w:val="1"/>
                <w:bCs w:val="1"/>
                <w:color w:val="auto"/>
                <w:w w:val="96"/>
              </w:rPr>
              <w:t>Estimated</w:t>
            </w:r>
          </w:p>
        </w:tc>
      </w:tr>
      <w:tr>
        <w:trPr>
          <w:trHeight w:val="213"/>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Arial" w:cs="Arial" w:eastAsia="Arial" w:hAnsi="Arial"/>
                <w:sz w:val="16"/>
                <w:szCs w:val="16"/>
                <w:b w:val="1"/>
                <w:bCs w:val="1"/>
                <w:color w:val="auto"/>
                <w:w w:val="99"/>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656,806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659,897</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398,500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792,603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793,000</w:t>
            </w:r>
          </w:p>
        </w:tc>
      </w:tr>
      <w:tr>
        <w:trPr>
          <w:trHeight w:val="23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984,588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2,831,929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2,766,397</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4"/>
          </w:tcPr>
          <w:p>
            <w:pPr>
              <w:jc w:val="right"/>
              <w:ind w:right="1193"/>
              <w:spacing w:after="0"/>
              <w:rPr>
                <w:sz w:val="20"/>
                <w:szCs w:val="20"/>
                <w:color w:val="auto"/>
              </w:rPr>
            </w:pPr>
            <w:r>
              <w:rPr>
                <w:rFonts w:ascii="Arial" w:cs="Arial" w:eastAsia="Arial" w:hAnsi="Arial"/>
                <w:sz w:val="16"/>
                <w:szCs w:val="16"/>
                <w:b w:val="1"/>
                <w:bCs w:val="1"/>
                <w:color w:val="auto"/>
              </w:rPr>
              <w:t>December 31, 2021</w:t>
            </w:r>
          </w:p>
        </w:tc>
      </w:t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6"/>
                <w:szCs w:val="16"/>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13"/>
        </w:trPr>
        <w:tc>
          <w:tcPr>
            <w:tcW w:w="20" w:type="dxa"/>
            <w:vAlign w:val="bottom"/>
          </w:tcPr>
          <w:p>
            <w:pPr>
              <w:spacing w:after="0"/>
              <w:rPr>
                <w:sz w:val="18"/>
                <w:szCs w:val="18"/>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06"/>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734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664,581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670,781</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403,500</w:t>
            </w:r>
          </w:p>
        </w:tc>
      </w:tr>
      <w:tr>
        <w:trPr>
          <w:trHeight w:val="23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4.75%</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792,098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818,000</w:t>
            </w:r>
          </w:p>
        </w:tc>
      </w:tr>
      <w:tr>
        <w:trPr>
          <w:trHeight w:val="229"/>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4.25%</w:t>
            </w: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February 2029</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997,500</w:t>
            </w: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2,838,470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2,889,781</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380" w:type="dxa"/>
            <w:vAlign w:val="bottom"/>
            <w:gridSpan w:val="2"/>
          </w:tcPr>
          <w:p>
            <w:pPr>
              <w:ind w:left="1560"/>
              <w:spacing w:after="0"/>
              <w:rPr>
                <w:sz w:val="20"/>
                <w:szCs w:val="20"/>
                <w:color w:val="auto"/>
              </w:rPr>
            </w:pPr>
            <w:r>
              <w:rPr>
                <w:rFonts w:ascii="Arial" w:cs="Arial" w:eastAsia="Arial" w:hAnsi="Arial"/>
                <w:sz w:val="16"/>
                <w:szCs w:val="16"/>
                <w:b w:val="1"/>
                <w:bCs w:val="1"/>
                <w:color w:val="auto"/>
              </w:rPr>
              <w:t>Balance Sheet Location</w:t>
            </w: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6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 2021</w:t>
            </w:r>
          </w:p>
        </w:tc>
      </w:tr>
      <w:tr>
        <w:trPr>
          <w:trHeight w:val="172"/>
        </w:trPr>
        <w:tc>
          <w:tcPr>
            <w:tcW w:w="342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b w:val="1"/>
                <w:bCs w:val="1"/>
                <w:color w:val="auto"/>
              </w:rPr>
              <w:t>Derivatives not designated as hedging</w:t>
            </w:r>
          </w:p>
        </w:tc>
        <w:tc>
          <w:tcPr>
            <w:tcW w:w="4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instruments: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r>
    </w:tbl>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amounts of gains and losses related to the Company's derivative financial instruments not designated as hedging instruments are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Location of Gain or (Loss) Recognized in Earnings</w:t>
            </w:r>
          </w:p>
        </w:tc>
        <w:tc>
          <w:tcPr>
            <w:tcW w:w="120" w:type="dxa"/>
            <w:vAlign w:val="bottom"/>
          </w:tcPr>
          <w:p>
            <w:pPr>
              <w:spacing w:after="0"/>
              <w:rPr>
                <w:sz w:val="16"/>
                <w:szCs w:val="16"/>
                <w:color w:val="auto"/>
              </w:rPr>
            </w:pPr>
          </w:p>
        </w:tc>
        <w:tc>
          <w:tcPr>
            <w:tcW w:w="2940" w:type="dxa"/>
            <w:vAlign w:val="bottom"/>
            <w:gridSpan w:val="4"/>
          </w:tcPr>
          <w:p>
            <w:pPr>
              <w:jc w:val="center"/>
              <w:ind w:right="35"/>
              <w:spacing w:after="0"/>
              <w:rPr>
                <w:sz w:val="20"/>
                <w:szCs w:val="20"/>
                <w:color w:val="auto"/>
              </w:rPr>
            </w:pPr>
            <w:r>
              <w:rPr>
                <w:rFonts w:ascii="Arial" w:cs="Arial" w:eastAsia="Arial" w:hAnsi="Arial"/>
                <w:sz w:val="16"/>
                <w:szCs w:val="16"/>
                <w:b w:val="1"/>
                <w:bCs w:val="1"/>
                <w:color w:val="auto"/>
                <w:w w:val="90"/>
              </w:rPr>
              <w:t>Amount of Gain or (Loss) Recognized in</w:t>
            </w:r>
          </w:p>
        </w:tc>
      </w:tr>
      <w:tr>
        <w:trPr>
          <w:trHeight w:val="213"/>
        </w:trPr>
        <w:tc>
          <w:tcPr>
            <w:tcW w:w="4400" w:type="dxa"/>
            <w:vAlign w:val="bottom"/>
          </w:tcPr>
          <w:p>
            <w:pPr>
              <w:spacing w:after="0"/>
              <w:rPr>
                <w:sz w:val="18"/>
                <w:szCs w:val="18"/>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on Derivatives</w:t>
            </w:r>
          </w:p>
        </w:tc>
        <w:tc>
          <w:tcPr>
            <w:tcW w:w="120" w:type="dxa"/>
            <w:vAlign w:val="bottom"/>
          </w:tcPr>
          <w:p>
            <w:pPr>
              <w:spacing w:after="0"/>
              <w:rPr>
                <w:sz w:val="18"/>
                <w:szCs w:val="18"/>
                <w:color w:val="auto"/>
              </w:rPr>
            </w:pPr>
          </w:p>
        </w:tc>
        <w:tc>
          <w:tcPr>
            <w:tcW w:w="2940" w:type="dxa"/>
            <w:vAlign w:val="bottom"/>
            <w:gridSpan w:val="4"/>
          </w:tcPr>
          <w:p>
            <w:pPr>
              <w:jc w:val="center"/>
              <w:ind w:right="35"/>
              <w:spacing w:after="0"/>
              <w:rPr>
                <w:sz w:val="20"/>
                <w:szCs w:val="20"/>
                <w:color w:val="auto"/>
              </w:rPr>
            </w:pPr>
            <w:r>
              <w:rPr>
                <w:rFonts w:ascii="Arial" w:cs="Arial" w:eastAsia="Arial" w:hAnsi="Arial"/>
                <w:sz w:val="16"/>
                <w:szCs w:val="16"/>
                <w:b w:val="1"/>
                <w:bCs w:val="1"/>
                <w:color w:val="auto"/>
                <w:w w:val="91"/>
              </w:rPr>
              <w:t>Earnings on Derivatives</w:t>
            </w:r>
          </w:p>
        </w:tc>
      </w:tr>
      <w:tr>
        <w:trPr>
          <w:trHeight w:val="236"/>
        </w:trPr>
        <w:tc>
          <w:tcPr>
            <w:tcW w:w="4400" w:type="dxa"/>
            <w:vAlign w:val="bottom"/>
          </w:tcPr>
          <w:p>
            <w:pPr>
              <w:spacing w:after="0"/>
              <w:rPr>
                <w:sz w:val="20"/>
                <w:szCs w:val="20"/>
                <w:color w:val="auto"/>
              </w:rPr>
            </w:pPr>
          </w:p>
        </w:tc>
        <w:tc>
          <w:tcPr>
            <w:tcW w:w="3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940" w:type="dxa"/>
            <w:vAlign w:val="bottom"/>
            <w:tcBorders>
              <w:top w:val="single" w:sz="8" w:color="auto"/>
              <w:bottom w:val="single" w:sz="8" w:color="auto"/>
            </w:tcBorders>
            <w:gridSpan w:val="4"/>
          </w:tcPr>
          <w:p>
            <w:pPr>
              <w:jc w:val="center"/>
              <w:ind w:right="35"/>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36"/>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7"/>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r>
      <w:tr>
        <w:trPr>
          <w:trHeight w:val="251"/>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Miscellaneous,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For the three months ended March 31, 2022, income tax expense was $41.6 million, representing an effective tax rate of 27%, as compared to the federal statutory rate of 21%. The effective tax rate differs from the federal statutory rate due primarily to state and local income tax expense, tax expense related to non-deductible compensation and tax expense for an increase in the valuation allowance for foreign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2021, income tax expense was $25.9 million, representing an effective tax rate of 21%, which was equal to the federal statutory rate. The effective tax rate was impacted by state and local income tax expense, tax expense from nondeductible compensation and tax expense from foreign operations partially offset by a tax benefit from foreign derived intangible income and excess tax benefits related to stock compensation.</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2022, the Company had foreign tax credit carry forwards of approximately $40.4 million, expiring on various dates from 2022 through 2032. These carryforwards have been reduced by a valuation allowance of $40.4 million as it is more likely than not that these carry forwards will not be realized. For the three months ended March 31, 2022, $0.3 million relating to amortization of tax deductible second component goodwill was realized as a reduction in tax liability (as determined on a 'with-and-without' approach).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As of March 31, 2022, the Company's contractual obligations not reflected on the Company's condensed consolidated balance sheet decreased $53.3 million, as compared to December 31, 2021, to $1,010.1 million. The decrease primarily relates to payments for program rights.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The Company believes the two remaining claims in the case for breach of contract are without merit and is continuing to defend against them. At this time, no determination can be made as to the ultimate outcome of this litigation or the potential liability, if any, on the part of the Company.</w:t>
      </w:r>
    </w:p>
    <w:p>
      <w:pPr>
        <w:spacing w:after="0" w:line="8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Plans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March 2022, AMC Networks granted 628,508 RSUs to certain executive officers and employees under the AMC Networks Inc. Amended and Restated 2016 Employee Stock Plan. The RSUs vest ratably over a three-year period.</w:t>
      </w:r>
    </w:p>
    <w:p>
      <w:pPr>
        <w:spacing w:after="0" w:line="6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During the three months ended March 31, 2022, 614,821 RSUs and 344,157 performance restricted stock units (PRSUs) of AMC Networks Class A Common Stock previously issued to employees of the Company vested. On the vesting date, 261,945 RSUs and 155,103 PRSUs were surrendered to the Company to cover the required statutory tax withholding obligations and 352,876 RSU and 189,054 PRSU new shares of AMC Networks Class A Common Stock were issued. Units are surrendered to satisfy the employees' statutory minimum tax withholding obligations for the applicable income and other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employment tax. All units surrendered during the quarter had an aggregate value of $20.3 million, which has been reflected as a financing activity in the condensed consolidated statement of cash flows for the three months ended March 31, 2022.</w:t>
      </w:r>
    </w:p>
    <w:p>
      <w:pPr>
        <w:spacing w:after="0" w:line="62"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Share-based compensation expenses included in selling, general and administrative expenses were $8.1 million and $13.4 million for the three months ended March 31, 2022 and 2021, respectively.</w:t>
      </w:r>
    </w:p>
    <w:p>
      <w:pPr>
        <w:spacing w:after="0" w:line="62"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color w:val="auto"/>
        </w:rPr>
        <w:t>As of March 31, 2022, there was $41.8 million of total unrecognized share-based compensation cost related to outstanding unvested share-based awards. The unrecognized compensation cost is expected to be recognized over a weighted-average remaining period of approximately 2.4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Redeemable Noncontrolling Interests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2022 and March 31, 2021:</w:t>
      </w:r>
    </w:p>
    <w:p>
      <w:pPr>
        <w:sectPr>
          <w:pgSz w:w="11900" w:h="16838" w:orient="portrait"/>
          <w:cols w:equalWidth="0" w:num="1">
            <w:col w:w="11240"/>
          </w:cols>
          <w:pgMar w:left="320" w:top="125"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Three Months Ended March</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31, 2022</w:t>
      </w:r>
    </w:p>
    <w:p>
      <w:pPr>
        <w:spacing w:after="0" w:line="8" w:lineRule="exact"/>
        <w:rPr>
          <w:sz w:val="20"/>
          <w:szCs w:val="20"/>
          <w:color w:val="auto"/>
        </w:rPr>
      </w:pPr>
    </w:p>
    <w:p>
      <w:pPr>
        <w:sectPr>
          <w:pgSz w:w="11900" w:h="16838" w:orient="portrait"/>
          <w:cols w:equalWidth="0" w:num="2">
            <w:col w:w="8520" w:space="720"/>
            <w:col w:w="20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9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283,849</w:t>
            </w:r>
          </w:p>
        </w:tc>
      </w:tr>
      <w:tr>
        <w:trPr>
          <w:trHeight w:val="229"/>
        </w:trPr>
        <w:tc>
          <w:tcPr>
            <w:tcW w:w="9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287,756</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17"/>
        </w:trPr>
        <w:tc>
          <w:tcPr>
            <w:tcW w:w="92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Three Months Ended March</w:t>
            </w:r>
          </w:p>
        </w:tc>
      </w:tr>
      <w:tr>
        <w:trPr>
          <w:trHeight w:val="213"/>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31, 2021</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315,649</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6,570</w:t>
            </w:r>
          </w:p>
        </w:tc>
      </w:tr>
      <w:tr>
        <w:trPr>
          <w:trHeight w:val="229"/>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30"/>
        </w:trPr>
        <w:tc>
          <w:tcPr>
            <w:tcW w:w="9220" w:type="dxa"/>
            <w:vAlign w:val="bottom"/>
          </w:tcPr>
          <w:p>
            <w:pPr>
              <w:ind w:left="360"/>
              <w:spacing w:after="0"/>
              <w:rPr>
                <w:sz w:val="20"/>
                <w:szCs w:val="20"/>
                <w:color w:val="auto"/>
              </w:rPr>
            </w:pPr>
            <w:r>
              <w:rPr>
                <w:rFonts w:ascii="Arial" w:cs="Arial" w:eastAsia="Arial" w:hAnsi="Arial"/>
                <w:sz w:val="18"/>
                <w:szCs w:val="18"/>
                <w:color w:val="auto"/>
              </w:rPr>
              <w:t>Distribution related to spin-off transaction</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(8,040)</w:t>
            </w:r>
          </w:p>
        </w:tc>
      </w:tr>
      <w:tr>
        <w:trPr>
          <w:trHeight w:val="230"/>
        </w:trPr>
        <w:tc>
          <w:tcPr>
            <w:tcW w:w="9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Transfer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w:t>
            </w: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293,468</w:t>
            </w:r>
          </w:p>
        </w:tc>
      </w:tr>
      <w:tr>
        <w:trPr>
          <w:trHeight w:val="20"/>
        </w:trPr>
        <w:tc>
          <w:tcPr>
            <w:tcW w:w="9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connection with the spin-off of the live comedy venue and talent management businesses of Levity Entertainment Group, LLC (see Note 4), $8.0 million of redeemable noncontrolling interests was distributed to the noncontrolling partners. In addition, as part of the transaction, the preexisting put rights of the noncontrolling interest holders were terminated. Accordingly, the remaining $18.4 million of noncontrolling interests was transferred from Redeemable noncontrolling interests to Noncontrolling interests in the condensed consolidated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$1.3 million and $1.2 million for the three months ended March 31, 2022 and 2021, respectively. Amounts charged to the Company, included in selling, general and administrative expenses, pursuant to transactions with its related parties amounted to $0.6 million and $0.5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45"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20320</wp:posOffset>
            </wp:positionV>
            <wp:extent cx="2177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2021</w:t>
            </w:r>
          </w:p>
        </w:tc>
      </w:tr>
      <w:tr>
        <w:trPr>
          <w:trHeight w:val="22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Capital expenditures incurred but not yet paid</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5,284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Cash interest paid</w:t>
            </w:r>
          </w:p>
        </w:tc>
        <w:tc>
          <w:tcPr>
            <w:tcW w:w="24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39,614</w:t>
            </w:r>
          </w:p>
        </w:tc>
      </w:tr>
      <w:tr>
        <w:trPr>
          <w:trHeight w:val="230"/>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paid, net</w:t>
            </w:r>
          </w:p>
        </w:tc>
        <w:tc>
          <w:tcPr>
            <w:tcW w:w="24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Domestic Operations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and other information as to the continuing operations of the Company's operating segments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2022</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343,748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60,412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404,160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489,231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222,926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605,543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712,157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174,677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211,184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International</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Corporate / Inter-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8"/>
              </w:rPr>
              <w:t>Domestic Operations</w:t>
            </w:r>
          </w:p>
        </w:tc>
        <w:tc>
          <w:tcPr>
            <w:tcW w:w="2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5"/>
              </w:rPr>
              <w:t>segment</w:t>
            </w:r>
          </w:p>
        </w:tc>
        <w:tc>
          <w:tcPr>
            <w:tcW w:w="220" w:type="dxa"/>
            <w:vAlign w:val="bottom"/>
          </w:tcPr>
          <w:p>
            <w:pPr>
              <w:spacing w:after="0"/>
              <w:rPr>
                <w:sz w:val="14"/>
                <w:szCs w:val="14"/>
                <w:color w:val="auto"/>
              </w:rPr>
            </w:pPr>
          </w:p>
        </w:tc>
        <w:tc>
          <w:tcPr>
            <w:tcW w:w="13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Arial" w:cs="Arial" w:eastAsia="Arial" w:hAnsi="Arial"/>
                <w:sz w:val="16"/>
                <w:szCs w:val="16"/>
                <w:b w:val="1"/>
                <w:bCs w:val="1"/>
                <w:color w:val="auto"/>
              </w:rPr>
              <w:t>and Other</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Eliminations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318,832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381,860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89,168</w:t>
            </w:r>
          </w:p>
        </w:tc>
        <w:tc>
          <w:tcPr>
            <w:tcW w:w="0" w:type="dxa"/>
            <w:vAlign w:val="bottom"/>
          </w:tcPr>
          <w:p>
            <w:pPr>
              <w:spacing w:after="0"/>
              <w:rPr>
                <w:sz w:val="1"/>
                <w:szCs w:val="1"/>
                <w:color w:val="auto"/>
              </w:rPr>
            </w:pPr>
          </w:p>
        </w:tc>
      </w:tr>
      <w:tr>
        <w:trPr>
          <w:trHeight w:val="223"/>
        </w:trPr>
        <w:tc>
          <w:tcPr>
            <w:tcW w:w="466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374,827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471,028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573,969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691,741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Share-based compensation expenses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other charges</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Cloud computing amortization</w:t>
            </w: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Adjusted operating income (loss)</w:t>
            </w:r>
          </w:p>
        </w:tc>
        <w:tc>
          <w:tcPr>
            <w:tcW w:w="5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38"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Inter-segment eliminations are primarily licensing revenues recognized between the Domestic Operations and International and Other segments as well as transmission revenues recognized by AMC Networks Broadcasting &amp; Technology from the International and Other operating segment.</w:t>
      </w:r>
    </w:p>
    <w:p>
      <w:pPr>
        <w:spacing w:after="0" w:line="97"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20320</wp:posOffset>
            </wp:positionV>
            <wp:extent cx="2305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30"/>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Domestic Operations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r>
      <w:tr>
        <w:trPr>
          <w:trHeight w:val="223"/>
        </w:trPr>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91"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20320</wp:posOffset>
            </wp:positionV>
            <wp:extent cx="2305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46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591,208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577,148</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82,036</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169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center"/>
        <w:ind w:left="400" w:right="224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Arial" w:cs="Arial" w:eastAsia="Arial" w:hAnsi="Arial"/>
                <w:sz w:val="16"/>
                <w:szCs w:val="16"/>
                <w:b w:val="1"/>
                <w:bCs w:val="1"/>
                <w:color w:val="auto"/>
                <w:w w:val="92"/>
              </w:rPr>
              <w:t>December 31, 2021</w:t>
            </w:r>
          </w:p>
        </w:tc>
      </w:tr>
      <w:tr>
        <w:trPr>
          <w:trHeight w:val="226"/>
        </w:trPr>
        <w:tc>
          <w:tcPr>
            <w:tcW w:w="7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206,410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210,252</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w:t>
            </w:r>
          </w:p>
        </w:tc>
      </w:tr>
      <w:tr>
        <w:trPr>
          <w:trHeight w:val="22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streaming and programming industries;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launch our streaming services in countries outside of the United States;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 including increases in inflation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or treaties relating to taxation, or the interpretation thereof, in the United States or in the countries in which we operate;</w:t>
      </w:r>
    </w:p>
    <w:p>
      <w:pPr>
        <w:spacing w:after="0" w:line="74" w:lineRule="exact"/>
        <w:rPr>
          <w:rFonts w:ascii="Arial" w:cs="Arial" w:eastAsia="Arial" w:hAnsi="Arial"/>
          <w:sz w:val="17"/>
          <w:szCs w:val="17"/>
          <w:color w:val="auto"/>
        </w:rPr>
      </w:pPr>
    </w:p>
    <w:p>
      <w:pPr>
        <w:ind w:left="820" w:right="6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existing and proposed federal, state and international laws and regulations relating to data protection, privacy and security, including the European Union's General Data Protection Regulation ("GDPR");</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and streaming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right="220" w:hanging="326"/>
        <w:spacing w:after="0" w:line="27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left="820" w:right="6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2021 Annual Report on Form 10-K (the "2021 Form 10-K"), as filed with the Securities and Exchange Commission ("SEC").</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or MD&amp;A, is a supplement to and should be read in conjunction with the unaudited condensed consolidated financial statements and notes thereto included elsewhere herein and our 2021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2021. Our discussion is presented on both a consolidated and segment basis. Our two segments are: (i) Domestic Operations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2022,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three months ended March 31, 2022 and 2021. The discussion of our financial condition and liquidity includes summaries of (i) our primary sources of liquidity and (ii) our contractual obligations that existed at March 31, 2022 as compared to December 31, 2021.</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12" w:lineRule="exact"/>
        <w:rPr>
          <w:sz w:val="20"/>
          <w:szCs w:val="20"/>
          <w:color w:val="auto"/>
        </w:rPr>
      </w:pPr>
    </w:p>
    <w:p>
      <w:pPr>
        <w:jc w:val="both"/>
        <w:ind w:right="20" w:firstLine="445"/>
        <w:spacing w:after="0" w:line="229"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(loss) ("AOI")</w:t>
      </w:r>
      <w:r>
        <w:rPr>
          <w:rFonts w:ascii="Arial" w:cs="Arial" w:eastAsia="Arial" w:hAnsi="Arial"/>
          <w:sz w:val="23"/>
          <w:szCs w:val="23"/>
          <w:color w:val="auto"/>
          <w:vertAlign w:val="superscript"/>
        </w:rPr>
        <w:t>1</w:t>
      </w:r>
      <w:r>
        <w:rPr>
          <w:rFonts w:ascii="Arial" w:cs="Arial" w:eastAsia="Arial" w:hAnsi="Arial"/>
          <w:sz w:val="18"/>
          <w:szCs w:val="18"/>
          <w:color w:val="auto"/>
        </w:rPr>
        <w:t>, for the periods indicated.</w:t>
      </w:r>
    </w:p>
    <w:p>
      <w:pPr>
        <w:spacing w:after="0" w:line="17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91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92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Domestic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605,543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573,969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2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920" w:type="dxa"/>
            <w:vAlign w:val="bottom"/>
            <w:gridSpan w:val="4"/>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Corporate / Inter-segment Eliminations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9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Adjusted Operating Income (Loss)</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Domestic Operations</w:t>
            </w:r>
          </w:p>
        </w:tc>
        <w:tc>
          <w:tcPr>
            <w:tcW w:w="5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219,219</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242,533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 Inter-segment Eliminations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80" w:firstLine="8"/>
        <w:spacing w:after="0" w:line="201" w:lineRule="auto"/>
        <w:tabs>
          <w:tab w:leader="none" w:pos="103"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Adjusted Operating Income (Loss), is a non-GAAP financial measure. See the "Non-GAAP Financial Measures" section on page 30 for additional information, including our definition and our use of this non-GAAP financial measure, and for a reconciliation to its most comparable GAAP financial measure.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93" w:lineRule="auto"/>
        <w:tabs>
          <w:tab w:leader="none" w:pos="655"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Domestic Operations: </w:t>
      </w:r>
      <w:r>
        <w:rPr>
          <w:rFonts w:ascii="Arial" w:cs="Arial" w:eastAsia="Arial" w:hAnsi="Arial"/>
          <w:sz w:val="16"/>
          <w:szCs w:val="16"/>
          <w:color w:val="auto"/>
        </w:rPr>
        <w:t>Includes our programming services and AMC Broadcasting &amp; Technology. Our programming services consist of our five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programming networks, our streaming services, our AMC Studios operation and IFC Films. Our national programming networks are AMC, WE tv, BBC AMERICA, IFC, and SundanceTV. Our streaming services consist of our targeted subscription streaming services (Acorn TV, Shudder, Sundance Now, ALLBLK, and HIDIVE), AMC+ and other streaming initiatives. Our AMC Studios operation produces original programming for our programming networks and also licenses such programming worldwide and IFC Films is our film distribution business. AMC Networks Broadcasting &amp; Technology, our technical services business, primarily services most of the national programming networks.</w:t>
      </w:r>
    </w:p>
    <w:p>
      <w:pPr>
        <w:spacing w:after="0" w:line="56" w:lineRule="exact"/>
        <w:rPr>
          <w:rFonts w:ascii="Arial" w:cs="Arial" w:eastAsia="Arial" w:hAnsi="Arial"/>
          <w:sz w:val="16"/>
          <w:szCs w:val="16"/>
          <w:i w:val="1"/>
          <w:iCs w:val="1"/>
          <w:color w:val="auto"/>
        </w:rPr>
      </w:pPr>
    </w:p>
    <w:p>
      <w:pPr>
        <w:ind w:left="660" w:hanging="328"/>
        <w:spacing w:after="0" w:line="277"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Includes AMC Networks International ("AMCNI"), our international programming businesses consisting of a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channels around the world, and 25/7 Media, our production services business.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Domestic Operations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our Domestic Operations segment, we earn revenue principally from: (i) the distribution of our programming through our programming networks and streaming services, (ii) the sale of advertising, and (iii) the licensing of our original programming to distributors, including the distribution of programming of IFC Films. Subscription revenue includes fees paid by distributors and consumers for our programming networks and streaming services. Subscription fees paid by distributors represent the largest component of distribution revenue. Our subscription fee revenues for our programming networks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programming services, but are generally based upon the number of each distributor's subscribers who receive our programming, referred to as viewing subscribers. Subscription fees for our streaming services are generally paid by consumers on a monthly basis. Content licensing revenue is earned from the licensing of original programming for digital, foreign and home video distribution and is recognized upon availability or distribution by the licensee.</w:t>
      </w:r>
    </w:p>
    <w:p>
      <w:pPr>
        <w:spacing w:after="0" w:line="7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expenses, included in technical and operating expenses, represent the largest expenses of the Domestic Operations segment and primarily consists of amortization of programming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success of our business depends on original programming, both scripted and unscripted, across all of our programming services. These original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original programming.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program rights that are monetized individually are amortized based on the individual-film-forecast-computation method, while program rights that are monetized as a group are amortized based on projected usage, typically resulting in an accelerated amortization pattern.</w:t>
      </w:r>
    </w:p>
    <w:p>
      <w:pPr>
        <w:spacing w:after="0" w:line="8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and 25/7 Media.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jc w:val="both"/>
        <w:ind w:firstLine="445"/>
        <w:spacing w:after="0" w:line="253" w:lineRule="auto"/>
        <w:rPr>
          <w:sz w:val="20"/>
          <w:szCs w:val="20"/>
          <w:color w:val="auto"/>
        </w:rPr>
      </w:pPr>
      <w:r>
        <w:rPr>
          <w:rFonts w:ascii="Arial" w:cs="Arial" w:eastAsia="Arial" w:hAnsi="Arial"/>
          <w:sz w:val="18"/>
          <w:szCs w:val="18"/>
          <w:color w:val="auto"/>
        </w:rPr>
        <w:t>In our International and Other segment, we earn revenue principally from the international distribution of programming and, to a lesser extent, the sale of advertising from our AMCNI programming networks. We also earn revenue through production services from 25/7 Media. For the three months ended March 31, 2022, distribution revenues represented 80% of the revenues of the International and Other segment. Distribution revenue primarily includes subscription fees paid by distributors or consumers to carry our programming networks and production services revenue generated from 25/7 Media.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w:t>
      </w:r>
    </w:p>
    <w:p>
      <w:pPr>
        <w:spacing w:after="0" w:line="8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expenses, program operating costs and production costs incurred to produce content for third parties are included in technical and operating expenses, and represent the largest expense of the International and Other segment. Programming expenses primarily consist of amortization of acquired content, costs of dubbing and sub-titling of programs, production costs, and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Corporate / Inter-segment Eliminations</w:t>
      </w:r>
    </w:p>
    <w:p>
      <w:pPr>
        <w:spacing w:after="0" w:line="117" w:lineRule="exact"/>
        <w:rPr>
          <w:sz w:val="20"/>
          <w:szCs w:val="20"/>
          <w:color w:val="auto"/>
        </w:rPr>
      </w:pPr>
    </w:p>
    <w:p>
      <w:pPr>
        <w:jc w:val="both"/>
        <w:ind w:right="20" w:firstLine="445"/>
        <w:spacing w:after="0" w:line="259" w:lineRule="auto"/>
        <w:rPr>
          <w:sz w:val="20"/>
          <w:szCs w:val="20"/>
          <w:color w:val="auto"/>
        </w:rPr>
      </w:pPr>
      <w:r>
        <w:rPr>
          <w:rFonts w:ascii="Arial" w:cs="Arial" w:eastAsia="Arial" w:hAnsi="Arial"/>
          <w:sz w:val="18"/>
          <w:szCs w:val="18"/>
          <w:color w:val="auto"/>
        </w:rPr>
        <w:t>Corporate operations primarily consist of executive management and administrative support services, such as executive salaries and benefits costs, costs of maintaining corporate headquarters, facilities and common support functions (such as human resources, legal, finance, strategic planning and information technology). The segment financial information set forth below, including the discussion related to individual line items, does not reflect inter-segment eliminations unless specifically indicated.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continues to monitor the ongoing impact of the COVID-19 pandemic on all aspects of its business. The Company cannot reasonably predict the ultimate impact of the COVID-19 pandemic, including the extent of any adverse impact on our business, results of operations and financial condition, which will depend on, among other things, the impact of governmental regulations that have been, and may continue to be, imposed in response to the pandemic, the effectiveness of actions taken to contain or mitigate the outbreak, the acceptance, safety and efficacy of vaccines, and global economic conditions. The Company does not expect the COVID-19 pandemic and its related economic impact to affect its liquidity position or its ongoing ability to meet the covenants in its debt instruments.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Capital and credit market disruptions, as well as other events such as the COVID-19 pandemic, inflation, international conflict and recession, could cause economic downturns, which may lead to lower demand for our products, such as lower demand for television advertising and a decrease in the number of subscribers receiving our programming services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an interest, which may be significant, in such entity. The noncontrolling owner's interest in the operating results of consolidated subsidiaries are reflected in net income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and 2021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4"/>
              </w:rPr>
              <w:t>Three Months Ended March 31,</w:t>
            </w:r>
          </w:p>
        </w:tc>
        <w:tc>
          <w:tcPr>
            <w:tcW w:w="820" w:type="dxa"/>
            <w:vAlign w:val="bottom"/>
            <w:tcBorders>
              <w:bottom w:val="single" w:sz="8" w:color="auto"/>
            </w:tcBorders>
          </w:tcPr>
          <w:p>
            <w:pPr>
              <w:spacing w:after="0"/>
              <w:rPr>
                <w:sz w:val="16"/>
                <w:szCs w:val="16"/>
                <w:color w:val="auto"/>
              </w:rPr>
            </w:pP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3"/>
              </w:rPr>
              <w:t>Change</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404,160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381,860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600" w:type="dxa"/>
            <w:vAlign w:val="bottom"/>
          </w:tcPr>
          <w:p>
            <w:pPr>
              <w:ind w:left="520"/>
              <w:spacing w:after="0"/>
              <w:rPr>
                <w:sz w:val="20"/>
                <w:szCs w:val="20"/>
                <w:color w:val="auto"/>
              </w:rPr>
            </w:pPr>
            <w:r>
              <w:rPr>
                <w:rFonts w:ascii="Arial" w:cs="Arial" w:eastAsia="Arial" w:hAnsi="Arial"/>
                <w:sz w:val="18"/>
                <w:szCs w:val="18"/>
                <w:color w:val="auto"/>
              </w:rPr>
              <w:t>Distribution and other</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3.0 %</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and other charges</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7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2.9 %</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Miscellaneous,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7.8 %</w:t>
            </w: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Income from operations before income taxes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Subscription revenues increased 7.8% in our Domestic Operations segment primarily due to an increase in streaming revenues. Subscription revenues decreased 4.2% in our International and Other segment primarily due to the unfavorable impact of foreign currency translation at AMCNI.</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Content licensing and other revenues increased 9.4% in our Domestic Operations segment primarily related to a higher number of original programs distributed as compared to the prior comparable period. Content licensing and other revenues decreased 26.0% in our International and Other segment primarily due to the timing of productions at 25/7 Media.</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3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Advertising revenues increased 0.7% and 3.8% in our Domestic Operations segment and our International and Other segment, respectively, primarily due to higher pricing and ad-supported streaming growth, partially offset by lower linear ratings and unfavorable foreign currency translation.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Most of our advertising revenues vary based on the timing of our original programming series and the popularity of our programming as measured by Nielsen. Due to these factors, we expect advertising revenues to vary from quarter to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technical and operating expenses primarily include the amortization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Technical and operating expenses (excluding depreciation and amortization) increased 7.6% in our Domestic Operations segment primarily due to an increase in program rights amortization attributable to an increase in the number of original programs as compared to the prior comparable period. Technical and operating expenses decreased 21.8% in our International and Other segment primarily due to the timing of productions at 25/7 Media and lower program rights amortization at AMCNI.</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may be significant changes in the level of our technical and operating expenses from quarter to quarter and year to year due to original programming costs and/or content acquisition costs and/or the impact of management's periodic assessment of programming usefulness. As additional competition for programming increases and alternate distribution technologies continue to develop in the industry, costs for content acquisition and original programming may increase.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selling, general and administrative expenses primarily include sales, marketing and advertising expenses, administrative costs and costs of non-production facilities.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general and administrative expenses (including share-based compensation expenses) increased 28.5% in our Domestic Operations segment primarily due to higher advertising and subscriber acquisition expenses related to our streaming services, and 23.8% in our International and other segment primarily related to increased selling expenses at AMCNI, partially offset by a decrease in administrative expenses at 25/7 Media.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Depreciation and amortization expenses include depreciation of fixed assets and amortization of finite-lived intangible assets. Depreciation and amortization decreased primarily in our Domestic Operations segment due to lower depreciation of equipment at our AMC Networks Broadcasting and Technology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 and other charges for the three months ended March 31, 2022.</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March 2021, the Company completed a spin-off of the live comedy venue and talent management businesses ("LiveCo") of Levity Entertainment Group, LLC. In connection with the transaction, the Company effectively exchanged all of its rights and interests in LiveCo for the release of our obligations, principally related to leases. As a result of this divestiture, the Company recognized a loss on the disposal of $16.1 million reflecting the net assets transferred (consisting of property and equipment, lease right-of-use assets and intangibles, partially offset by lease and other obligations), which is included in Impairment and other charges. The Company retained its interest in the production services business of Levity Entertainment Group, LLC, which was renamed 25/7 Media Holdings LLC following the spin-off.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related charges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restructuring and other related charges for the three months ended March 31,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Restructuring and other related charges of $8.6 million for the three months ended March 31, 2021 consisted of $4.1 million of severance costs associated with the restructuring plan announced in November 2020 and $4.5 million at AMCNI related to the termination of distribution in certain international territories.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increase in operating income was primarily attributable to an increase in revenues of $20.4 million and decreases in impairment and other charges and restructuring and related charges of $16.1 million and $8.6 million, respectively, partially offset by increases in selling, general and administrative expenses of $39.1 million and in technical and operating expenses of $3.7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in interest expense, net was primarily due to lower average daily balances and interest rates on our outstanding long-term debt.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Loss on extinguishment of debt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2021, we redeemed (i) the remaining $400 million principal amount of our 4.75% senior notes due December 2022 and (ii) $600 million principal amount of our 5.00% senior notes due April 2024. In connection with the redemptions, we incurred a loss on extinguishment of debt for the quarter ended March 31, 2021 of $22.1 million representing a redemption premium on the 5.00% senior notes due 2024, and the write-off of a portion of the unamortized discount and deferred financing costs related to both issuances.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Miscellaneous, net</w:t>
      </w:r>
    </w:p>
    <w:p>
      <w:pPr>
        <w:spacing w:after="0" w:line="11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increase in miscellaneous, net was primarily related to an increase in net realized and unrealized gains from certain marketable equity securities, partially offset by an unfavorable variance in the foreign currency remeasurement of monetary assets and liabilities (principally intercompany loans) that are denominated in currencies other than the underlying functional currency of the applicable entity.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 the three months ended March 31, 2022, income tax expense was $41.6 million representing an effective tax rate of 27%. The effective tax rate differs from the federal statutory rate of 21% primarily due to state and local income tax expense, tax expense related to non-deductible compensation and tax expense for an increase in the valuation allowance for foreign taxes.</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 the three months ended March 31, 2021, income tax expense was $25.9 million, representing an effective tax rate of 21%, which was equal to the federal statutory rate. The effective tax rate was impacted by state and local income tax expense, tax expense from nondeductible compensation and tax expense from foreign operations partially offset by a tax benefit from foreign derived intangible income and excess tax benefits related to stock compensation.</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Segment Results of Operations</w:t>
      </w:r>
    </w:p>
    <w:p>
      <w:pPr>
        <w:spacing w:after="0" w:line="10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segment adjusted operating income as the measure of profit or loss for our operating segments. See Non-GAAP Financial Measures section below for our definition of Adjusted Operating Income and a reconciliation from Operating Income to Adjusted Operating Income on a segment and consolidated basis.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Domestic Operations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w w:val="94"/>
              </w:rPr>
              <w:t>Three Months Ended March 31,</w:t>
            </w:r>
          </w:p>
        </w:tc>
        <w:tc>
          <w:tcPr>
            <w:tcW w:w="820" w:type="dxa"/>
            <w:vAlign w:val="bottom"/>
            <w:tcBorders>
              <w:bottom w:val="single" w:sz="8" w:color="auto"/>
            </w:tcBorders>
          </w:tcPr>
          <w:p>
            <w:pPr>
              <w:spacing w:after="0"/>
              <w:rPr>
                <w:sz w:val="16"/>
                <w:szCs w:val="16"/>
                <w:color w:val="auto"/>
              </w:rPr>
            </w:pP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3"/>
              </w:rPr>
              <w:t>Change</w:t>
            </w: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343,748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318,832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374,827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8.1</w:t>
            </w:r>
          </w:p>
        </w:tc>
      </w:tr>
      <w:tr>
        <w:trPr>
          <w:trHeight w:val="230"/>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5.5</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Technical and operating (excluding depreciation and amortization)</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(211,961)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r>
      <w:tr>
        <w:trPr>
          <w:trHeight w:val="230"/>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w w:val="90"/>
              </w:rPr>
              <w:t>(124,110)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31.4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r>
      <w:tr>
        <w:trPr>
          <w:trHeight w:val="224"/>
        </w:trPr>
        <w:tc>
          <w:tcPr>
            <w:tcW w:w="760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219,219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242,533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720" w:hanging="20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Technical and operating excludes cloud computing amortization</w:t>
      </w:r>
    </w:p>
    <w:p>
      <w:pPr>
        <w:spacing w:after="0" w:line="21" w:lineRule="exact"/>
        <w:rPr>
          <w:rFonts w:ascii="Arial" w:cs="Arial" w:eastAsia="Arial" w:hAnsi="Arial"/>
          <w:sz w:val="14"/>
          <w:szCs w:val="14"/>
          <w:color w:val="auto"/>
        </w:rPr>
      </w:pPr>
    </w:p>
    <w:p>
      <w:pPr>
        <w:ind w:left="720" w:hanging="208"/>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Selling, general and administrative excludes share-based compensation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1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Subscription revenues increased primarily due to a 42.5% increase in streaming revenues driven by an increase in subscribers to our streaming services, partially offset by a low single-digit decline in affiliate revenue. Aggregate paid subscribers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to our streaming services increased 37% to 9.5 million at March 31, 2022 compared to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6" w:lineRule="exact"/>
        <w:rPr>
          <w:sz w:val="20"/>
          <w:szCs w:val="20"/>
          <w:color w:val="auto"/>
        </w:rPr>
      </w:pPr>
    </w:p>
    <w:p>
      <w:pPr>
        <w:ind w:right="120" w:firstLine="8"/>
        <w:spacing w:after="0" w:line="194" w:lineRule="auto"/>
        <w:tabs>
          <w:tab w:leader="none" w:pos="94"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A paid subscription is defined as a subscription to a direct-to-consumer service or a subscription received through distributor arrangements, in which we receive a fee for the distribution of our streaming services, and includes an estimate of subscribers that converted to paying status in the subsequent period based on historical conversion percentages.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Content licensing and other revenues increased primarily related to a higher number of distributed original programs as compared to the prior comparable period.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Advertising revenues increased due to higher pricing and ad-supported streaming growth, partially offset by lower linear ratings.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increased primarily due to an increase in program rights amortization primarily attributable to an increase in the number of original programs as compared to the prior comparable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Selling, general and administrative expenses (excluding share-based compensation expenses) increased primarily due to higher advertising and subscriber acquisition expenses related to our streaming services, as well as higher employee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0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decrease in segment adjusted operating income was primarily attributable to an increase in selling, general and administrative expenses of $39.0 million and in technical and operating expenses of $16.1 million, partially offset by an increase in revenues, net of $31.6 million.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5"/>
              </w:rPr>
              <w:t>Three Months Ended 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60,412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Content licensing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color w:val="auto"/>
              </w:rPr>
              <w:t>Distribution and other</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revenues,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109,851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Technical and operating (excluding 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4"/>
                <w:szCs w:val="14"/>
                <w:color w:val="auto"/>
              </w:rPr>
              <w:t>(1) Selling, general and administrative excludes share-based compensation expenses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revenues decreased primarily due to the unfavorable impact of foreign currency translation at AMCNI.</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Content licensing and other revenues decreased primarily due to timing of productions at 25/7 Media.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Advertising revenues increased primarily due to higher pricing, partially offset by the unfavorable impact of foreign currency translation at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AMCNI.</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Technical and operating expenses (excluding depreciation and amortization) decreased due to the timing of productions at 25/7 Media and lower program rights amortization at AMCNI.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1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Selling, general and administrative expenses increased primarily related to increased selling expenses at AMCNI, partially offset by a decrease in administrative expenses at 25/7 Media related to the March 2021 spin off of the comedy venues.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Segment adjusted operating income</w:t>
      </w:r>
    </w:p>
    <w:p>
      <w:pPr>
        <w:spacing w:after="0" w:line="104" w:lineRule="exact"/>
        <w:rPr>
          <w:sz w:val="20"/>
          <w:szCs w:val="20"/>
          <w:color w:val="auto"/>
        </w:rPr>
      </w:pPr>
    </w:p>
    <w:p>
      <w:pPr>
        <w:ind w:right="20" w:firstLine="648"/>
        <w:spacing w:after="0" w:line="324" w:lineRule="auto"/>
        <w:rPr>
          <w:sz w:val="20"/>
          <w:szCs w:val="20"/>
          <w:color w:val="auto"/>
        </w:rPr>
      </w:pPr>
      <w:r>
        <w:rPr>
          <w:rFonts w:ascii="Arial" w:cs="Arial" w:eastAsia="Arial" w:hAnsi="Arial"/>
          <w:sz w:val="16"/>
          <w:szCs w:val="16"/>
          <w:color w:val="auto"/>
        </w:rPr>
        <w:t>The decrease in segment adjusted operating income was primarily attributable to a decrease in revenues, net of $11.3 million and an increase in selling, general and administrative expenses of $5.8 million, partially offset by a decrease in technical and operating expenses of $16.6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Inter-segment Elimination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Corporate and Inter-segment Eliminations segment results for the periods indicated.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5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Technical and operating (excluding depreciation and amortization)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7,698</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(53.6)</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Segment 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56"/>
        </w:trPr>
        <w:tc>
          <w:tcPr>
            <w:tcW w:w="7780" w:type="dxa"/>
            <w:vAlign w:val="bottom"/>
            <w:shd w:val="clear" w:color="auto" w:fill="CCEEFF"/>
          </w:tcPr>
          <w:p>
            <w:pPr>
              <w:ind w:left="520"/>
              <w:spacing w:after="0" w:line="156" w:lineRule="exact"/>
              <w:rPr>
                <w:sz w:val="20"/>
                <w:szCs w:val="20"/>
                <w:color w:val="auto"/>
              </w:rPr>
            </w:pPr>
            <w:r>
              <w:rPr>
                <w:rFonts w:ascii="Arial" w:cs="Arial" w:eastAsia="Arial" w:hAnsi="Arial"/>
                <w:sz w:val="14"/>
                <w:szCs w:val="14"/>
                <w:color w:val="auto"/>
                <w:w w:val="97"/>
              </w:rPr>
              <w:t>(1) Selling, general and administrative excludes share-based compensation expenses and cloud computing amortization</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net</w:t>
      </w:r>
    </w:p>
    <w:p>
      <w:pPr>
        <w:spacing w:after="0" w:line="10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Revenue eliminations are primarily related to inter-segment licensing revenues recognized between the Domestic Operations and International and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Technical and operating expenses (excluding depreciation and amortization)</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Technical and operating eliminations are primarily related to inter-segment programming amortization recognized between the Domestic Operations and International and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0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Corporate overhead costs not allocated to the segments include such costs as executive salaries and benefits, costs of maintaining corporate headquarters, facilities and common support functions (such as human resources, legal, finance, strategic planning and information technology).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expenses decreased primarily due to lower employee 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operating income (loss) to AOI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174,677</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22,590</w:t>
            </w:r>
          </w:p>
        </w:tc>
        <w:tc>
          <w:tcPr>
            <w:tcW w:w="0" w:type="dxa"/>
            <w:vAlign w:val="bottom"/>
          </w:tcPr>
          <w:p>
            <w:pPr>
              <w:spacing w:after="0"/>
              <w:rPr>
                <w:sz w:val="1"/>
                <w:szCs w:val="1"/>
                <w:color w:val="auto"/>
              </w:rPr>
            </w:pPr>
          </w:p>
        </w:tc>
      </w:tr>
      <w:tr>
        <w:trPr>
          <w:trHeight w:val="229"/>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211,184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March 31, 2021</w:t>
            </w: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3"/>
            <w:vMerge w:val="restart"/>
          </w:tcPr>
          <w:p>
            <w:pPr>
              <w:ind w:left="100"/>
              <w:spacing w:after="0"/>
              <w:rPr>
                <w:sz w:val="20"/>
                <w:szCs w:val="20"/>
                <w:color w:val="auto"/>
              </w:rPr>
            </w:pPr>
            <w:r>
              <w:rPr>
                <w:rFonts w:ascii="Arial" w:cs="Arial" w:eastAsia="Arial" w:hAnsi="Arial"/>
                <w:sz w:val="16"/>
                <w:szCs w:val="16"/>
                <w:color w:val="auto"/>
              </w:rPr>
              <w:t>Domestic Operations</w:t>
            </w:r>
          </w:p>
        </w:tc>
        <w:tc>
          <w:tcPr>
            <w:tcW w:w="1700" w:type="dxa"/>
            <w:vAlign w:val="bottom"/>
            <w:gridSpan w:val="3"/>
            <w:vMerge w:val="restart"/>
          </w:tcPr>
          <w:p>
            <w:pPr>
              <w:ind w:left="40"/>
              <w:spacing w:after="0"/>
              <w:rPr>
                <w:sz w:val="20"/>
                <w:szCs w:val="20"/>
                <w:color w:val="auto"/>
              </w:rPr>
            </w:pPr>
            <w:r>
              <w:rPr>
                <w:rFonts w:ascii="Arial" w:cs="Arial" w:eastAsia="Arial" w:hAnsi="Arial"/>
                <w:sz w:val="16"/>
                <w:szCs w:val="16"/>
                <w:color w:val="auto"/>
              </w:rPr>
              <w:t>International and Other</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1"/>
              </w:rPr>
              <w:t>Corporate / Inter-</w:t>
            </w:r>
          </w:p>
        </w:tc>
        <w:tc>
          <w:tcPr>
            <w:tcW w:w="240" w:type="dxa"/>
            <w:vAlign w:val="bottom"/>
          </w:tcPr>
          <w:p>
            <w:pPr>
              <w:spacing w:after="0"/>
              <w:rPr>
                <w:sz w:val="14"/>
                <w:szCs w:val="14"/>
                <w:color w:val="auto"/>
              </w:rPr>
            </w:pPr>
          </w:p>
        </w:tc>
        <w:tc>
          <w:tcPr>
            <w:tcW w:w="1360" w:type="dxa"/>
            <w:vAlign w:val="bottom"/>
            <w:vMerge w:val="restart"/>
          </w:tcPr>
          <w:p>
            <w:pPr>
              <w:jc w:val="right"/>
              <w:ind w:right="27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segment Eliminations</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 (loss)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169,708</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Share-based compensation expenses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Restructuring and other related charges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Impairment and other charges</w:t>
            </w:r>
          </w:p>
        </w:tc>
        <w:tc>
          <w:tcPr>
            <w:tcW w:w="5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30"/>
        </w:trPr>
        <w:tc>
          <w:tcPr>
            <w:tcW w:w="4560" w:type="dxa"/>
            <w:vAlign w:val="bottom"/>
          </w:tcPr>
          <w:p>
            <w:pPr>
              <w:ind w:left="400"/>
              <w:spacing w:after="0"/>
              <w:rPr>
                <w:sz w:val="20"/>
                <w:szCs w:val="20"/>
                <w:color w:val="auto"/>
              </w:rPr>
            </w:pPr>
            <w:r>
              <w:rPr>
                <w:rFonts w:ascii="Arial" w:cs="Arial" w:eastAsia="Arial" w:hAnsi="Arial"/>
                <w:sz w:val="16"/>
                <w:szCs w:val="16"/>
                <w:color w:val="auto"/>
              </w:rPr>
              <w:t>Cloud computing amortization</w:t>
            </w:r>
          </w:p>
        </w:tc>
        <w:tc>
          <w:tcPr>
            <w:tcW w:w="5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Majority owned equity investees AOI</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23"/>
        </w:trPr>
        <w:tc>
          <w:tcPr>
            <w:tcW w:w="4560" w:type="dxa"/>
            <w:vAlign w:val="bottom"/>
          </w:tcPr>
          <w:p>
            <w:pPr>
              <w:ind w:left="180"/>
              <w:spacing w:after="0"/>
              <w:rPr>
                <w:sz w:val="20"/>
                <w:szCs w:val="20"/>
                <w:color w:val="auto"/>
              </w:rPr>
            </w:pPr>
            <w:r>
              <w:rPr>
                <w:rFonts w:ascii="Arial" w:cs="Arial" w:eastAsia="Arial" w:hAnsi="Arial"/>
                <w:sz w:val="16"/>
                <w:szCs w:val="16"/>
                <w:color w:val="auto"/>
              </w:rPr>
              <w:t>Adjusted operating income (loss)</w:t>
            </w: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primary source of cash typically includes cash flow from operations. Sources of cash also include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ind w:firstLine="445"/>
        <w:spacing w:after="0" w:line="259" w:lineRule="auto"/>
        <w:rPr>
          <w:sz w:val="20"/>
          <w:szCs w:val="20"/>
          <w:color w:val="auto"/>
        </w:rPr>
      </w:pPr>
      <w:r>
        <w:rPr>
          <w:rFonts w:ascii="Arial" w:cs="Arial" w:eastAsia="Arial" w:hAnsi="Arial"/>
          <w:sz w:val="18"/>
          <w:szCs w:val="18"/>
          <w:color w:val="auto"/>
        </w:rPr>
        <w:t>Our Board of Directors has authorized a program to repurchase up to $1.5 billion of our outstanding shares of common stock (the "Stock Repurchase Program"). The Stock Repurchase Program has no pre-established closing date and may be suspended or discontinued at any time. For the three months ended March 31, 2022, we did not repurchase any of our Class A common stock. As of March 31, 2022, we had $135.3 million of authorization remaining for repurchase under the Stock Repurchase Program.</w:t>
      </w:r>
    </w:p>
    <w:p>
      <w:pPr>
        <w:spacing w:after="0" w:line="7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Although impacted by the COVID-19 pandemic, we continue to increase our investment in original programming, the funding of which generally occurs six to nine months in advance of a program's airing.</w:t>
      </w:r>
    </w:p>
    <w:p>
      <w:pPr>
        <w:spacing w:after="0" w:line="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2022, our consolidated cash and cash equivalents balance of $821.6 million includes approximately $286.4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2021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revolving credit facility was not drawn upon at March 31, 2022.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March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is a summary of cash flows provided by (used in) operating, investing and financing activities for the periods indicated:</w:t>
      </w:r>
    </w:p>
    <w:p>
      <w:pPr>
        <w:spacing w:after="0" w:line="210"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20320</wp:posOffset>
            </wp:positionV>
            <wp:extent cx="22974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2021</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Cash (used in) provided by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55,962</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(53,890)</w:t>
            </w: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 from operations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(64,323)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109,635</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Net cash used in operating activities amounted to $23.6 million for the three months ended March 31, 2022 as compared to net cash provided by operating activities of $107.6 million for the three months ended March 31, 2021. Net cash used in operating activities for the three months ended March 31, 2022 primarily resulted from payments for program rights of $340.3 million and a decrease in accounts payable, accrued liabilities and other liabilities of $84.9 million primarily related to lower employee related, interest, and participations and residuals liabilities, partially offset by $361.2 million of net income before amortization of program rights, depreciation and amortization, and other non-cash items, as well as a decrease in accounts receivable, trade of $37.5 million. Changes in all other assets and liabilities resulted in a net cash inflow of $2.9 million.</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for the three months ended March 31, 2021 primarily resulted from $330.0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spacing w:after="0" w:line="296" w:lineRule="auto"/>
        <w:rPr>
          <w:sz w:val="20"/>
          <w:szCs w:val="20"/>
          <w:color w:val="auto"/>
        </w:rPr>
      </w:pPr>
      <w:r>
        <w:rPr>
          <w:rFonts w:ascii="Arial" w:cs="Arial" w:eastAsia="Arial" w:hAnsi="Arial"/>
          <w:sz w:val="16"/>
          <w:szCs w:val="16"/>
          <w:color w:val="auto"/>
        </w:rPr>
        <w:t>million of net income before amortization of program rights, depreciation and amortization, and other non-cash items, which was partially offset by payments for program rights of $238.0 million and a decrease in accounts payable, accrued expenses and other liabilities of $67.7 million primarily related to lower employee related and participations and residuals liabilities. In addition, net cash provided by operating activities increased as a result of a decrease in accounts receivable of $37.0 million, a decrease in prepaid expenses and other assets of $29.4 million primarily related to a decrease in long-term receivables and an increase of $11.1 million in income taxes payable. Changes in all other assets and liabilities resulted in a increase of $5.7 million.</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Net cash (used in) provided by investing activities for the three months ended March 31, 2022 and 2021 was $(9.8) million and $56.0 million, respectively. For the three months ended March 31, 2022, net cash used in investing activities included capital expenditures of $11.5 million, partially offset by a return of capital from investees of $1.7 million. For the three months ended March 31, 2021, cash provided by investing activities included proceeds received from the sale of an investment of $95.4 million, partially offset by the acquisition of equity securities of $25.7 million and capital expenditures of $8.5 million. All other changes in investing activities resulted in an decrease of $5.2 million.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cash used in financing activities amounted to $31.0 million for the three months ended March 31, 2022 and consisted of taxes paid in lieu of shares issued for equity-based compensation of $20.3 million, principal payments on long-term debt of $8.4 million, distributions to noncontrolling interests of $1.6 million, and payments on finance leases of $0.7 million.</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Net cash used in financing activities amounted to $53.9 million for the three months ended March 31, 2021 and primarily consisted of principal payments, net of proceeds, on long-term debt (including the redemption of $400 million of 4.75% Notes due December 2022 and $600 million of 5.00% Notes due April 2024) of $30.5 million, taxes paid in lieu of shares issued for equity-based compensation of $32.3 million, distributions to noncontrolling interests of $2.5 million, and payments on finance leases of $1.1 million, partially offset by proceeds from the exercise of stock options of $9.8 million and contributions from noncontrolling interests of $2.7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March 31, 2022, our contractual obligations not reflected on the condensed consolidated balance sheet decreased $53.3 million, as compared to December 31, 2021, to $1,010.1 million. The decrease primarily relates to payments for program rights.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Debt of AMC Networks as of March 31, 2022 included $400.0 million of 5.00% Notes due April 2024, $800.0 million of 4.75% Notes due August 2025, and $1.0 billion of 4.25% Notes due February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left="460"/>
        <w:spacing w:after="0"/>
        <w:rPr>
          <w:sz w:val="20"/>
          <w:szCs w:val="20"/>
          <w:color w:val="auto"/>
        </w:rPr>
      </w:pPr>
      <w:r>
        <w:rPr>
          <w:rFonts w:ascii="Arial" w:cs="Arial" w:eastAsia="Arial" w:hAnsi="Arial"/>
          <w:sz w:val="18"/>
          <w:szCs w:val="18"/>
          <w:i w:val="1"/>
          <w:iCs w:val="1"/>
          <w:color w:val="auto"/>
        </w:rPr>
        <w:t>Summarized Financial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6"/>
          </w:tcPr>
          <w:p>
            <w:pPr>
              <w:jc w:val="center"/>
              <w:ind w:right="131"/>
              <w:spacing w:after="0"/>
              <w:rPr>
                <w:sz w:val="20"/>
                <w:szCs w:val="20"/>
                <w:color w:val="auto"/>
              </w:rPr>
            </w:pPr>
            <w:r>
              <w:rPr>
                <w:rFonts w:ascii="Arial" w:cs="Arial" w:eastAsia="Arial" w:hAnsi="Arial"/>
                <w:sz w:val="16"/>
                <w:szCs w:val="16"/>
                <w:b w:val="1"/>
                <w:bCs w:val="1"/>
                <w:color w:val="auto"/>
                <w:w w:val="93"/>
              </w:rPr>
              <w:t>Three Months Ended March 31, 2022</w:t>
            </w:r>
          </w:p>
        </w:tc>
        <w:tc>
          <w:tcPr>
            <w:tcW w:w="10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399"/>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6"/>
                <w:szCs w:val="16"/>
                <w:b w:val="1"/>
                <w:bCs w:val="1"/>
                <w:color w:val="auto"/>
              </w:rPr>
              <w:t>Guarantor Subsidiaries</w:t>
            </w:r>
          </w:p>
        </w:tc>
        <w:tc>
          <w:tcPr>
            <w:tcW w:w="24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24"/>
                <w:szCs w:val="24"/>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481,516</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362,605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316,637</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152,998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141,667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174,080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108,267</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167,422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165,212</w:t>
            </w:r>
          </w:p>
        </w:tc>
        <w:tc>
          <w:tcPr>
            <w:tcW w:w="0" w:type="dxa"/>
            <w:vAlign w:val="bottom"/>
          </w:tcPr>
          <w:p>
            <w:pPr>
              <w:spacing w:after="0"/>
              <w:rPr>
                <w:sz w:val="1"/>
                <w:szCs w:val="1"/>
                <w:color w:val="auto"/>
              </w:rPr>
            </w:pPr>
          </w:p>
        </w:tc>
      </w:tr>
      <w:tr>
        <w:trPr>
          <w:trHeight w:val="81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Balance Sheet</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6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3"/>
              </w:rPr>
              <w:t>March 31, 2022</w:t>
            </w:r>
          </w:p>
        </w:tc>
        <w:tc>
          <w:tcPr>
            <w:tcW w:w="240" w:type="dxa"/>
            <w:vAlign w:val="bottom"/>
          </w:tcPr>
          <w:p>
            <w:pPr>
              <w:spacing w:after="0"/>
              <w:rPr>
                <w:sz w:val="24"/>
                <w:szCs w:val="24"/>
                <w:color w:val="auto"/>
              </w:rPr>
            </w:pPr>
          </w:p>
        </w:tc>
        <w:tc>
          <w:tcPr>
            <w:tcW w:w="3720" w:type="dxa"/>
            <w:vAlign w:val="bottom"/>
            <w:gridSpan w:val="4"/>
          </w:tcPr>
          <w:p>
            <w:pPr>
              <w:jc w:val="right"/>
              <w:ind w:right="123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14,812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1,242,724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4,109,433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3,732,605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4,010,028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3,633,383</w:t>
            </w: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110,211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728,881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671,041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3,078,422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3,067,962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2021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significant accounting policies since December 31, 2021.</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discuss our critical accounting estimates in Item 7, "Management's Discussion and Analysis of Financial Condition and Results of Operations," in our 2021 Form 10-K. There have been no significant changes in our critical accounting estimates since December 31, 2021.</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March 31, 2022, the carrying value of our fixed rate debt of $2.18 billion was more than its fair value of $2.11 billion by approximately $68.6 million. The fair value of these financial instruments is estimated based on reference to quoted market prices for these or comparable securities. A hypothetical 100 basis point decrease in interest rates prevailing at March 31, 2022 would increase the estimated fair value of our fixed rate debt by approximately $87.2 million to approximately $2.19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 As of March 31, 2022, we did not have any interest rate swap contracts outstanding.</w:t>
      </w:r>
    </w:p>
    <w:p>
      <w:pPr>
        <w:spacing w:after="0" w:line="8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2022, we had $2.8 billion of debt outstanding (excluding finance leases), of which $0.7 billion is outstanding under our loan facility and is subject to variable interest rates. A hypothetical 100 basis point increase in interest rates prevailing at March 31, 2022 would increase our annual interest expense by approximately $6.7 million. The interest rate paid on approximately 77% of our debt (excluding finance leases) as of March 31, 2022 is fixed.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$0.1 million loss for the three months ended March 31, 2022 and a $9.5 million gain for the three months ended March 31, 2021 related to foreign currency transactions. Such amounts are included in miscellaneous, net in the condensed consolidated statements of income.</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2022,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March 31, 2022,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15, Commitments and Contingencies to the condensed consolidated financial statements included in this Quarterly Report on Form 10-Q for a description of our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the three months ended March 31, 2022, the Company did not repurchase any of its Class A common stock. As of March 31, 2022, the Company had $135.3 million of authorization remaining for repurchase under the Stock Repurchase Program.</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Index to Exhibits.</w:t>
      </w:r>
    </w:p>
    <w:p>
      <w:pPr>
        <w:spacing w:after="0" w:line="158" w:lineRule="exact"/>
        <w:rPr>
          <w:sz w:val="20"/>
          <w:szCs w:val="20"/>
          <w:color w:val="auto"/>
        </w:rPr>
      </w:pPr>
    </w:p>
    <w:p>
      <w:pPr>
        <w:ind w:left="1020" w:hanging="913"/>
        <w:spacing w:after="0"/>
        <w:tabs>
          <w:tab w:leader="none" w:pos="1020" w:val="left"/>
        </w:tabs>
        <w:numPr>
          <w:ilvl w:val="0"/>
          <w:numId w:val="13"/>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Guarantor Subsidiaries of the Registrant</w:t>
        </w:r>
      </w:hyperlink>
    </w:p>
    <w:p>
      <w:pPr>
        <w:spacing w:after="0" w:line="5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Chief Executive Officer pursuant to Section 302 of the Sarbanes-Oxley Act of 2002.</w:t>
              </w:r>
            </w:hyperlink>
          </w:p>
        </w:tc>
      </w:tr>
      <w:tr>
        <w:trPr>
          <w:trHeight w:val="263"/>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72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Certification of Chief Financial Officer pursuant to Section 302 of the Sarbanes-Oxley Act of 2002.</w:t>
              </w:r>
            </w:hyperlink>
          </w:p>
        </w:tc>
      </w:tr>
      <w:tr>
        <w:trPr>
          <w:trHeight w:val="20"/>
        </w:trPr>
        <w:tc>
          <w:tcPr>
            <w:tcW w:w="92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0" w:right="40" w:hanging="913"/>
        <w:spacing w:after="0" w:line="235" w:lineRule="auto"/>
        <w:tabs>
          <w:tab w:leader="none" w:pos="1020" w:val="left"/>
        </w:tabs>
        <w:numPr>
          <w:ilvl w:val="0"/>
          <w:numId w:val="14"/>
        </w:numPr>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Section 1350.</w:t>
        </w:r>
      </w:hyperlink>
    </w:p>
    <w:p>
      <w:pPr>
        <w:spacing w:after="0" w:line="23" w:lineRule="exact"/>
        <w:rPr>
          <w:rFonts w:ascii="Arial" w:cs="Arial" w:eastAsia="Arial" w:hAnsi="Arial"/>
          <w:sz w:val="18"/>
          <w:szCs w:val="18"/>
          <w:color w:val="auto"/>
        </w:rPr>
      </w:pPr>
    </w:p>
    <w:tbl>
      <w:tblPr>
        <w:tblLayout w:type="fixed"/>
        <w:tblInd w:w="10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12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00" w:type="dxa"/>
            <w:vAlign w:val="bottom"/>
          </w:tcPr>
          <w:p>
            <w:pPr>
              <w:spacing w:after="0"/>
              <w:rPr>
                <w:sz w:val="20"/>
                <w:szCs w:val="20"/>
                <w:color w:val="auto"/>
              </w:rPr>
            </w:pPr>
          </w:p>
        </w:tc>
        <w:tc>
          <w:tcPr>
            <w:tcW w:w="10200" w:type="dxa"/>
            <w:vAlign w:val="bottom"/>
          </w:tcPr>
          <w:p>
            <w:pPr>
              <w:ind w:left="120"/>
              <w:spacing w:after="0"/>
              <w:rPr>
                <w:sz w:val="20"/>
                <w:szCs w:val="20"/>
                <w:color w:val="auto"/>
              </w:rPr>
            </w:pPr>
            <w:r>
              <w:rPr>
                <w:rFonts w:ascii="Arial" w:cs="Arial" w:eastAsia="Arial" w:hAnsi="Arial"/>
                <w:sz w:val="18"/>
                <w:szCs w:val="18"/>
                <w:color w:val="auto"/>
              </w:rPr>
              <w:t>Inline XBRL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rFonts w:ascii="Arial" w:cs="Arial" w:eastAsia="Arial" w:hAnsi="Arial"/>
          <w:sz w:val="18"/>
          <w:szCs w:val="18"/>
          <w:color w:val="auto"/>
        </w:rPr>
      </w:pPr>
    </w:p>
    <w:p>
      <w:pPr>
        <w:ind w:left="1020" w:hanging="91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AMC Networks Inc.</w:t>
            </w:r>
          </w:p>
        </w:tc>
      </w:tr>
      <w:tr>
        <w:trPr>
          <w:trHeight w:val="378"/>
        </w:trPr>
        <w:tc>
          <w:tcPr>
            <w:tcW w:w="3320" w:type="dxa"/>
            <w:vAlign w:val="bottom"/>
          </w:tcPr>
          <w:p>
            <w:pPr>
              <w:spacing w:after="0"/>
              <w:rPr>
                <w:sz w:val="20"/>
                <w:szCs w:val="20"/>
                <w:color w:val="auto"/>
              </w:rPr>
            </w:pPr>
            <w:r>
              <w:rPr>
                <w:rFonts w:ascii="Arial" w:cs="Arial" w:eastAsia="Arial" w:hAnsi="Arial"/>
                <w:sz w:val="18"/>
                <w:szCs w:val="18"/>
                <w:color w:val="auto"/>
              </w:rPr>
              <w:t>Date: May 5, 2022</w:t>
            </w:r>
          </w:p>
        </w:tc>
        <w:tc>
          <w:tcPr>
            <w:tcW w:w="7700" w:type="dxa"/>
            <w:vAlign w:val="bottom"/>
            <w:gridSpan w:val="2"/>
          </w:tcPr>
          <w:p>
            <w:pPr>
              <w:ind w:left="1980"/>
              <w:spacing w:after="0"/>
              <w:rPr>
                <w:sz w:val="20"/>
                <w:szCs w:val="20"/>
                <w:color w:val="auto"/>
              </w:rPr>
            </w:pPr>
            <w:r>
              <w:rPr>
                <w:rFonts w:ascii="Arial" w:cs="Arial" w:eastAsia="Arial" w:hAnsi="Arial"/>
                <w:sz w:val="18"/>
                <w:szCs w:val="18"/>
                <w:color w:val="auto"/>
              </w:rPr>
              <w:t>By: /s/ Christina Spade</w:t>
            </w:r>
          </w:p>
        </w:tc>
      </w:tr>
      <w:tr>
        <w:trPr>
          <w:trHeight w:val="222"/>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Christina Spade</w:t>
            </w:r>
          </w:p>
        </w:tc>
      </w:tr>
      <w:tr>
        <w:trPr>
          <w:trHeight w:val="230"/>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r>
      <w:tr>
        <w:trPr>
          <w:trHeight w:val="486"/>
        </w:trPr>
        <w:tc>
          <w:tcPr>
            <w:tcW w:w="3320" w:type="dxa"/>
            <w:vAlign w:val="bottom"/>
          </w:tcPr>
          <w:p>
            <w:pPr>
              <w:spacing w:after="0"/>
              <w:rPr>
                <w:sz w:val="20"/>
                <w:szCs w:val="20"/>
                <w:color w:val="auto"/>
              </w:rPr>
            </w:pPr>
            <w:r>
              <w:rPr>
                <w:rFonts w:ascii="Arial" w:cs="Arial" w:eastAsia="Arial" w:hAnsi="Arial"/>
                <w:sz w:val="18"/>
                <w:szCs w:val="18"/>
                <w:color w:val="auto"/>
              </w:rPr>
              <w:t>Date: May 5, 2022</w:t>
            </w:r>
          </w:p>
        </w:tc>
        <w:tc>
          <w:tcPr>
            <w:tcW w:w="7700" w:type="dxa"/>
            <w:vAlign w:val="bottom"/>
            <w:gridSpan w:val="2"/>
          </w:tcPr>
          <w:p>
            <w:pPr>
              <w:ind w:left="1980"/>
              <w:spacing w:after="0"/>
              <w:rPr>
                <w:sz w:val="20"/>
                <w:szCs w:val="20"/>
                <w:color w:val="auto"/>
              </w:rPr>
            </w:pPr>
            <w:r>
              <w:rPr>
                <w:rFonts w:ascii="Arial" w:cs="Arial" w:eastAsia="Arial" w:hAnsi="Arial"/>
                <w:sz w:val="18"/>
                <w:szCs w:val="18"/>
                <w:color w:val="auto"/>
              </w:rPr>
              <w:t>By: /s/ Michael J. Sherin III</w:t>
            </w:r>
          </w:p>
        </w:tc>
      </w:tr>
      <w:tr>
        <w:trPr>
          <w:trHeight w:val="222"/>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J. Sherin III</w:t>
            </w:r>
          </w:p>
        </w:tc>
      </w:tr>
      <w:tr>
        <w:trPr>
          <w:trHeight w:val="230"/>
        </w:trPr>
        <w:tc>
          <w:tcPr>
            <w:tcW w:w="3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Executive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93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Arial" w:cs="Arial" w:eastAsia="Arial" w:hAnsi="Arial"/>
                <w:sz w:val="18"/>
                <w:szCs w:val="18"/>
                <w:color w:val="auto"/>
                <w:w w:val="93"/>
              </w:rPr>
              <w:t>Exhibit 22</w:t>
            </w:r>
          </w:p>
        </w:tc>
      </w:tr>
      <w:tr>
        <w:trPr>
          <w:trHeight w:val="810"/>
        </w:trPr>
        <w:tc>
          <w:tcPr>
            <w:tcW w:w="922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Arial" w:cs="Arial" w:eastAsia="Arial" w:hAnsi="Arial"/>
                <w:sz w:val="18"/>
                <w:szCs w:val="18"/>
                <w:color w:val="auto"/>
                <w:w w:val="95"/>
              </w:rPr>
              <w:t>As of March 31, 2022, the following subsidiaries of AMC Networks Inc. guarantee the notes issued by AMC Networks Inc.</w:t>
            </w:r>
          </w:p>
        </w:tc>
        <w:tc>
          <w:tcPr>
            <w:tcW w:w="2020" w:type="dxa"/>
            <w:vAlign w:val="bottom"/>
          </w:tcPr>
          <w:p>
            <w:pPr>
              <w:spacing w:after="0"/>
              <w:rPr>
                <w:sz w:val="23"/>
                <w:szCs w:val="23"/>
                <w:color w:val="auto"/>
              </w:rPr>
            </w:pPr>
          </w:p>
        </w:tc>
      </w:tr>
      <w:tr>
        <w:trPr>
          <w:trHeight w:val="240"/>
        </w:trPr>
        <w:tc>
          <w:tcPr>
            <w:tcW w:w="910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Aesir Media Group, LLC</w:t>
            </w:r>
          </w:p>
        </w:tc>
        <w:tc>
          <w:tcPr>
            <w:tcW w:w="2020" w:type="dxa"/>
            <w:vAlign w:val="bottom"/>
          </w:tcPr>
          <w:p>
            <w:pPr>
              <w:ind w:left="20"/>
              <w:spacing w:after="0"/>
              <w:rPr>
                <w:sz w:val="20"/>
                <w:szCs w:val="20"/>
                <w:color w:val="auto"/>
              </w:rPr>
            </w:pPr>
            <w:r>
              <w:rPr>
                <w:rFonts w:ascii="Arial" w:cs="Arial" w:eastAsia="Arial" w:hAnsi="Arial"/>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Games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 Entertainment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2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Networks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Plus Holdings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 Premiere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 TV Studios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AMCN Properties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Animal Control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Anime Network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Anthem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Badlands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Cobalt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Crossed Pens Development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Dark Winds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Digital Store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Dispatches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Expedition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 Families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Five Moons Productions 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Geese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Ground Work Productions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2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HIDIVE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Entertainment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Films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Television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Theatres Concessions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Theatres,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IFC TV Studios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IFC TV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Infinite Frontiers,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Japan Creative Contents Alliance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Kindred Spirit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Kopus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Kopus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Lodge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Lodge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Making Waves Studio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Mechanical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Monument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Moonhaven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Newfound Lake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NOS4A2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Rhode Island</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Peach Pit Properties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Premier Quills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Rainbow Media Enterprises, Inc.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AMC Plus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III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Rectify Productions IV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Rectify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 Monday Programming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RNC Holding Corporation</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RNC II Holding Corporation</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Roughhouse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Selects VOD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Sentai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Sentai Filmworks,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Texas</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Shudder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Borders>
              <w:bottom w:val="single" w:sz="8" w:color="auto"/>
            </w:tcBorders>
          </w:tcPr>
          <w:p>
            <w:pPr>
              <w:ind w:left="4180"/>
              <w:spacing w:after="0"/>
              <w:rPr>
                <w:sz w:val="20"/>
                <w:szCs w:val="20"/>
                <w:color w:val="auto"/>
              </w:rPr>
            </w:pPr>
            <w:r>
              <w:rPr>
                <w:rFonts w:ascii="Arial" w:cs="Arial" w:eastAsia="Arial" w:hAnsi="Arial"/>
                <w:sz w:val="16"/>
                <w:szCs w:val="16"/>
                <w:b w:val="1"/>
                <w:bCs w:val="1"/>
                <w:color w:val="auto"/>
              </w:rPr>
              <w:t>Guarantor</w:t>
            </w:r>
          </w:p>
        </w:tc>
        <w:tc>
          <w:tcPr>
            <w:tcW w:w="4160" w:type="dxa"/>
            <w:vAlign w:val="bottom"/>
            <w:tcBorders>
              <w:bottom w:val="single" w:sz="8" w:color="auto"/>
            </w:tcBorders>
          </w:tcPr>
          <w:p>
            <w:pPr>
              <w:ind w:left="2260"/>
              <w:spacing w:after="0"/>
              <w:rPr>
                <w:sz w:val="20"/>
                <w:szCs w:val="20"/>
                <w:color w:val="auto"/>
              </w:rPr>
            </w:pPr>
            <w:r>
              <w:rPr>
                <w:rFonts w:ascii="Arial" w:cs="Arial" w:eastAsia="Arial" w:hAnsi="Arial"/>
                <w:sz w:val="16"/>
                <w:szCs w:val="16"/>
                <w:b w:val="1"/>
                <w:bCs w:val="1"/>
                <w:color w:val="auto"/>
                <w:w w:val="97"/>
              </w:rPr>
              <w:t>Jurisdiction of Formation</w:t>
            </w:r>
          </w:p>
        </w:tc>
      </w:tr>
      <w:tr>
        <w:trPr>
          <w:trHeight w:val="21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Stalwart Productions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Stan Productions 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Sundance Film Holdings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Sxion 23,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Tales Productions 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IV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VII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TWD Productions X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Unio Mystica Holding, LLC</w:t>
            </w:r>
          </w:p>
        </w:tc>
        <w:tc>
          <w:tcPr>
            <w:tcW w:w="4160" w:type="dxa"/>
            <w:vAlign w:val="bottom"/>
          </w:tcPr>
          <w:p>
            <w:pPr>
              <w:ind w:left="2160"/>
              <w:spacing w:after="0"/>
              <w:rPr>
                <w:sz w:val="20"/>
                <w:szCs w:val="20"/>
                <w:color w:val="auto"/>
              </w:rPr>
            </w:pPr>
            <w:r>
              <w:rPr>
                <w:rFonts w:ascii="Arial" w:cs="Arial" w:eastAsia="Arial" w:hAnsi="Arial"/>
                <w:sz w:val="16"/>
                <w:szCs w:val="16"/>
                <w:color w:val="auto"/>
              </w:rPr>
              <w:t>Texas</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Universe Productions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Vampire Chronicles Productions I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Asia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 tv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4160" w:type="dxa"/>
            <w:vAlign w:val="bottom"/>
            <w:shd w:val="clear" w:color="auto" w:fill="CCEEFF"/>
          </w:tcPr>
          <w:p>
            <w:pPr>
              <w:ind w:left="2160"/>
              <w:spacing w:after="0"/>
              <w:rPr>
                <w:sz w:val="20"/>
                <w:szCs w:val="20"/>
                <w:color w:val="auto"/>
              </w:rPr>
            </w:pPr>
            <w:r>
              <w:rPr>
                <w:rFonts w:ascii="Arial" w:cs="Arial" w:eastAsia="Arial" w:hAnsi="Arial"/>
                <w:sz w:val="16"/>
                <w:szCs w:val="16"/>
                <w:color w:val="auto"/>
              </w:rPr>
              <w:t>Delaware</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Woodbury Studios LLC</w:t>
            </w:r>
          </w:p>
        </w:tc>
        <w:tc>
          <w:tcPr>
            <w:tcW w:w="4160" w:type="dxa"/>
            <w:vAlign w:val="bottom"/>
          </w:tcPr>
          <w:p>
            <w:pPr>
              <w:ind w:left="216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6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Matthew Blank, certify that:</w:t>
      </w:r>
    </w:p>
    <w:p>
      <w:pPr>
        <w:spacing w:after="0" w:line="171" w:lineRule="exact"/>
        <w:rPr>
          <w:sz w:val="20"/>
          <w:szCs w:val="20"/>
          <w:color w:val="auto"/>
        </w:rPr>
      </w:pPr>
    </w:p>
    <w:p>
      <w:pPr>
        <w:ind w:left="260" w:hanging="17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left="80" w:firstLine="8"/>
        <w:spacing w:after="0" w:line="342" w:lineRule="auto"/>
        <w:tabs>
          <w:tab w:leader="none" w:pos="2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80" w:firstLine="8"/>
        <w:spacing w:after="0" w:line="277" w:lineRule="auto"/>
        <w:tabs>
          <w:tab w:leader="none" w:pos="2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80" w:firstLine="8"/>
        <w:spacing w:after="0" w:line="263" w:lineRule="auto"/>
        <w:tabs>
          <w:tab w:leader="none" w:pos="2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00" w:hanging="164"/>
        <w:spacing w:after="0" w:line="263"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00" w:hanging="164"/>
        <w:spacing w:after="0" w:line="263" w:lineRule="auto"/>
        <w:tabs>
          <w:tab w:leader="none" w:pos="9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00" w:hanging="164"/>
        <w:spacing w:after="0" w:line="308" w:lineRule="auto"/>
        <w:tabs>
          <w:tab w:leader="none" w:pos="95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00" w:hanging="164"/>
        <w:spacing w:after="0" w:line="263" w:lineRule="auto"/>
        <w:tabs>
          <w:tab w:leader="none" w:pos="9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80" w:firstLine="8"/>
        <w:spacing w:after="0" w:line="308" w:lineRule="auto"/>
        <w:tabs>
          <w:tab w:leader="none" w:pos="27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164"/>
        <w:spacing w:after="0" w:line="277"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00" w:hanging="164"/>
        <w:spacing w:after="0" w:line="277"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80" w:val="left"/>
          <w:tab w:leader="none" w:pos="6220" w:val="left"/>
        </w:tabs>
        <w:rPr>
          <w:sz w:val="20"/>
          <w:szCs w:val="20"/>
          <w:color w:val="auto"/>
        </w:rPr>
      </w:pPr>
      <w:r>
        <w:rPr>
          <w:rFonts w:ascii="Arial" w:cs="Arial" w:eastAsia="Arial" w:hAnsi="Arial"/>
          <w:sz w:val="18"/>
          <w:szCs w:val="18"/>
          <w:color w:val="auto"/>
        </w:rPr>
        <w:t>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14605</wp:posOffset>
            </wp:positionV>
            <wp:extent cx="21945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Matthew Blank</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320"/>
          </w:cols>
          <w:pgMar w:left="24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I, Christina Spade, certify that:</w:t>
      </w:r>
    </w:p>
    <w:p>
      <w:pPr>
        <w:spacing w:after="0" w:line="171" w:lineRule="exact"/>
        <w:rPr>
          <w:sz w:val="20"/>
          <w:szCs w:val="20"/>
          <w:color w:val="auto"/>
        </w:rPr>
      </w:pPr>
    </w:p>
    <w:p>
      <w:pPr>
        <w:ind w:left="260" w:hanging="17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AMC Networks Inc.;</w:t>
      </w:r>
    </w:p>
    <w:p>
      <w:pPr>
        <w:spacing w:after="0" w:line="171" w:lineRule="exact"/>
        <w:rPr>
          <w:rFonts w:ascii="Arial" w:cs="Arial" w:eastAsia="Arial" w:hAnsi="Arial"/>
          <w:sz w:val="18"/>
          <w:szCs w:val="18"/>
          <w:color w:val="auto"/>
        </w:rPr>
      </w:pPr>
    </w:p>
    <w:p>
      <w:pPr>
        <w:ind w:left="80" w:firstLine="8"/>
        <w:spacing w:after="0" w:line="342" w:lineRule="auto"/>
        <w:tabs>
          <w:tab w:leader="none" w:pos="2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80" w:firstLine="8"/>
        <w:spacing w:after="0" w:line="277" w:lineRule="auto"/>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80" w:firstLine="8"/>
        <w:spacing w:after="0" w:line="263" w:lineRule="auto"/>
        <w:tabs>
          <w:tab w:leader="none" w:pos="2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900" w:hanging="164"/>
        <w:spacing w:after="0" w:line="263"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00" w:hanging="164"/>
        <w:spacing w:after="0" w:line="263" w:lineRule="auto"/>
        <w:tabs>
          <w:tab w:leader="none" w:pos="9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00" w:hanging="164"/>
        <w:spacing w:after="0" w:line="308" w:lineRule="auto"/>
        <w:tabs>
          <w:tab w:leader="none" w:pos="958"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900" w:hanging="164"/>
        <w:spacing w:after="0" w:line="263" w:lineRule="auto"/>
        <w:tabs>
          <w:tab w:leader="none" w:pos="9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80" w:firstLine="8"/>
        <w:spacing w:after="0" w:line="308" w:lineRule="auto"/>
        <w:tabs>
          <w:tab w:leader="none" w:pos="2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164"/>
        <w:spacing w:after="0" w:line="277"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00" w:hanging="164"/>
        <w:spacing w:after="0" w:line="277"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80" w:val="left"/>
          <w:tab w:leader="none" w:pos="6220" w:val="left"/>
        </w:tabs>
        <w:rPr>
          <w:sz w:val="20"/>
          <w:szCs w:val="20"/>
          <w:color w:val="auto"/>
        </w:rPr>
      </w:pPr>
      <w:r>
        <w:rPr>
          <w:rFonts w:ascii="Arial" w:cs="Arial" w:eastAsia="Arial" w:hAnsi="Arial"/>
          <w:sz w:val="18"/>
          <w:szCs w:val="18"/>
          <w:color w:val="auto"/>
        </w:rPr>
        <w:t>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4462145</wp:posOffset>
            </wp:positionH>
            <wp:positionV relativeFrom="paragraph">
              <wp:posOffset>14605</wp:posOffset>
            </wp:positionV>
            <wp:extent cx="21945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Christina Spade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Operating Officer and Chief Financial Officer</w:t>
      </w:r>
    </w:p>
    <w:p>
      <w:pPr>
        <w:sectPr>
          <w:pgSz w:w="11900" w:h="16838" w:orient="portrait"/>
          <w:cols w:equalWidth="0" w:num="1">
            <w:col w:w="11320"/>
          </w:cols>
          <w:pgMar w:left="24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March 31, 2022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100"/>
              <w:spacing w:after="0"/>
              <w:rPr>
                <w:sz w:val="20"/>
                <w:szCs w:val="20"/>
                <w:color w:val="auto"/>
              </w:rPr>
            </w:pPr>
            <w:r>
              <w:rPr>
                <w:rFonts w:ascii="Arial" w:cs="Arial" w:eastAsia="Arial" w:hAnsi="Arial"/>
                <w:sz w:val="18"/>
                <w:szCs w:val="18"/>
                <w:color w:val="auto"/>
              </w:rPr>
              <w:t>May 5, 2022</w:t>
            </w:r>
          </w:p>
        </w:tc>
        <w:tc>
          <w:tcPr>
            <w:tcW w:w="3180" w:type="dxa"/>
            <w:vAlign w:val="bottom"/>
          </w:tcPr>
          <w:p>
            <w:pPr>
              <w:ind w:left="27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Blank</w:t>
            </w:r>
          </w:p>
        </w:tc>
        <w:tc>
          <w:tcPr>
            <w:tcW w:w="20" w:type="dxa"/>
            <w:vAlign w:val="bottom"/>
          </w:tcPr>
          <w:p>
            <w:pPr>
              <w:spacing w:after="0"/>
              <w:rPr>
                <w:sz w:val="20"/>
                <w:szCs w:val="20"/>
                <w:color w:val="auto"/>
              </w:rPr>
            </w:pPr>
          </w:p>
        </w:tc>
      </w:tr>
      <w:tr>
        <w:trPr>
          <w:trHeight w:val="222"/>
        </w:trPr>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Matthew Blank</w:t>
            </w:r>
          </w:p>
        </w:tc>
        <w:tc>
          <w:tcPr>
            <w:tcW w:w="2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Interim 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120"/>
              <w:spacing w:after="0"/>
              <w:rPr>
                <w:sz w:val="20"/>
                <w:szCs w:val="20"/>
                <w:color w:val="auto"/>
              </w:rPr>
            </w:pPr>
            <w:r>
              <w:rPr>
                <w:rFonts w:ascii="Arial" w:cs="Arial" w:eastAsia="Arial" w:hAnsi="Arial"/>
                <w:sz w:val="18"/>
                <w:szCs w:val="18"/>
                <w:color w:val="auto"/>
              </w:rPr>
              <w:t>May 5, 2022</w:t>
            </w:r>
          </w:p>
        </w:tc>
        <w:tc>
          <w:tcPr>
            <w:tcW w:w="3180" w:type="dxa"/>
            <w:vAlign w:val="bottom"/>
          </w:tcPr>
          <w:p>
            <w:pPr>
              <w:ind w:left="27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Christina Spade</w:t>
            </w:r>
          </w:p>
        </w:tc>
        <w:tc>
          <w:tcPr>
            <w:tcW w:w="20" w:type="dxa"/>
            <w:vAlign w:val="bottom"/>
            <w:tcBorders>
              <w:bottom w:val="single" w:sz="8" w:color="auto"/>
            </w:tcBorders>
          </w:tcPr>
          <w:p>
            <w:pPr>
              <w:spacing w:after="0"/>
              <w:rPr>
                <w:sz w:val="24"/>
                <w:szCs w:val="24"/>
                <w:color w:val="auto"/>
              </w:rPr>
            </w:pPr>
          </w:p>
        </w:tc>
      </w:tr>
      <w:tr>
        <w:trPr>
          <w:trHeight w:val="224"/>
        </w:trPr>
        <w:tc>
          <w:tcPr>
            <w:tcW w:w="5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Christina Spade</w:t>
            </w:r>
          </w:p>
        </w:tc>
        <w:tc>
          <w:tcPr>
            <w:tcW w:w="20" w:type="dxa"/>
            <w:vAlign w:val="bottom"/>
          </w:tcPr>
          <w:p>
            <w:pPr>
              <w:spacing w:after="0"/>
              <w:rPr>
                <w:sz w:val="19"/>
                <w:szCs w:val="19"/>
                <w:color w:val="auto"/>
              </w:rPr>
            </w:pPr>
          </w:p>
        </w:tc>
      </w:tr>
    </w:tbl>
    <w:p>
      <w:pPr>
        <w:ind w:left="7500"/>
        <w:spacing w:after="0" w:line="220" w:lineRule="auto"/>
        <w:rPr>
          <w:sz w:val="20"/>
          <w:szCs w:val="20"/>
          <w:color w:val="auto"/>
        </w:rPr>
      </w:pPr>
      <w:r>
        <w:rPr>
          <w:rFonts w:ascii="Arial" w:cs="Arial" w:eastAsia="Arial" w:hAnsi="Arial"/>
          <w:sz w:val="18"/>
          <w:szCs w:val="18"/>
          <w:color w:val="auto"/>
        </w:rPr>
        <w:t>Chief Operating Officer and Chief Financial</w:t>
      </w:r>
    </w:p>
    <w:p>
      <w:pPr>
        <w:ind w:left="75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22"/>
    </w:lvl>
  </w:abstractNum>
  <w:abstractNum w:abstractNumId="13">
    <w:nsid w:val="41A7C4C9"/>
    <w:multiLevelType w:val="hybridMultilevel"/>
    <w:lvl w:ilvl="0">
      <w:lvlJc w:val="left"/>
      <w:lvlText w:val="%1"/>
      <w:numFmt w:val="decimal"/>
      <w:start w:val="32"/>
    </w:lvl>
  </w:abstractNum>
  <w:abstractNum w:abstractNumId="14">
    <w:nsid w:val="6B68079A"/>
    <w:multiLevelType w:val="hybridMultilevel"/>
    <w:lvl w:ilvl="0">
      <w:lvlJc w:val="left"/>
      <w:lvlText w:val="%1"/>
      <w:numFmt w:val="decimal"/>
      <w:start w:val="104"/>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2022-05-05T15:41:29Z</dcterms:created>
  <dcterms:modified xsi:type="dcterms:W3CDTF">2022-05-05T15:41:29Z</dcterms:modified>
</cp:coreProperties>
</file>