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91440</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56515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2" w:lineRule="exact"/>
        <w:rPr>
          <w:sz w:val="24"/>
          <w:szCs w:val="24"/>
          <w:color w:val="auto"/>
        </w:rPr>
      </w:pPr>
    </w:p>
    <w:p>
      <w:pPr>
        <w:ind w:left="2640" w:hanging="1410"/>
        <w:spacing w:after="0"/>
        <w:tabs>
          <w:tab w:leader="none" w:pos="2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5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2520" w:hanging="1290"/>
        <w:spacing w:after="0"/>
        <w:tabs>
          <w:tab w:leader="none" w:pos="2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8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97155</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182880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AMC Networks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52070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1460" w:type="dxa"/>
            <w:vAlign w:val="bottom"/>
          </w:tcPr>
          <w:p>
            <w:pPr>
              <w:spacing w:after="0"/>
              <w:rPr>
                <w:sz w:val="12"/>
                <w:szCs w:val="12"/>
                <w:color w:val="auto"/>
              </w:rPr>
            </w:pPr>
          </w:p>
        </w:tc>
        <w:tc>
          <w:tcPr>
            <w:tcW w:w="2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6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8"/>
        </w:trPr>
        <w:tc>
          <w:tcPr>
            <w:tcW w:w="1460" w:type="dxa"/>
            <w:vAlign w:val="bottom"/>
          </w:tcPr>
          <w:p>
            <w:pPr>
              <w:spacing w:after="0"/>
              <w:rPr>
                <w:sz w:val="24"/>
                <w:szCs w:val="24"/>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8"/>
                <w:szCs w:val="18"/>
                <w:b w:val="1"/>
                <w:bCs w:val="1"/>
                <w:color w:val="auto"/>
                <w:w w:val="98"/>
              </w:rPr>
              <w:t>11 Penn Plaza, New York, NY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1460" w:type="dxa"/>
            <w:vAlign w:val="bottom"/>
          </w:tcPr>
          <w:p>
            <w:pPr>
              <w:spacing w:after="0"/>
              <w:rPr>
                <w:sz w:val="16"/>
                <w:szCs w:val="16"/>
                <w:color w:val="auto"/>
              </w:rPr>
            </w:pPr>
          </w:p>
        </w:tc>
        <w:tc>
          <w:tcPr>
            <w:tcW w:w="2500" w:type="dxa"/>
            <w:vAlign w:val="bottom"/>
            <w:gridSpan w:val="3"/>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20"/>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3"/>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0"/>
        </w:trPr>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486"/>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6"/>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3"/>
        </w:trPr>
        <w:tc>
          <w:tcPr>
            <w:tcW w:w="1460" w:type="dxa"/>
            <w:vAlign w:val="bottom"/>
          </w:tcPr>
          <w:p>
            <w:pPr>
              <w:spacing w:after="0"/>
              <w:rPr>
                <w:sz w:val="22"/>
                <w:szCs w:val="22"/>
                <w:color w:val="auto"/>
              </w:rPr>
            </w:pPr>
          </w:p>
        </w:tc>
        <w:tc>
          <w:tcPr>
            <w:tcW w:w="2500" w:type="dxa"/>
            <w:vAlign w:val="bottom"/>
            <w:gridSpan w:val="3"/>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Pr>
          <w:p>
            <w:pPr>
              <w:spacing w:after="0"/>
              <w:rPr>
                <w:sz w:val="22"/>
                <w:szCs w:val="22"/>
                <w:color w:val="auto"/>
              </w:rPr>
            </w:pPr>
          </w:p>
        </w:tc>
        <w:tc>
          <w:tcPr>
            <w:tcW w:w="224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60" w:type="dxa"/>
            <w:vAlign w:val="bottom"/>
            <w:gridSpan w:val="7"/>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30"/>
        </w:trPr>
        <w:tc>
          <w:tcPr>
            <w:tcW w:w="396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440" w:type="dxa"/>
            <w:vAlign w:val="bottom"/>
          </w:tcPr>
          <w:p>
            <w:pPr>
              <w:spacing w:after="0"/>
              <w:rPr>
                <w:sz w:val="20"/>
                <w:szCs w:val="20"/>
                <w:color w:val="auto"/>
              </w:rPr>
            </w:pPr>
          </w:p>
        </w:tc>
        <w:tc>
          <w:tcPr>
            <w:tcW w:w="224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color w:val="auto"/>
                <w:w w:val="99"/>
              </w:rPr>
              <w:t>AMCX</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91"/>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8"/>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5"/>
        </w:trPr>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2"/>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Pr>
          <w:p>
            <w:pPr>
              <w:spacing w:after="0"/>
              <w:rPr>
                <w:sz w:val="21"/>
                <w:szCs w:val="21"/>
                <w:color w:val="auto"/>
              </w:rPr>
            </w:pPr>
          </w:p>
        </w:tc>
      </w:tr>
      <w:tr>
        <w:trPr>
          <w:trHeight w:val="398"/>
        </w:trPr>
        <w:tc>
          <w:tcPr>
            <w:tcW w:w="76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Yes</w:t>
            </w:r>
          </w:p>
        </w:tc>
        <w:tc>
          <w:tcPr>
            <w:tcW w:w="2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880" w:type="dxa"/>
            <w:vAlign w:val="bottom"/>
            <w:gridSpan w:val="2"/>
          </w:tcPr>
          <w:p>
            <w:pPr>
              <w:jc w:val="center"/>
              <w:ind w:right="11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3"/>
        </w:trPr>
        <w:tc>
          <w:tcPr>
            <w:tcW w:w="73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Yes</w:t>
            </w:r>
          </w:p>
        </w:tc>
        <w:tc>
          <w:tcPr>
            <w:tcW w:w="3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880" w:type="dxa"/>
            <w:vAlign w:val="bottom"/>
            <w:gridSpan w:val="2"/>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25"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computed by reference to the closing price of a share of common stock on June 30, 2023 (the last business day of the registrant's most recently completed second fiscal quarter) was approximately $372 million.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The number of shares of common stock outstanding as of February 2, 2024:</w:t>
            </w:r>
          </w:p>
        </w:tc>
        <w:tc>
          <w:tcPr>
            <w:tcW w:w="3460" w:type="dxa"/>
            <w:vAlign w:val="bottom"/>
          </w:tcPr>
          <w:p>
            <w:pPr>
              <w:spacing w:after="0"/>
              <w:rPr>
                <w:sz w:val="18"/>
                <w:szCs w:val="18"/>
                <w:color w:val="auto"/>
              </w:rPr>
            </w:pPr>
          </w:p>
        </w:tc>
      </w:tr>
      <w:tr>
        <w:trPr>
          <w:trHeight w:val="33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32,077,134</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149860</wp:posOffset>
            </wp:positionV>
            <wp:extent cx="347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Certain information required in Item 10 through Item 14 of Part III of this Annual Report on Form 10-K is incorporated herein by reference to the Registrant's definitive Proxy Statement for its 2024 Annual Meeting of Stockholders, which shall be filed with the Securities and Exchange Commission pursuant to Regulation 14A of the Securities Exchange Act of 1934, as amended, within 120 days of the Registrant's fiscal year end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31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7"/>
              </w:rPr>
              <w:t>FORWARD-LOOKING STATEMENTS</w:t>
            </w:r>
          </w:p>
        </w:tc>
        <w:tc>
          <w:tcPr>
            <w:tcW w:w="7460" w:type="dxa"/>
            <w:vAlign w:val="bottom"/>
            <w:gridSpan w:val="16"/>
          </w:tcPr>
          <w:p>
            <w:pPr>
              <w:spacing w:after="0"/>
              <w:rPr>
                <w:sz w:val="15"/>
                <w:szCs w:val="15"/>
                <w:color w:val="auto"/>
              </w:rPr>
            </w:pPr>
          </w:p>
        </w:tc>
        <w:tc>
          <w:tcPr>
            <w:tcW w:w="6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194"/>
        </w:trPr>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960" w:type="dxa"/>
            <w:vAlign w:val="bottom"/>
            <w:gridSpan w:val="1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8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80" w:type="dxa"/>
            <w:vAlign w:val="bottom"/>
            <w:gridSpan w:val="2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100" w:type="dxa"/>
            <w:vAlign w:val="bottom"/>
            <w:gridSpan w:val="1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280" w:type="dxa"/>
            <w:vAlign w:val="bottom"/>
            <w:gridSpan w:val="19"/>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 About Market Risk</w:t>
            </w:r>
          </w:p>
        </w:tc>
        <w:tc>
          <w:tcPr>
            <w:tcW w:w="2160" w:type="dxa"/>
            <w:vAlign w:val="bottom"/>
            <w:tcBorders>
              <w:top w:val="single" w:sz="8" w:color="0000FF"/>
            </w:tcBorders>
            <w:gridSpan w:val="3"/>
          </w:tcPr>
          <w:p>
            <w:pPr>
              <w:spacing w:after="0"/>
              <w:rPr>
                <w:sz w:val="19"/>
                <w:szCs w:val="19"/>
                <w:color w:val="auto"/>
              </w:rPr>
            </w:pPr>
          </w:p>
        </w:tc>
        <w:tc>
          <w:tcPr>
            <w:tcW w:w="242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54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4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9C.</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58</w:t>
            </w:r>
          </w:p>
        </w:tc>
        <w:tc>
          <w:tcPr>
            <w:tcW w:w="0" w:type="dxa"/>
            <w:vAlign w:val="bottom"/>
          </w:tcPr>
          <w:p>
            <w:pPr>
              <w:spacing w:after="0"/>
              <w:rPr>
                <w:sz w:val="1"/>
                <w:szCs w:val="1"/>
                <w:color w:val="auto"/>
              </w:rPr>
            </w:pPr>
          </w:p>
        </w:tc>
      </w:tr>
      <w:tr>
        <w:trPr>
          <w:trHeight w:val="22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vMerge w:val="restart"/>
          </w:tcPr>
          <w:p>
            <w:pPr>
              <w:spacing w:after="0"/>
              <w:rPr>
                <w:sz w:val="19"/>
                <w:szCs w:val="19"/>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16"/>
                <w:szCs w:val="16"/>
                <w:color w:val="auto"/>
              </w:rPr>
            </w:pPr>
          </w:p>
        </w:tc>
        <w:tc>
          <w:tcPr>
            <w:tcW w:w="4780" w:type="dxa"/>
            <w:vAlign w:val="bottom"/>
            <w:gridSpan w:val="8"/>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4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572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and our production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our owned original programming and our film content;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and artistic talent;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strikes, including those related to the Writers, Directors, and Screen Actors guilds;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3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increases in inflation rates and recession risk;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36"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36"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1" w:lineRule="exact"/>
        <w:rPr>
          <w:rFonts w:ascii="Times New Roman" w:cs="Times New Roman" w:eastAsia="Times New Roman" w:hAnsi="Times New Roman"/>
          <w:sz w:val="18"/>
          <w:szCs w:val="18"/>
          <w:color w:val="auto"/>
        </w:rPr>
      </w:pPr>
    </w:p>
    <w:p>
      <w:pPr>
        <w:ind w:left="660" w:right="6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this Annual Report.</w:t>
      </w:r>
    </w:p>
    <w:p>
      <w:pPr>
        <w:spacing w:after="0" w:line="13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and AMC Networks Inc. became an independent public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AMC Networks is a global entertainment company known for its popular and award-winning content. We distribute our content to audiences globally on an array of distribution platforms, including linear networks, subscription streaming services and other ad-supported streaming platforms, as well as through licensing arrangements. We have an extensive library of television and film properties, including several storied franchises such as The Walking Dead Universe, the Anne Rice catalog, and the Agatha Christie library that are well-known to global audiences.</w:t>
      </w:r>
    </w:p>
    <w:p>
      <w:pPr>
        <w:spacing w:after="0" w:line="72"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have operated in the entertainment industry for more than 40 years, and over that time we have created targeted and focused video entertainment products that we own and operate and that are powered by distinguished brands, including AMC, AMC+, BBC AMERICA (which we operate through a joint venture with BBC Studios), IFC, SundanceTV, WE tv, Acorn TV, Shudder, Sundance Now, ALLBLK, HIDIVE and IFC Films. Our distinctive, critically-acclaimed content spans multiple genres, including drama, documentary, comedy, reality, anime, anthology, feature film and short form. Our content and our brands are well known and well regarded by our key constituents — our viewers and subscribers as well as distributors and advertisers. Our network, streaming and show brands have developed strong, dedicated followings within their respective targeted demographics, increasing their value</w:t>
      </w:r>
    </w:p>
    <w:p>
      <w:pPr>
        <w:spacing w:after="0" w:line="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our key constituents. Through our AMC Studios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Internationally, we deliver programming that reaches subscribers in approximately 110 countries and territories around the world. The international division of the Company, AMC Networks International ("AMCNI"), consists of our premier AMC global brand as well as a portfolio of popular, locally recognized brands delivering programming in a wide range of genres.</w:t>
      </w:r>
    </w:p>
    <w:p>
      <w:pPr>
        <w:spacing w:after="0" w:line="68"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AMC Networks also operates a film distribution business that distributes independent narrative and documentary films under three distinct film brands: IFC Films, RLJ Entertainment Films ("RLJE Films") and Shudder. The IFC Films brand in particular is known for attracting high-profile talent and distributing films that regularly garner critical acclaim and industry honors, including numerous Academy Award, Golden Globe, and Cannes Film Festival Award winning titles, and has been behind some of the most culturally impactful and successful independent film and documentary releases of all time. The film distribution business also operates IFC Films Unlimited, a subscription streaming service comprised of a broad range of theatrically-released and award winning titles from its distribution labels.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strategy is to create, showcase and curate high-quality, brand-defining content that appeals to distinct audiences as we aim to maximize the distribution, advertising and content licensing revenue of each of our branded services.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strategic areas of focus are:</w:t>
      </w:r>
    </w:p>
    <w:p>
      <w:pPr>
        <w:spacing w:after="0" w:line="1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Continued Development of High-Quality Original Content including Owned and Controlled Content and Valuable IP. </w:t>
      </w:r>
      <w:r>
        <w:rPr>
          <w:rFonts w:ascii="Times New Roman" w:cs="Times New Roman" w:eastAsia="Times New Roman" w:hAnsi="Times New Roman"/>
          <w:sz w:val="18"/>
          <w:szCs w:val="18"/>
          <w:color w:val="auto"/>
        </w:rPr>
        <w:t>We intend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strong high-quality original content across our linear networks and streaming services to optimize our distribution, advertising and content licensing revenue, further enhance our brands, strengthen our engagement with our viewers, subscribers, distributors and advertisers, and to build viewership and attract and retain subscribers for our streaming services.</w:t>
      </w:r>
    </w:p>
    <w:p>
      <w:pPr>
        <w:spacing w:after="0" w:line="7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AMC Networks’ wholly-owned or majority-controlled library includes more than 7,500 episodes and nearly 1,500 films, as well as more than 20,000 episodes of highly localized unscripted lifestyle content from our AMCNI business. In addition, we have storied titles and brands known to global audiences, such as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the Anne Rice catalog, and we own a majority interest in the Agatha Christie library.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jc w:val="both"/>
        <w:ind w:firstLine="364"/>
        <w:spacing w:after="0" w:line="258" w:lineRule="auto"/>
        <w:rPr>
          <w:sz w:val="20"/>
          <w:szCs w:val="20"/>
          <w:color w:val="auto"/>
        </w:rPr>
      </w:pPr>
      <w:r>
        <w:rPr>
          <w:rFonts w:ascii="Times New Roman" w:cs="Times New Roman" w:eastAsia="Times New Roman" w:hAnsi="Times New Roman"/>
          <w:sz w:val="18"/>
          <w:szCs w:val="18"/>
          <w:color w:val="1C1D20"/>
        </w:rPr>
        <w:t xml:space="preserve">By leveraging our library of titles and original content, we are able to enrich the content mix across all of our linear and streaming platforms.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1C1D20"/>
        </w:rPr>
        <w:t xml:space="preserve"> </w:t>
      </w:r>
      <w:r>
        <w:rPr>
          <w:rFonts w:ascii="Times New Roman" w:cs="Times New Roman" w:eastAsia="Times New Roman" w:hAnsi="Times New Roman"/>
          <w:sz w:val="18"/>
          <w:szCs w:val="18"/>
          <w:color w:val="000000"/>
        </w:rPr>
        <w:t xml:space="preserve">content licensing deals with third parties expire, hundreds of hours of our popular and acclaimed shows and films become exclusive content in our owned and controlled library, which we can then utilize across our various services or re-license to third parties, including critically acclaimed hit series, such as </w:t>
      </w:r>
      <w:r>
        <w:rPr>
          <w:rFonts w:ascii="Times New Roman" w:cs="Times New Roman" w:eastAsia="Times New Roman" w:hAnsi="Times New Roman"/>
          <w:sz w:val="18"/>
          <w:szCs w:val="18"/>
          <w:i w:val="1"/>
          <w:iCs w:val="1"/>
          <w:color w:val="000000"/>
        </w:rPr>
        <w:t>Halt and Catch Fire, Turn: Washington’s Spies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i w:val="1"/>
          <w:iCs w:val="1"/>
          <w:color w:val="000000"/>
        </w:rPr>
        <w:t xml:space="preserve"> Rectify</w:t>
      </w:r>
      <w:r>
        <w:rPr>
          <w:rFonts w:ascii="Times New Roman" w:cs="Times New Roman" w:eastAsia="Times New Roman" w:hAnsi="Times New Roman"/>
          <w:sz w:val="18"/>
          <w:szCs w:val="18"/>
          <w:color w:val="000000"/>
        </w:rPr>
        <w:t>, as well as all 11 seasons of</w:t>
      </w:r>
      <w:r>
        <w:rPr>
          <w:rFonts w:ascii="Times New Roman" w:cs="Times New Roman" w:eastAsia="Times New Roman" w:hAnsi="Times New Roman"/>
          <w:sz w:val="18"/>
          <w:szCs w:val="18"/>
          <w:i w:val="1"/>
          <w:iCs w:val="1"/>
          <w:color w:val="000000"/>
        </w:rPr>
        <w:t xml:space="preserve"> The Walking Dead </w:t>
      </w:r>
      <w:r>
        <w:rPr>
          <w:rFonts w:ascii="Times New Roman" w:cs="Times New Roman" w:eastAsia="Times New Roman" w:hAnsi="Times New Roman"/>
          <w:sz w:val="18"/>
          <w:szCs w:val="18"/>
          <w:color w:val="000000"/>
        </w:rPr>
        <w:t>and all eight seasons of</w:t>
      </w:r>
      <w:r>
        <w:rPr>
          <w:rFonts w:ascii="Times New Roman" w:cs="Times New Roman" w:eastAsia="Times New Roman" w:hAnsi="Times New Roman"/>
          <w:sz w:val="18"/>
          <w:szCs w:val="18"/>
          <w:i w:val="1"/>
          <w:iCs w:val="1"/>
          <w:color w:val="000000"/>
        </w:rPr>
        <w:t xml:space="preserve"> Fear the Walking Dead </w:t>
      </w:r>
      <w:r>
        <w:rPr>
          <w:rFonts w:ascii="Times New Roman" w:cs="Times New Roman" w:eastAsia="Times New Roman" w:hAnsi="Times New Roman"/>
          <w:sz w:val="18"/>
          <w:szCs w:val="18"/>
          <w:color w:val="000000"/>
        </w:rPr>
        <w:t>to be discovered and rediscovered by viewers and subscribers, driving growth and value across our portfolio.</w:t>
      </w:r>
    </w:p>
    <w:p>
      <w:pPr>
        <w:spacing w:after="0" w:line="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Multi-Platform Distribution Approach to Content Monetization and Distribution while Growing Streaming Offerings and Targeted Brands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our content across an array of distribution platforms, including our own linear networks at cost-effective rates, subscription streaming services and ad-supported streaming platforms, as well as through licensing arrangements with other distributors and platforms so that our viewers can access our content where, when and how they want to watch it. As part of our strategy, we are aiming to expand distribution of our services and content in order to increase our total addressable market. To that end, we have partnerships with all major streaming services and digital platforms, including Netflix, Hulu, Apple TV, Amazon Prime and Roku, to make our content available on various platforms permitting subscribers to access programs at their convenience, including electronic-sell-through ("EST") and physical (DVD and Blu-ray) formats. We also have agreements with traditional MVPDs, such as Comcast, Charter, DirectTV, Dish, Verizon and Cox, and virtual MVPDs, such as Philo, YouTube TV, Sling and DirectTV Stream, as well as Connected TV solutions including Samsung Smart TV, Vizio, LG and XumoTV. We aim to provide similar content across our traditional and streaming offerings.</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As we assess the optimal level and mix of programming across our platforms, we will prioritize curation to provide compelling offerings that aim at maximizing subscriber engagement and retention.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launched several of our services, most notably AMC+, Acorn TV, Shudder and HIDIVE, in key international markets, including Canada, parts of Europe, Australia and New Zealand. We will continue to be opportunistic in determining the most optimal monetization strategy for new international markets.</w:t>
      </w:r>
    </w:p>
    <w:p>
      <w:pPr>
        <w:spacing w:after="0" w:line="6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Growth and Innovation in Advertising and Advertising Technologies</w:t>
      </w:r>
      <w:r>
        <w:rPr>
          <w:rFonts w:ascii="Times New Roman" w:cs="Times New Roman" w:eastAsia="Times New Roman" w:hAnsi="Times New Roman"/>
          <w:sz w:val="18"/>
          <w:szCs w:val="18"/>
          <w:color w:val="auto"/>
        </w:rPr>
        <w:t>. We continue to leverage our high-quality popular content on our networks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our advertising revenue. In addition, we are embracing an array of new advertising opportunities, including an expanding and robust presence on free ad-supported streaming ("FAST") and advertising video on demand ("AVOD") platforms. We currently have a total of 17 active distinct channels featuring our content, in different configurations, across major FAST platforms, such as Pluto TV, Tubi, Plex, Sling TV and Samsung TV Plus. We have increased the value of our linear and digital advertising inventory by establishing a leadership position in advanced advertising technologies, including addressable advertising and programmatic buying - including the industry’s first deployment of programmatic buying on linear television through our Audience+ platform – to make it easier for a wider variety of advertisers to partner with us and to make the impressions they buy smarter and more effective. We have seen the number of advertisers utilizing these tools increase and our targeted audience advertising sales have grown as a result. In addition to our own initiatives, we are also participating in broader industry efforts focused on expanding the availability of addressable advertising. Although advertising revenue has declined in recent years, and we expect advertising revenue to continue to decline as the advertising market gravitates toward other distribution platforms, we believe that, in the mid and long-term, our products enhance our value to advertisers through better targeting, data and measurement and we believe they will contribute to growth of our overall business.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create opportunities for leading consumer brands to leverage the strength of our content and our proven ability to build and engage large, vibrant and passionate fan communities around our shows and franchises. Through an initiative called the AMC Networks “Content Room,” we offer brands and advertisers opportunities to reach fans of our shows and franchises in compelling and innovative ways including through custom short-form content on social media platforms and through on-the-ground live events.</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Maintain Financial Discipline With Focus on Free Cash Flow</w:t>
      </w:r>
      <w:r>
        <w:rPr>
          <w:rFonts w:ascii="Times New Roman" w:cs="Times New Roman" w:eastAsia="Times New Roman" w:hAnsi="Times New Roman"/>
          <w:sz w:val="18"/>
          <w:szCs w:val="18"/>
          <w:color w:val="auto"/>
        </w:rPr>
        <w:t>. We are aiming to become more efficient to drive free cash flow and maximize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value, including through streamlining our organization; remaining prudent with our investments in programming, including continuing to focus on reducing programming spend to historical levels; implementing, and tracking comprehensive goals, strategies and tactics driving efficiencies in the business; enhancing our technology and customer service; improving marketing; and reducing corporate costs.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earn revenue principally from the distribution of our programming and the sale of advertising. In 2023, distribution revenues and advertising sales accounted for 74% and 26% of our consolidated revenues, net, respectively. For the year ended December 31, 2023, one distributor accounted for greater than 10% of our consolidated revenues, net.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Revenue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Distribution revenue primarily includes: fees charged to distributors that carry our network brands and content; subscription fees paid for our streaming services; and revenue earned from the licensing of our original programming.</w:t>
      </w:r>
    </w:p>
    <w:p>
      <w:pPr>
        <w:spacing w:after="0" w:line="5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Subscription revenue: Our programming networks as well as our streaming services are distributed to our viewing audience throughout the United States (“U.S.”) and around the world via cable and other multichannel video programming distribution platforms, including direct broadcast satellite ("DBS"), platforms operated by telecommunications providers, virtual or digital multi-channel video programming distributors ("MVPDs" and collectively "distributors"), and through our direct to consumer ("DTC") apps. Our programming networks are available on every major U.S. distribution platform. Our programming networks' distribution agreements expire at various dates through 2029. For our streaming services, we earn monthly or annual subscription fees as the streaming service is provided to our customers.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frequently negotiate with distributors in an effort to increase the subscriber base for our networks. We have in some instances made upfront payments to distributors in exchange for these additional subscribers. We also may support the distributors' efforts to market our programming networks and streaming services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Content licensing revenue: We sell rights to our owned original programming and content acquired under long-term distribution arrangements for distribution in a variety of forms including television markets worldwide, streaming services or digital platform providers, such as Netflix, Hulu, and Amazon Prime, electronic-sell-through ("EST") and physical (DVD and Blu-ray) formats. We also earn revenue, to a lesser extent, through the distribution of AMC Studios produced series to third parties.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earn advertising revenue by selling advertising time on our programming networks, on digital platforms we own and on an increasing number of AVOD and FAST platforms in the U.S and the U.K.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we are generally represented by third-party sales agents.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arrangements with advertisers provide for a set number of advertising units to air over a specific period of time at a negotiated price per unit. In most domestic advertising sales arrangements, we guarantee specified viewer ratings. If these guarantees are not met, we are generally required to provide additional advertising units to the advertiser at no charge. For these types of arrangements, a portion of the related revenue is deferred if the guarantees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programming networks have advertisers representing companies in a broad range of sectors, including automotive, restaurants/food, health, technology and telecommunications industries.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programming strategy is to target audiences with high-quality, compelling stories and powerful brands. We obtain programming through a combination of development, production and licensing; and we distribute programming directly to consumers in the U.S. and throughout the world through our programming networks, streaming services, theatrical release of acquired films and other forms of distribution. Our programming includes original programming that we control, either through outright ownership or through long-term licensing arrangements, as well as acquired programming that we license from studios and other rights holders.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Original Programming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Through our AMC Studios operation, we produce owned original programming primarily for our programming networks and streaming services, and also for license to third parties worldwide. Decisions as to how to distribute programming are made on the basis of a variety of factors including the relative value of any particular alternative.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contract with some of the industry's leading production companies to produce original programming that appears on our programming networks and streaming services.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Acquired Programming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majority of the content on our programming networks and streaming services consists of films, episodic series and specials that we acquire pursuant to rights agreements with film studios, production companies or other rights holders. This acquired programming includes episodic series such as </w:t>
      </w:r>
      <w:r>
        <w:rPr>
          <w:rFonts w:ascii="Times New Roman" w:cs="Times New Roman" w:eastAsia="Times New Roman" w:hAnsi="Times New Roman"/>
          <w:sz w:val="18"/>
          <w:szCs w:val="18"/>
          <w:i w:val="1"/>
          <w:iCs w:val="1"/>
          <w:color w:val="auto"/>
        </w:rPr>
        <w:t xml:space="preserve">Law and Order, The X-Files, Criminal Minds, CSI: Miami, Two and a Half Men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Batman</w:t>
      </w:r>
      <w:r>
        <w:rPr>
          <w:rFonts w:ascii="Times New Roman" w:cs="Times New Roman" w:eastAsia="Times New Roman" w:hAnsi="Times New Roman"/>
          <w:sz w:val="18"/>
          <w:szCs w:val="18"/>
          <w:color w:val="auto"/>
        </w:rPr>
        <w:t>, as well as an extensive film library. The rights agreements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content are of varying duration and generally permit our programming networks and streaming services to carry these series, films and other programming during certain window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980" w:hanging="486"/>
        <w:spacing w:after="0" w:line="257" w:lineRule="auto"/>
        <w:tabs>
          <w:tab w:leader="none" w:pos="97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Includes our five programming networks, our global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IFC, and SundanceTV. Our global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jc w:val="both"/>
        <w:ind w:left="980" w:hanging="486"/>
        <w:spacing w:after="0" w:line="261" w:lineRule="auto"/>
        <w:tabs>
          <w:tab w:leader="none" w:pos="97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International and Other: </w:t>
      </w:r>
      <w:r>
        <w:rPr>
          <w:rFonts w:ascii="Times New Roman" w:cs="Times New Roman" w:eastAsia="Times New Roman" w:hAnsi="Times New Roman"/>
          <w:sz w:val="18"/>
          <w:szCs w:val="18"/>
          <w:color w:val="auto"/>
        </w:rPr>
        <w:t>Includes AMCNI, our international programming businesses consisting of a portfolio of channels around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25/7 Media (formerly Levity), our production services business. On December 29, 2023, AMC Networks sold its interest in 25/7 Media to the noncontrolling interest holders. See Note 4 to the consolidated financial statements for additional information relating to the 2023 sale of the production services business and the 2021 spin-off of the Levity comedy venues business.</w:t>
      </w:r>
    </w:p>
    <w:p>
      <w:pPr>
        <w:spacing w:after="0" w:line="200" w:lineRule="exact"/>
        <w:rPr>
          <w:sz w:val="20"/>
          <w:szCs w:val="20"/>
          <w:color w:val="auto"/>
        </w:rPr>
      </w:pPr>
    </w:p>
    <w:p>
      <w:pPr>
        <w:spacing w:after="0" w:line="238" w:lineRule="exact"/>
        <w:rPr>
          <w:sz w:val="20"/>
          <w:szCs w:val="20"/>
          <w:color w:val="auto"/>
        </w:rPr>
      </w:pPr>
    </w:p>
    <w:p>
      <w:pPr>
        <w:ind w:left="340" w:firstLine="405"/>
        <w:spacing w:after="0" w:line="297" w:lineRule="auto"/>
        <w:rPr>
          <w:sz w:val="20"/>
          <w:szCs w:val="20"/>
          <w:color w:val="auto"/>
        </w:rPr>
      </w:pPr>
      <w:r>
        <w:rPr>
          <w:rFonts w:ascii="Times New Roman" w:cs="Times New Roman" w:eastAsia="Times New Roman" w:hAnsi="Times New Roman"/>
          <w:sz w:val="18"/>
          <w:szCs w:val="18"/>
          <w:color w:val="auto"/>
        </w:rPr>
        <w:t>For financial information of the Company by operating segment, see Item 7, "Management's Discussion and Analysis of Financial Condition and Results of Operations — Consolidated Results of Operations" and Note 23 to the accompanying consolidated financial statements.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flagship AMC brand consists of the AMC programming network, AMC+ streaming service and AMC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85725</wp:posOffset>
            </wp:positionV>
            <wp:extent cx="427736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73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AMC programming network</w:t>
      </w:r>
    </w:p>
    <w:p>
      <w:pPr>
        <w:spacing w:after="0" w:line="121" w:lineRule="exact"/>
        <w:rPr>
          <w:sz w:val="20"/>
          <w:szCs w:val="20"/>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the home of some of the most popular and acclaimed dramas on television. As of December 31, 2023, AMC reached approximately 65 million Nielsen subscribers and had distribution agreements with all major U.S. and Canada distributors.</w:t>
      </w:r>
    </w:p>
    <w:p>
      <w:pPr>
        <w:spacing w:after="0" w:line="5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AMC expanded The Walking Dead Universe franchise with the premiere of two new series: </w:t>
      </w:r>
      <w:r>
        <w:rPr>
          <w:rFonts w:ascii="Times New Roman" w:cs="Times New Roman" w:eastAsia="Times New Roman" w:hAnsi="Times New Roman"/>
          <w:sz w:val="18"/>
          <w:szCs w:val="18"/>
          <w:i w:val="1"/>
          <w:iCs w:val="1"/>
          <w:color w:val="auto"/>
        </w:rPr>
        <w:t>The Walking Dead: Dead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w:t>
      </w:r>
    </w:p>
    <w:p>
      <w:pPr>
        <w:spacing w:after="0" w:line="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Walking Dead: Daryl Dixon</w:t>
      </w:r>
      <w:r>
        <w:rPr>
          <w:rFonts w:ascii="Times New Roman" w:cs="Times New Roman" w:eastAsia="Times New Roman" w:hAnsi="Times New Roman"/>
          <w:sz w:val="18"/>
          <w:szCs w:val="18"/>
          <w:color w:val="auto"/>
        </w:rPr>
        <w:t>, featuring some of the most popular characters from</w:t>
      </w:r>
      <w:r>
        <w:rPr>
          <w:rFonts w:ascii="Times New Roman" w:cs="Times New Roman" w:eastAsia="Times New Roman" w:hAnsi="Times New Roman"/>
          <w:sz w:val="18"/>
          <w:szCs w:val="18"/>
          <w:i w:val="1"/>
          <w:iCs w:val="1"/>
          <w:color w:val="auto"/>
        </w:rPr>
        <w:t xml:space="preserve"> The Walking Dead</w:t>
      </w:r>
      <w:r>
        <w:rPr>
          <w:rFonts w:ascii="Times New Roman" w:cs="Times New Roman" w:eastAsia="Times New Roman" w:hAnsi="Times New Roman"/>
          <w:sz w:val="18"/>
          <w:szCs w:val="18"/>
          <w:color w:val="auto"/>
        </w:rPr>
        <w:t>, the highest-rated series in cable</w:t>
      </w:r>
    </w:p>
    <w:p>
      <w:pPr>
        <w:spacing w:after="0" w:line="9"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television history, which ended in late 2022. The Company also completed production of </w:t>
      </w:r>
      <w:r>
        <w:rPr>
          <w:rFonts w:ascii="Times New Roman" w:cs="Times New Roman" w:eastAsia="Times New Roman" w:hAnsi="Times New Roman"/>
          <w:sz w:val="18"/>
          <w:szCs w:val="18"/>
          <w:i w:val="1"/>
          <w:iCs w:val="1"/>
          <w:color w:val="auto"/>
        </w:rPr>
        <w:t>The Walking Dead: The Ones Who Live</w:t>
      </w:r>
      <w:r>
        <w:rPr>
          <w:rFonts w:ascii="Times New Roman" w:cs="Times New Roman" w:eastAsia="Times New Roman" w:hAnsi="Times New Roman"/>
          <w:sz w:val="18"/>
          <w:szCs w:val="18"/>
          <w:color w:val="auto"/>
        </w:rPr>
        <w:t>, a new series centered on the epic love story of central characters Rick and Michonne, which will premiere in February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both"/>
        <w:ind w:left="486" w:hanging="486"/>
        <w:spacing w:after="0" w:line="267"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AMC launched the highly anticipated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the second endeavor in the Anne Rice Immortal Universe, debuting on the heels of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Both series were quickly renewed for second seasons, which are expected to appear in 2024.</w:t>
      </w:r>
    </w:p>
    <w:p>
      <w:pPr>
        <w:spacing w:after="0" w:line="65" w:lineRule="exact"/>
        <w:rPr>
          <w:rFonts w:ascii="Times New Roman" w:cs="Times New Roman" w:eastAsia="Times New Roman" w:hAnsi="Times New Roman"/>
          <w:sz w:val="18"/>
          <w:szCs w:val="18"/>
          <w:color w:val="auto"/>
        </w:rPr>
      </w:pPr>
    </w:p>
    <w:p>
      <w:pPr>
        <w:jc w:val="both"/>
        <w:ind w:left="486" w:hanging="486"/>
        <w:spacing w:after="0" w:line="267"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also presented the second season of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“perhaps the most ambitious Native-led TV show ever made,” according to The Hollywood Reporter, starring Zahn McClarnon and executive produced by Robert Redford and George R.R. Martin. The series has achieved 100% Fresh ratings on Rotten Tomatoes for each of its first two seasons and has been renewed for season three, expected in 2025.</w:t>
      </w:r>
    </w:p>
    <w:p>
      <w:pPr>
        <w:spacing w:after="0" w:line="67" w:lineRule="exact"/>
        <w:rPr>
          <w:rFonts w:ascii="Times New Roman" w:cs="Times New Roman" w:eastAsia="Times New Roman" w:hAnsi="Times New Roman"/>
          <w:sz w:val="18"/>
          <w:szCs w:val="18"/>
          <w:color w:val="auto"/>
        </w:rPr>
      </w:pPr>
    </w:p>
    <w:p>
      <w:pPr>
        <w:jc w:val="both"/>
        <w:ind w:left="486" w:hanging="486"/>
        <w:spacing w:after="0" w:line="266"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AMC+ streaming service</w:t>
      </w:r>
    </w:p>
    <w:p>
      <w:pPr>
        <w:spacing w:after="0" w:line="121" w:lineRule="exact"/>
        <w:rPr>
          <w:sz w:val="20"/>
          <w:szCs w:val="20"/>
          <w:color w:val="auto"/>
        </w:rPr>
      </w:pPr>
    </w:p>
    <w:p>
      <w:pPr>
        <w:jc w:val="both"/>
        <w:ind w:left="486" w:hanging="486"/>
        <w:spacing w:after="0" w:line="258" w:lineRule="auto"/>
        <w:tabs>
          <w:tab w:leader="none" w:pos="4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in 2020, AMC+ is the Company’s premium streaming bundle featuring an extensive lineup of popular and critically acclaimed programming from AMC, BBC AMERICA, IFC and SundanceTV along with full access to targeted streaming services Shudder, Sundance Now and IFC Films Unlimited. Its content library includes fan favorites </w:t>
      </w:r>
      <w:r>
        <w:rPr>
          <w:rFonts w:ascii="Times New Roman" w:cs="Times New Roman" w:eastAsia="Times New Roman" w:hAnsi="Times New Roman"/>
          <w:sz w:val="18"/>
          <w:szCs w:val="18"/>
          <w:i w:val="1"/>
          <w:iCs w:val="1"/>
          <w:color w:val="auto"/>
        </w:rPr>
        <w:t>Mad Men, Interview with the Vampire, Killing Eve, The Killing,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Discovery of Witches, Halt &amp; Catch Fire, Hell on Wheels, Turn: Washington’s Spies, The Terror, Orphan Black, Rectify, Portlandia, Gangs of London </w:t>
      </w:r>
      <w:r>
        <w:rPr>
          <w:rFonts w:ascii="Times New Roman" w:cs="Times New Roman" w:eastAsia="Times New Roman" w:hAnsi="Times New Roman"/>
          <w:sz w:val="18"/>
          <w:szCs w:val="18"/>
          <w:color w:val="auto"/>
        </w:rPr>
        <w:t>and series from</w:t>
      </w:r>
      <w:r>
        <w:rPr>
          <w:rFonts w:ascii="Times New Roman" w:cs="Times New Roman" w:eastAsia="Times New Roman" w:hAnsi="Times New Roman"/>
          <w:sz w:val="18"/>
          <w:szCs w:val="18"/>
          <w:i w:val="1"/>
          <w:iCs w:val="1"/>
          <w:color w:val="auto"/>
        </w:rPr>
        <w:t xml:space="preserve"> The Walking Dead Universe</w:t>
      </w:r>
      <w:r>
        <w:rPr>
          <w:rFonts w:ascii="Times New Roman" w:cs="Times New Roman" w:eastAsia="Times New Roman" w:hAnsi="Times New Roman"/>
          <w:sz w:val="18"/>
          <w:szCs w:val="18"/>
          <w:color w:val="auto"/>
        </w:rPr>
        <w:t>, among many others.</w:t>
      </w:r>
    </w:p>
    <w:p>
      <w:pPr>
        <w:spacing w:after="0" w:line="73" w:lineRule="exact"/>
        <w:rPr>
          <w:rFonts w:ascii="Times New Roman" w:cs="Times New Roman" w:eastAsia="Times New Roman" w:hAnsi="Times New Roman"/>
          <w:sz w:val="18"/>
          <w:szCs w:val="18"/>
          <w:color w:val="auto"/>
        </w:rPr>
      </w:pPr>
    </w:p>
    <w:p>
      <w:pPr>
        <w:ind w:left="486" w:hanging="324"/>
        <w:spacing w:after="0"/>
        <w:tabs>
          <w:tab w:leader="none" w:pos="4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AMC+ successfully launched two new installments in the popular </w:t>
      </w:r>
      <w:r>
        <w:rPr>
          <w:rFonts w:ascii="Times New Roman" w:cs="Times New Roman" w:eastAsia="Times New Roman" w:hAnsi="Times New Roman"/>
          <w:sz w:val="18"/>
          <w:szCs w:val="18"/>
          <w:i w:val="1"/>
          <w:iCs w:val="1"/>
          <w:color w:val="auto"/>
        </w:rPr>
        <w:t>The Walking Dead Universe</w:t>
      </w:r>
      <w:r>
        <w:rPr>
          <w:rFonts w:ascii="Times New Roman" w:cs="Times New Roman" w:eastAsia="Times New Roman" w:hAnsi="Times New Roman"/>
          <w:sz w:val="18"/>
          <w:szCs w:val="18"/>
          <w:color w:val="auto"/>
        </w:rPr>
        <w:t xml:space="preserve"> franchise – </w:t>
      </w:r>
      <w:r>
        <w:rPr>
          <w:rFonts w:ascii="Times New Roman" w:cs="Times New Roman" w:eastAsia="Times New Roman" w:hAnsi="Times New Roman"/>
          <w:sz w:val="18"/>
          <w:szCs w:val="18"/>
          <w:i w:val="1"/>
          <w:iCs w:val="1"/>
          <w:color w:val="auto"/>
        </w:rPr>
        <w:t>The Walking Dead: Dead</w:t>
      </w:r>
    </w:p>
    <w:p>
      <w:pPr>
        <w:spacing w:after="0" w:line="29" w:lineRule="exact"/>
        <w:rPr>
          <w:rFonts w:ascii="Times New Roman" w:cs="Times New Roman" w:eastAsia="Times New Roman" w:hAnsi="Times New Roman"/>
          <w:sz w:val="18"/>
          <w:szCs w:val="18"/>
          <w:color w:val="auto"/>
        </w:rPr>
      </w:pPr>
    </w:p>
    <w:p>
      <w:pPr>
        <w:jc w:val="both"/>
        <w:ind w:left="48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Walking Dead: Daryl Dixon </w:t>
      </w:r>
      <w:r>
        <w:rPr>
          <w:rFonts w:ascii="Times New Roman" w:cs="Times New Roman" w:eastAsia="Times New Roman" w:hAnsi="Times New Roman"/>
          <w:sz w:val="18"/>
          <w:szCs w:val="18"/>
          <w:color w:val="auto"/>
        </w:rPr>
        <w:t>– and concluded the original spin-off</w:t>
      </w:r>
      <w:r>
        <w:rPr>
          <w:rFonts w:ascii="Times New Roman" w:cs="Times New Roman" w:eastAsia="Times New Roman" w:hAnsi="Times New Roman"/>
          <w:sz w:val="18"/>
          <w:szCs w:val="18"/>
          <w:i w:val="1"/>
          <w:iCs w:val="1"/>
          <w:color w:val="auto"/>
        </w:rPr>
        <w:t xml:space="preserve"> Fear The Walking Dead </w:t>
      </w:r>
      <w:r>
        <w:rPr>
          <w:rFonts w:ascii="Times New Roman" w:cs="Times New Roman" w:eastAsia="Times New Roman" w:hAnsi="Times New Roman"/>
          <w:sz w:val="18"/>
          <w:szCs w:val="18"/>
          <w:color w:val="auto"/>
        </w:rPr>
        <w:t>after eight highly-rated seasons.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AMC+ also featured a slate of critically acclaimed dramas including the second season of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the third and final season of </w:t>
      </w:r>
      <w:r>
        <w:rPr>
          <w:rFonts w:ascii="Times New Roman" w:cs="Times New Roman" w:eastAsia="Times New Roman" w:hAnsi="Times New Roman"/>
          <w:sz w:val="18"/>
          <w:szCs w:val="18"/>
          <w:i w:val="1"/>
          <w:iCs w:val="1"/>
          <w:color w:val="auto"/>
        </w:rPr>
        <w:t>Happy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Valley</w:t>
      </w:r>
      <w:r>
        <w:rPr>
          <w:rFonts w:ascii="Times New Roman" w:cs="Times New Roman" w:eastAsia="Times New Roman" w:hAnsi="Times New Roman"/>
          <w:sz w:val="18"/>
          <w:szCs w:val="18"/>
          <w:color w:val="auto"/>
        </w:rPr>
        <w:t>, new original</w:t>
      </w:r>
      <w:r>
        <w:rPr>
          <w:rFonts w:ascii="Times New Roman" w:cs="Times New Roman" w:eastAsia="Times New Roman" w:hAnsi="Times New Roman"/>
          <w:sz w:val="18"/>
          <w:szCs w:val="18"/>
          <w:i w:val="1"/>
          <w:iCs w:val="1"/>
          <w:color w:val="auto"/>
        </w:rPr>
        <w:t xml:space="preserve"> Lucky Hank </w:t>
      </w:r>
      <w:r>
        <w:rPr>
          <w:rFonts w:ascii="Times New Roman" w:cs="Times New Roman" w:eastAsia="Times New Roman" w:hAnsi="Times New Roman"/>
          <w:sz w:val="18"/>
          <w:szCs w:val="18"/>
          <w:color w:val="auto"/>
        </w:rPr>
        <w:t>starring Bob Odenkirk, the award-winning feature film</w:t>
      </w:r>
      <w:r>
        <w:rPr>
          <w:rFonts w:ascii="Times New Roman" w:cs="Times New Roman" w:eastAsia="Times New Roman" w:hAnsi="Times New Roman"/>
          <w:sz w:val="18"/>
          <w:szCs w:val="18"/>
          <w:i w:val="1"/>
          <w:iCs w:val="1"/>
          <w:color w:val="auto"/>
        </w:rPr>
        <w:t xml:space="preserve"> BlackBerry </w:t>
      </w:r>
      <w:r>
        <w:rPr>
          <w:rFonts w:ascii="Times New Roman" w:cs="Times New Roman" w:eastAsia="Times New Roman" w:hAnsi="Times New Roman"/>
          <w:sz w:val="18"/>
          <w:szCs w:val="18"/>
          <w:color w:val="auto"/>
        </w:rPr>
        <w:t>(also available as a limited series),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launch of breakout series </w:t>
      </w:r>
      <w:r>
        <w:rPr>
          <w:rFonts w:ascii="Times New Roman" w:cs="Times New Roman" w:eastAsia="Times New Roman" w:hAnsi="Times New Roman"/>
          <w:sz w:val="18"/>
          <w:szCs w:val="18"/>
          <w:i w:val="1"/>
          <w:iCs w:val="1"/>
          <w:color w:val="auto"/>
        </w:rPr>
        <w:t>Mayfair Witches</w:t>
      </w:r>
      <w:r>
        <w:rPr>
          <w:rFonts w:ascii="Times New Roman" w:cs="Times New Roman" w:eastAsia="Times New Roman" w:hAnsi="Times New Roman"/>
          <w:sz w:val="18"/>
          <w:szCs w:val="18"/>
          <w:color w:val="auto"/>
        </w:rPr>
        <w:t xml:space="preserve"> from the growing AMC franchise </w:t>
      </w:r>
      <w:r>
        <w:rPr>
          <w:rFonts w:ascii="Times New Roman" w:cs="Times New Roman" w:eastAsia="Times New Roman" w:hAnsi="Times New Roman"/>
          <w:sz w:val="18"/>
          <w:szCs w:val="18"/>
          <w:i w:val="1"/>
          <w:iCs w:val="1"/>
          <w:color w:val="auto"/>
        </w:rPr>
        <w:t>Anne Rice’s Immortal Universe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86" w:hanging="324"/>
        <w:spacing w:after="0" w:line="282" w:lineRule="auto"/>
        <w:tabs>
          <w:tab w:leader="none" w:pos="4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also the exclusive streaming home of the Company’s full slate of films from IFC Films, RLJE Films and Shudder following theatrical and digital distribution.</w:t>
      </w:r>
    </w:p>
    <w:p>
      <w:pPr>
        <w:spacing w:after="0" w:line="53" w:lineRule="exact"/>
        <w:rPr>
          <w:rFonts w:ascii="Times New Roman" w:cs="Times New Roman" w:eastAsia="Times New Roman" w:hAnsi="Times New Roman"/>
          <w:sz w:val="18"/>
          <w:szCs w:val="18"/>
          <w:color w:val="auto"/>
        </w:rPr>
      </w:pPr>
    </w:p>
    <w:p>
      <w:pPr>
        <w:ind w:left="486" w:hanging="324"/>
        <w:spacing w:after="0" w:line="282" w:lineRule="auto"/>
        <w:tabs>
          <w:tab w:leader="none" w:pos="4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available to subscribers through either ad-supported or commercial free plans through our DTC apps, as well as through MVPDs and virtual MVPDs, and digital streaming platforms such as Amazon Prime Video Channels, Apple TV Channels and The Roku Channel.</w:t>
      </w:r>
    </w:p>
    <w:p>
      <w:pPr>
        <w:spacing w:after="0" w:line="53" w:lineRule="exact"/>
        <w:rPr>
          <w:rFonts w:ascii="Times New Roman" w:cs="Times New Roman" w:eastAsia="Times New Roman" w:hAnsi="Times New Roman"/>
          <w:sz w:val="18"/>
          <w:szCs w:val="18"/>
          <w:color w:val="auto"/>
        </w:rPr>
      </w:pPr>
    </w:p>
    <w:p>
      <w:pPr>
        <w:ind w:left="486" w:hanging="324"/>
        <w:spacing w:after="0"/>
        <w:tabs>
          <w:tab w:leader="none" w:pos="4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currently available in several international markets including Canada, Spain, Australia and New Zealand.</w:t>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AMC Studios</w:t>
      </w:r>
    </w:p>
    <w:p>
      <w:pPr>
        <w:spacing w:after="0" w:line="119" w:lineRule="exact"/>
        <w:rPr>
          <w:sz w:val="20"/>
          <w:szCs w:val="20"/>
          <w:color w:val="auto"/>
        </w:rPr>
      </w:pPr>
    </w:p>
    <w:p>
      <w:pPr>
        <w:ind w:left="486" w:hanging="324"/>
        <w:spacing w:after="0" w:line="284" w:lineRule="auto"/>
        <w:tabs>
          <w:tab w:leader="none" w:pos="4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Studios is AMC Networks’ in-house production and distribution operation which launched in 2010 with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the highest-rated show in cable television history.</w:t>
      </w:r>
    </w:p>
    <w:p>
      <w:pPr>
        <w:spacing w:after="0" w:line="52" w:lineRule="exact"/>
        <w:rPr>
          <w:rFonts w:ascii="Times New Roman" w:cs="Times New Roman" w:eastAsia="Times New Roman" w:hAnsi="Times New Roman"/>
          <w:sz w:val="18"/>
          <w:szCs w:val="18"/>
          <w:color w:val="auto"/>
        </w:rPr>
      </w:pPr>
    </w:p>
    <w:p>
      <w:pPr>
        <w:jc w:val="both"/>
        <w:ind w:left="486" w:hanging="324"/>
        <w:spacing w:after="0" w:line="261" w:lineRule="auto"/>
        <w:tabs>
          <w:tab w:leader="none" w:pos="4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then, AMC Studios has produced several critically acclaimed, award-winning and culturally distinctive originals for AMC Networks’ suite of channels and services including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 Dead City, The Walking Dead: Daryl Dixon, Fear the Walking Dead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Halt and Catch Fire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Terror </w:t>
      </w:r>
      <w:r>
        <w:rPr>
          <w:rFonts w:ascii="Times New Roman" w:cs="Times New Roman" w:eastAsia="Times New Roman" w:hAnsi="Times New Roman"/>
          <w:sz w:val="18"/>
          <w:szCs w:val="18"/>
          <w:color w:val="auto"/>
        </w:rPr>
        <w:t>anthology,</w:t>
      </w:r>
      <w:r>
        <w:rPr>
          <w:rFonts w:ascii="Times New Roman" w:cs="Times New Roman" w:eastAsia="Times New Roman" w:hAnsi="Times New Roman"/>
          <w:sz w:val="18"/>
          <w:szCs w:val="18"/>
          <w:i w:val="1"/>
          <w:iCs w:val="1"/>
          <w:color w:val="auto"/>
        </w:rPr>
        <w:t xml:space="preserve"> Preacher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Peabody Award-winning </w:t>
      </w:r>
      <w:r>
        <w:rPr>
          <w:rFonts w:ascii="Times New Roman" w:cs="Times New Roman" w:eastAsia="Times New Roman" w:hAnsi="Times New Roman"/>
          <w:sz w:val="18"/>
          <w:szCs w:val="18"/>
          <w:i w:val="1"/>
          <w:iCs w:val="1"/>
          <w:color w:val="auto"/>
        </w:rPr>
        <w:t>Rectify</w:t>
      </w:r>
      <w:r>
        <w:rPr>
          <w:rFonts w:ascii="Times New Roman" w:cs="Times New Roman" w:eastAsia="Times New Roman" w:hAnsi="Times New Roman"/>
          <w:sz w:val="18"/>
          <w:szCs w:val="18"/>
          <w:color w:val="auto"/>
        </w:rPr>
        <w:t xml:space="preserve">, as well as unscripted series </w:t>
      </w:r>
      <w:r>
        <w:rPr>
          <w:rFonts w:ascii="Times New Roman" w:cs="Times New Roman" w:eastAsia="Times New Roman" w:hAnsi="Times New Roman"/>
          <w:sz w:val="18"/>
          <w:szCs w:val="18"/>
          <w:i w:val="1"/>
          <w:iCs w:val="1"/>
          <w:color w:val="auto"/>
        </w:rPr>
        <w:t>Ride with Norman Reedus</w:t>
      </w:r>
      <w:r>
        <w:rPr>
          <w:rFonts w:ascii="Times New Roman" w:cs="Times New Roman" w:eastAsia="Times New Roman" w:hAnsi="Times New Roman"/>
          <w:sz w:val="18"/>
          <w:szCs w:val="18"/>
          <w:color w:val="auto"/>
        </w:rPr>
        <w:t xml:space="preserve"> and James Cameron’s </w:t>
      </w:r>
      <w:r>
        <w:rPr>
          <w:rFonts w:ascii="Times New Roman" w:cs="Times New Roman" w:eastAsia="Times New Roman" w:hAnsi="Times New Roman"/>
          <w:sz w:val="18"/>
          <w:szCs w:val="18"/>
          <w:i w:val="1"/>
          <w:iCs w:val="1"/>
          <w:color w:val="auto"/>
        </w:rPr>
        <w:t>Story of Science Fiction</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486" w:right="380" w:hanging="324"/>
        <w:spacing w:after="0" w:line="284" w:lineRule="auto"/>
        <w:tabs>
          <w:tab w:leader="none" w:pos="4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Upcoming AMC Studios series include T</w:t>
      </w:r>
      <w:r>
        <w:rPr>
          <w:rFonts w:ascii="Times New Roman" w:cs="Times New Roman" w:eastAsia="Times New Roman" w:hAnsi="Times New Roman"/>
          <w:sz w:val="18"/>
          <w:szCs w:val="18"/>
          <w:i w:val="1"/>
          <w:iCs w:val="1"/>
          <w:color w:val="auto"/>
        </w:rPr>
        <w:t>he Walking Dead: The Ones Who Live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Orphan Black: Echoes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Terror: Devil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Silver </w:t>
      </w:r>
      <w:r>
        <w:rPr>
          <w:rFonts w:ascii="Times New Roman" w:cs="Times New Roman" w:eastAsia="Times New Roman" w:hAnsi="Times New Roman"/>
          <w:sz w:val="18"/>
          <w:szCs w:val="18"/>
          <w:color w:val="auto"/>
        </w:rPr>
        <w:t>for AMC and AMC+. AMC Studios also produced</w:t>
      </w:r>
      <w:r>
        <w:rPr>
          <w:rFonts w:ascii="Times New Roman" w:cs="Times New Roman" w:eastAsia="Times New Roman" w:hAnsi="Times New Roman"/>
          <w:sz w:val="18"/>
          <w:szCs w:val="18"/>
          <w:i w:val="1"/>
          <w:iCs w:val="1"/>
          <w:color w:val="auto"/>
        </w:rPr>
        <w:t xml:space="preserve"> Sanctuary A Witches Tale </w:t>
      </w:r>
      <w:r>
        <w:rPr>
          <w:rFonts w:ascii="Times New Roman" w:cs="Times New Roman" w:eastAsia="Times New Roman" w:hAnsi="Times New Roman"/>
          <w:sz w:val="18"/>
          <w:szCs w:val="18"/>
          <w:color w:val="auto"/>
        </w:rPr>
        <w:t>for Sundance Now.</w:t>
      </w:r>
    </w:p>
    <w:p>
      <w:pPr>
        <w:spacing w:after="0" w:line="50" w:lineRule="exact"/>
        <w:rPr>
          <w:rFonts w:ascii="Times New Roman" w:cs="Times New Roman" w:eastAsia="Times New Roman" w:hAnsi="Times New Roman"/>
          <w:sz w:val="18"/>
          <w:szCs w:val="18"/>
          <w:color w:val="auto"/>
        </w:rPr>
      </w:pPr>
    </w:p>
    <w:p>
      <w:pPr>
        <w:ind w:left="486" w:hanging="324"/>
        <w:spacing w:after="0"/>
        <w:tabs>
          <w:tab w:leader="none" w:pos="4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producing series for AMC Networks suite of channels, AMC Studios recently produced season 1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for Apple TV+.</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Programming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426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6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December 31, 2023, WE tv reached approximately 64 million Nielsen subscribers and had distribution agreements with all major U.S. distributors.</w:t>
      </w:r>
    </w:p>
    <w:p>
      <w:pPr>
        <w:spacing w:after="0" w:line="53" w:lineRule="exact"/>
        <w:rPr>
          <w:rFonts w:ascii="Times New Roman" w:cs="Times New Roman" w:eastAsia="Times New Roman" w:hAnsi="Times New Roman"/>
          <w:sz w:val="18"/>
          <w:szCs w:val="18"/>
          <w:i w:val="1"/>
          <w:iCs w:val="1"/>
          <w:color w:val="auto"/>
        </w:rPr>
      </w:pPr>
    </w:p>
    <w:p>
      <w:pPr>
        <w:jc w:val="both"/>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Driven by unscripted originals, WE tv continues to be the #1 U.S. cable network for Black women on Friday nights and home to a popular slate of series and franchises including </w:t>
      </w:r>
      <w:r>
        <w:rPr>
          <w:rFonts w:ascii="Times New Roman" w:cs="Times New Roman" w:eastAsia="Times New Roman" w:hAnsi="Times New Roman"/>
          <w:sz w:val="18"/>
          <w:szCs w:val="18"/>
          <w:i w:val="1"/>
          <w:iCs w:val="1"/>
          <w:color w:val="auto"/>
        </w:rPr>
        <w:t>Love After Lockup, Life After Lockup, Toya &amp; Reginae</w:t>
      </w:r>
      <w:r>
        <w:rPr>
          <w:rFonts w:ascii="Times New Roman" w:cs="Times New Roman" w:eastAsia="Times New Roman" w:hAnsi="Times New Roman"/>
          <w:sz w:val="18"/>
          <w:szCs w:val="18"/>
          <w:color w:val="auto"/>
        </w:rPr>
        <w:t xml:space="preserve">, as well as fan favorites </w:t>
      </w:r>
      <w:r>
        <w:rPr>
          <w:rFonts w:ascii="Times New Roman" w:cs="Times New Roman" w:eastAsia="Times New Roman" w:hAnsi="Times New Roman"/>
          <w:sz w:val="18"/>
          <w:szCs w:val="18"/>
          <w:i w:val="1"/>
          <w:iCs w:val="1"/>
          <w:color w:val="auto"/>
        </w:rPr>
        <w:t>Mama June: Road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along with the #1 and #2 programs for Black women on Thursday nights;</w:t>
      </w:r>
      <w:r>
        <w:rPr>
          <w:rFonts w:ascii="Times New Roman" w:cs="Times New Roman" w:eastAsia="Times New Roman" w:hAnsi="Times New Roman"/>
          <w:sz w:val="18"/>
          <w:szCs w:val="18"/>
          <w:i w:val="1"/>
          <w:iCs w:val="1"/>
          <w:color w:val="auto"/>
        </w:rPr>
        <w:t xml:space="preserve"> Growing Up Hip Hop and Brat Loves Judy.</w:t>
      </w:r>
    </w:p>
    <w:p>
      <w:pPr>
        <w:spacing w:after="0" w:line="65" w:lineRule="exact"/>
        <w:rPr>
          <w:rFonts w:ascii="Times New Roman" w:cs="Times New Roman" w:eastAsia="Times New Roman" w:hAnsi="Times New Roman"/>
          <w:sz w:val="18"/>
          <w:szCs w:val="18"/>
          <w:color w:val="auto"/>
        </w:rPr>
      </w:pPr>
    </w:p>
    <w:p>
      <w:pPr>
        <w:ind w:left="980" w:hanging="486"/>
        <w:spacing w:after="0" w:line="261" w:lineRule="auto"/>
        <w:tabs>
          <w:tab w:leader="none" w:pos="6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the network also premiered new unscripted series, </w:t>
      </w:r>
      <w:r>
        <w:rPr>
          <w:rFonts w:ascii="Times New Roman" w:cs="Times New Roman" w:eastAsia="Times New Roman" w:hAnsi="Times New Roman"/>
          <w:sz w:val="18"/>
          <w:szCs w:val="18"/>
          <w:i w:val="1"/>
          <w:iCs w:val="1"/>
          <w:color w:val="auto"/>
        </w:rPr>
        <w:t>Grown &amp; Gospel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Keke Wyatt’s World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Breaking The Ice</w:t>
      </w:r>
      <w:r>
        <w:rPr>
          <w:rFonts w:ascii="Times New Roman" w:cs="Times New Roman" w:eastAsia="Times New Roman" w:hAnsi="Times New Roman"/>
          <w:sz w:val="18"/>
          <w:szCs w:val="18"/>
          <w:color w:val="auto"/>
        </w:rPr>
        <w:t xml:space="preserve">, as well as a new series in the </w:t>
      </w:r>
      <w:r>
        <w:rPr>
          <w:rFonts w:ascii="Times New Roman" w:cs="Times New Roman" w:eastAsia="Times New Roman" w:hAnsi="Times New Roman"/>
          <w:sz w:val="18"/>
          <w:szCs w:val="18"/>
          <w:i w:val="1"/>
          <w:iCs w:val="1"/>
          <w:color w:val="auto"/>
        </w:rPr>
        <w:t>Love After Lockup</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Love After Lockup: Innocent After Lockup</w:t>
      </w:r>
      <w:r>
        <w:rPr>
          <w:rFonts w:ascii="Times New Roman" w:cs="Times New Roman" w:eastAsia="Times New Roman" w:hAnsi="Times New Roman"/>
          <w:sz w:val="18"/>
          <w:szCs w:val="18"/>
          <w:color w:val="auto"/>
        </w:rPr>
        <w:t xml:space="preserve">. The network also went into production on new, highly anticipated 2024 series, </w:t>
      </w:r>
      <w:r>
        <w:rPr>
          <w:rFonts w:ascii="Times New Roman" w:cs="Times New Roman" w:eastAsia="Times New Roman" w:hAnsi="Times New Roman"/>
          <w:sz w:val="18"/>
          <w:szCs w:val="18"/>
          <w:i w:val="1"/>
          <w:iCs w:val="1"/>
          <w:color w:val="auto"/>
        </w:rPr>
        <w:t>The Barnes Bunch</w:t>
      </w:r>
      <w:r>
        <w:rPr>
          <w:rFonts w:ascii="Times New Roman" w:cs="Times New Roman" w:eastAsia="Times New Roman" w:hAnsi="Times New Roman"/>
          <w:sz w:val="18"/>
          <w:szCs w:val="18"/>
          <w:color w:val="auto"/>
        </w:rPr>
        <w:t xml:space="preserve"> – an unscripted series that follows NBA legend Matt Barnes and his family, and </w:t>
      </w:r>
      <w:r>
        <w:rPr>
          <w:rFonts w:ascii="Times New Roman" w:cs="Times New Roman" w:eastAsia="Times New Roman" w:hAnsi="Times New Roman"/>
          <w:sz w:val="18"/>
          <w:szCs w:val="18"/>
          <w:i w:val="1"/>
          <w:iCs w:val="1"/>
          <w:color w:val="auto"/>
        </w:rPr>
        <w:t>Deb’s House</w:t>
      </w:r>
      <w:r>
        <w:rPr>
          <w:rFonts w:ascii="Times New Roman" w:cs="Times New Roman" w:eastAsia="Times New Roman" w:hAnsi="Times New Roman"/>
          <w:sz w:val="18"/>
          <w:szCs w:val="18"/>
          <w:color w:val="auto"/>
        </w:rPr>
        <w:t>, a new scripted series based on the life of Debra Antney, who also serves as executive producer.</w:t>
      </w:r>
    </w:p>
    <w:p>
      <w:pPr>
        <w:spacing w:after="0" w:line="71" w:lineRule="exact"/>
        <w:rPr>
          <w:rFonts w:ascii="Times New Roman" w:cs="Times New Roman" w:eastAsia="Times New Roman" w:hAnsi="Times New Roman"/>
          <w:sz w:val="18"/>
          <w:szCs w:val="18"/>
          <w:color w:val="auto"/>
        </w:rPr>
      </w:pPr>
    </w:p>
    <w:p>
      <w:pPr>
        <w:ind w:left="980" w:hanging="486"/>
        <w:spacing w:after="0" w:line="284"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tv's programming also includes popular series </w:t>
      </w:r>
      <w:r>
        <w:rPr>
          <w:rFonts w:ascii="Times New Roman" w:cs="Times New Roman" w:eastAsia="Times New Roman" w:hAnsi="Times New Roman"/>
          <w:sz w:val="18"/>
          <w:szCs w:val="18"/>
          <w:i w:val="1"/>
          <w:iCs w:val="1"/>
          <w:color w:val="auto"/>
        </w:rPr>
        <w:t>S.W.A.T.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CSI: Miami and Law &amp; Order</w:t>
      </w:r>
      <w:r>
        <w:rPr>
          <w:rFonts w:ascii="Times New Roman" w:cs="Times New Roman" w:eastAsia="Times New Roman" w:hAnsi="Times New Roman"/>
          <w:sz w:val="18"/>
          <w:szCs w:val="18"/>
          <w:color w:val="auto"/>
        </w:rPr>
        <w:t xml:space="preserve"> as well as feature films, with certain exclusive license rights from studios such as Paramount, Sony, MGM, Disney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83121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joint venture between AMC Networks and BBC Studios (the commercial arm of the BBC), BBC AMERICA reached approximately 60 million Nielsen subscribers and had distribution agreements with all major U.S. distributors as of December 31, 2023.</w:t>
      </w:r>
    </w:p>
    <w:p>
      <w:pPr>
        <w:spacing w:after="0" w:line="53" w:lineRule="exact"/>
        <w:rPr>
          <w:rFonts w:ascii="Times New Roman" w:cs="Times New Roman" w:eastAsia="Times New Roman" w:hAnsi="Times New Roman"/>
          <w:sz w:val="18"/>
          <w:szCs w:val="18"/>
          <w:i w:val="1"/>
          <w:iCs w:val="1"/>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BBC AMERICA is a hub of innovative, culturally contagious programming with “Britishness” at its core. The network has attracted wide critical acclaim for its influential series, including 2023’s </w:t>
      </w:r>
      <w:r>
        <w:rPr>
          <w:rFonts w:ascii="Times New Roman" w:cs="Times New Roman" w:eastAsia="Times New Roman" w:hAnsi="Times New Roman"/>
          <w:sz w:val="18"/>
          <w:szCs w:val="18"/>
          <w:i w:val="1"/>
          <w:iCs w:val="1"/>
          <w:color w:val="auto"/>
        </w:rPr>
        <w:t>Happy Valley</w:t>
      </w:r>
      <w:r>
        <w:rPr>
          <w:rFonts w:ascii="Times New Roman" w:cs="Times New Roman" w:eastAsia="Times New Roman" w:hAnsi="Times New Roman"/>
          <w:sz w:val="18"/>
          <w:szCs w:val="18"/>
          <w:color w:val="auto"/>
        </w:rPr>
        <w:t xml:space="preserve"> – appearing on many influential television critics’ year-end "Best Of" lists, and award-winning natural history programming from the BBC. In 2023 the network brought viewers F</w:t>
      </w:r>
      <w:r>
        <w:rPr>
          <w:rFonts w:ascii="Times New Roman" w:cs="Times New Roman" w:eastAsia="Times New Roman" w:hAnsi="Times New Roman"/>
          <w:sz w:val="18"/>
          <w:szCs w:val="18"/>
          <w:i w:val="1"/>
          <w:iCs w:val="1"/>
          <w:color w:val="auto"/>
        </w:rPr>
        <w:t>rozen Planet II</w:t>
      </w:r>
      <w:r>
        <w:rPr>
          <w:rFonts w:ascii="Times New Roman" w:cs="Times New Roman" w:eastAsia="Times New Roman" w:hAnsi="Times New Roman"/>
          <w:sz w:val="18"/>
          <w:szCs w:val="18"/>
          <w:color w:val="auto"/>
        </w:rPr>
        <w:t xml:space="preserve">, the sequel to the four-time Emmy®-winning series </w:t>
      </w:r>
      <w:r>
        <w:rPr>
          <w:rFonts w:ascii="Times New Roman" w:cs="Times New Roman" w:eastAsia="Times New Roman" w:hAnsi="Times New Roman"/>
          <w:sz w:val="18"/>
          <w:szCs w:val="18"/>
          <w:i w:val="1"/>
          <w:iCs w:val="1"/>
          <w:color w:val="auto"/>
        </w:rPr>
        <w:t>Frozen Planet</w:t>
      </w:r>
      <w:r>
        <w:rPr>
          <w:rFonts w:ascii="Times New Roman" w:cs="Times New Roman" w:eastAsia="Times New Roman" w:hAnsi="Times New Roman"/>
          <w:sz w:val="18"/>
          <w:szCs w:val="18"/>
          <w:color w:val="auto"/>
        </w:rPr>
        <w:t xml:space="preserve"> and the epic </w:t>
      </w:r>
      <w:r>
        <w:rPr>
          <w:rFonts w:ascii="Times New Roman" w:cs="Times New Roman" w:eastAsia="Times New Roman" w:hAnsi="Times New Roman"/>
          <w:sz w:val="18"/>
          <w:szCs w:val="18"/>
          <w:i w:val="1"/>
          <w:iCs w:val="1"/>
          <w:color w:val="auto"/>
        </w:rPr>
        <w:t>Planet Earth III</w:t>
      </w:r>
      <w:r>
        <w:rPr>
          <w:rFonts w:ascii="Times New Roman" w:cs="Times New Roman" w:eastAsia="Times New Roman" w:hAnsi="Times New Roman"/>
          <w:sz w:val="18"/>
          <w:szCs w:val="18"/>
          <w:color w:val="auto"/>
        </w:rPr>
        <w:t>, narrated by the legendary Sir David Attenborough.</w:t>
      </w:r>
    </w:p>
    <w:p>
      <w:pPr>
        <w:spacing w:after="0" w:line="6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Orphan Black: Echoes</w:t>
      </w:r>
      <w:r>
        <w:rPr>
          <w:rFonts w:ascii="Times New Roman" w:cs="Times New Roman" w:eastAsia="Times New Roman" w:hAnsi="Times New Roman"/>
          <w:sz w:val="18"/>
          <w:szCs w:val="18"/>
          <w:color w:val="auto"/>
        </w:rPr>
        <w:t>, the spinoff from the Emmy Award-winning original series</w:t>
      </w:r>
      <w:r>
        <w:rPr>
          <w:rFonts w:ascii="Times New Roman" w:cs="Times New Roman" w:eastAsia="Times New Roman" w:hAnsi="Times New Roman"/>
          <w:sz w:val="18"/>
          <w:szCs w:val="18"/>
          <w:i w:val="1"/>
          <w:iCs w:val="1"/>
          <w:color w:val="auto"/>
        </w:rPr>
        <w:t xml:space="preserve"> Orphan Black</w:t>
      </w:r>
      <w:r>
        <w:rPr>
          <w:rFonts w:ascii="Times New Roman" w:cs="Times New Roman" w:eastAsia="Times New Roman" w:hAnsi="Times New Roman"/>
          <w:sz w:val="18"/>
          <w:szCs w:val="18"/>
          <w:color w:val="auto"/>
        </w:rPr>
        <w:t>, is slated to premiere in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December 31, 2023, IFC reached approximately 56 million Nielsen subscribers and had distribution agreements with all major U.S. distributors.</w:t>
      </w:r>
    </w:p>
    <w:p>
      <w:pPr>
        <w:spacing w:after="0" w:line="51" w:lineRule="exact"/>
        <w:rPr>
          <w:rFonts w:ascii="Times New Roman" w:cs="Times New Roman" w:eastAsia="Times New Roman" w:hAnsi="Times New Roman"/>
          <w:sz w:val="18"/>
          <w:szCs w:val="18"/>
          <w:i w:val="1"/>
          <w:iCs w:val="1"/>
          <w:color w:val="auto"/>
        </w:rPr>
      </w:pPr>
    </w:p>
    <w:p>
      <w:pPr>
        <w:ind w:left="980" w:hanging="486"/>
        <w:spacing w:after="0" w:line="284"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IFC is the home of offbeat, unexpected comedies. Originals include the Emmy-nominated </w:t>
      </w:r>
      <w:r>
        <w:rPr>
          <w:rFonts w:ascii="Times New Roman" w:cs="Times New Roman" w:eastAsia="Times New Roman" w:hAnsi="Times New Roman"/>
          <w:sz w:val="18"/>
          <w:szCs w:val="18"/>
          <w:i w:val="1"/>
          <w:iCs w:val="1"/>
          <w:color w:val="auto"/>
        </w:rPr>
        <w:t>Cooper’s Bar</w:t>
      </w:r>
      <w:r>
        <w:rPr>
          <w:rFonts w:ascii="Times New Roman" w:cs="Times New Roman" w:eastAsia="Times New Roman" w:hAnsi="Times New Roman"/>
          <w:sz w:val="18"/>
          <w:szCs w:val="18"/>
          <w:color w:val="auto"/>
        </w:rPr>
        <w:t xml:space="preserve"> starring Rhea Seahorn, and </w:t>
      </w:r>
      <w:r>
        <w:rPr>
          <w:rFonts w:ascii="Times New Roman" w:cs="Times New Roman" w:eastAsia="Times New Roman" w:hAnsi="Times New Roman"/>
          <w:sz w:val="18"/>
          <w:szCs w:val="18"/>
          <w:i w:val="1"/>
          <w:iCs w:val="1"/>
          <w:color w:val="auto"/>
        </w:rPr>
        <w:t>SisterS</w:t>
      </w:r>
      <w:r>
        <w:rPr>
          <w:rFonts w:ascii="Times New Roman" w:cs="Times New Roman" w:eastAsia="Times New Roman" w:hAnsi="Times New Roman"/>
          <w:sz w:val="18"/>
          <w:szCs w:val="18"/>
          <w:color w:val="auto"/>
        </w:rPr>
        <w:t xml:space="preserve"> starring Sarah Goldberg.</w:t>
      </w:r>
    </w:p>
    <w:p>
      <w:pPr>
        <w:spacing w:after="0" w:line="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network’s slate includes a mix of fan favorite movies and classic television comedies.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IFC's programming also includes films from various film distributors, including Fox, Miramax, Sony, Lionsgate, Universal, Paramount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-1831340</wp:posOffset>
            </wp:positionV>
            <wp:extent cx="88265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26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646430</wp:posOffset>
            </wp:positionV>
            <wp:extent cx="188595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85950" cy="231775"/>
                    </a:xfrm>
                    <a:prstGeom prst="rect">
                      <a:avLst/>
                    </a:prstGeom>
                    <a:noFill/>
                  </pic:spPr>
                </pic:pic>
              </a:graphicData>
            </a:graphic>
          </wp:anchor>
        </w:drawing>
      </w: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December 31, 2023, SundanceTV reached approximately 54 million Nielsen subscribers and had distribution agreements with all major U.S. distributors.</w:t>
      </w:r>
    </w:p>
    <w:p>
      <w:pPr>
        <w:spacing w:after="0" w:line="53"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SundanceTV launched in 1996 and is committed to the mission of celebrating creativity and distinctive storytelling and classic movies.</w:t>
      </w:r>
    </w:p>
    <w:p>
      <w:pPr>
        <w:spacing w:after="0" w:line="115"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SundanceTV attracts viewer and critical acclaim for its original unscripted programming, including </w:t>
      </w:r>
      <w:r>
        <w:rPr>
          <w:rFonts w:ascii="Times New Roman" w:cs="Times New Roman" w:eastAsia="Times New Roman" w:hAnsi="Times New Roman"/>
          <w:sz w:val="18"/>
          <w:szCs w:val="18"/>
          <w:i w:val="1"/>
          <w:iCs w:val="1"/>
          <w:color w:val="auto"/>
        </w:rPr>
        <w:t>Off Script with The Hollywood Reporter</w:t>
      </w:r>
      <w:r>
        <w:rPr>
          <w:rFonts w:ascii="Times New Roman" w:cs="Times New Roman" w:eastAsia="Times New Roman" w:hAnsi="Times New Roman"/>
          <w:sz w:val="18"/>
          <w:szCs w:val="18"/>
          <w:color w:val="auto"/>
        </w:rPr>
        <w:t xml:space="preserve"> featuring the entertainment industry’s leading talents, and the True Crime Story franchise featuring </w:t>
      </w:r>
      <w:r>
        <w:rPr>
          <w:rFonts w:ascii="Times New Roman" w:cs="Times New Roman" w:eastAsia="Times New Roman" w:hAnsi="Times New Roman"/>
          <w:sz w:val="18"/>
          <w:szCs w:val="18"/>
          <w:i w:val="1"/>
          <w:iCs w:val="1"/>
          <w:color w:val="auto"/>
        </w:rPr>
        <w:t>It Couldn’t Happen Here</w:t>
      </w:r>
      <w:r>
        <w:rPr>
          <w:rFonts w:ascii="Times New Roman" w:cs="Times New Roman" w:eastAsia="Times New Roman" w:hAnsi="Times New Roman"/>
          <w:sz w:val="18"/>
          <w:szCs w:val="18"/>
          <w:color w:val="auto"/>
        </w:rPr>
        <w:t xml:space="preserve"> from Hilarie Burton Morgan.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Streaming Services</w:t>
      </w:r>
    </w:p>
    <w:p>
      <w:pPr>
        <w:spacing w:after="0" w:line="121" w:lineRule="exact"/>
        <w:rPr>
          <w:sz w:val="20"/>
          <w:szCs w:val="20"/>
          <w:color w:val="auto"/>
        </w:rPr>
      </w:pPr>
    </w:p>
    <w:p>
      <w:pPr>
        <w:jc w:val="both"/>
        <w:ind w:left="260" w:firstLine="405"/>
        <w:spacing w:after="0" w:line="266" w:lineRule="auto"/>
        <w:rPr>
          <w:sz w:val="20"/>
          <w:szCs w:val="20"/>
          <w:color w:val="auto"/>
        </w:rPr>
      </w:pPr>
      <w:r>
        <w:rPr>
          <w:rFonts w:ascii="Times New Roman" w:cs="Times New Roman" w:eastAsia="Times New Roman" w:hAnsi="Times New Roman"/>
          <w:sz w:val="18"/>
          <w:szCs w:val="18"/>
          <w:color w:val="auto"/>
        </w:rPr>
        <w:t>The Company’s streaming portfolio of branded subscription services serve a targeted, passionate fanbase with content depth, curation and community. The content on these platforms is a mix of licensed and owned original programming. Our various services are distributed in several key markets internationally, including Canada, the U.K., parts of Europe, Australia and New Zealand.</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streaming services, including AMC+, ended 2023 with approximately 11.4 million aggregate paid streaming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streaming portfolio includes the following targeted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222885</wp:posOffset>
            </wp:positionV>
            <wp:extent cx="128587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Acorn TV is North America’s largest streaming service specializing in mysteries and dramas from around the world.</w:t>
      </w:r>
    </w:p>
    <w:p>
      <w:pPr>
        <w:spacing w:after="0" w:line="115" w:lineRule="exact"/>
        <w:rPr>
          <w:rFonts w:ascii="Times New Roman" w:cs="Times New Roman" w:eastAsia="Times New Roman" w:hAnsi="Times New Roman"/>
          <w:sz w:val="18"/>
          <w:szCs w:val="18"/>
          <w:color w:val="auto"/>
        </w:rPr>
      </w:pPr>
    </w:p>
    <w:p>
      <w:pPr>
        <w:ind w:left="900" w:hanging="325"/>
        <w:spacing w:after="0" w:line="284"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In 2023, the service premiered </w:t>
      </w:r>
      <w:r>
        <w:rPr>
          <w:rFonts w:ascii="Times New Roman" w:cs="Times New Roman" w:eastAsia="Times New Roman" w:hAnsi="Times New Roman"/>
          <w:sz w:val="18"/>
          <w:szCs w:val="18"/>
          <w:i w:val="1"/>
          <w:iCs w:val="1"/>
          <w:color w:val="201F1E"/>
        </w:rPr>
        <w:t>Happy Valley</w:t>
      </w:r>
      <w:r>
        <w:rPr>
          <w:rFonts w:ascii="Times New Roman" w:cs="Times New Roman" w:eastAsia="Times New Roman" w:hAnsi="Times New Roman"/>
          <w:sz w:val="18"/>
          <w:szCs w:val="18"/>
          <w:color w:val="201F1E"/>
        </w:rPr>
        <w:t>, the acclaimed series that holds a 100% critics score on Rotten Tomatoes and landed on many critics’ year-end “Best Of” lists.</w:t>
      </w:r>
    </w:p>
    <w:p>
      <w:pPr>
        <w:spacing w:after="0" w:line="50" w:lineRule="exact"/>
        <w:rPr>
          <w:rFonts w:ascii="Times New Roman" w:cs="Times New Roman" w:eastAsia="Times New Roman" w:hAnsi="Times New Roman"/>
          <w:sz w:val="18"/>
          <w:szCs w:val="18"/>
          <w:color w:val="auto"/>
        </w:rPr>
      </w:pPr>
    </w:p>
    <w:p>
      <w:pPr>
        <w:ind w:left="900" w:hanging="325"/>
        <w:spacing w:after="0" w:line="284"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Exclusive original series include </w:t>
      </w:r>
      <w:r>
        <w:rPr>
          <w:rFonts w:ascii="Times New Roman" w:cs="Times New Roman" w:eastAsia="Times New Roman" w:hAnsi="Times New Roman"/>
          <w:sz w:val="18"/>
          <w:szCs w:val="18"/>
          <w:i w:val="1"/>
          <w:iCs w:val="1"/>
          <w:color w:val="201F1E"/>
        </w:rPr>
        <w:t>Mrs. Sidhu Investigates</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Dalgliesh</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Signora Volpe,</w:t>
      </w:r>
      <w:r>
        <w:rPr>
          <w:rFonts w:ascii="Times New Roman" w:cs="Times New Roman" w:eastAsia="Times New Roman" w:hAnsi="Times New Roman"/>
          <w:sz w:val="18"/>
          <w:szCs w:val="18"/>
          <w:color w:val="201F1E"/>
        </w:rPr>
        <w:t xml:space="preserve"> and </w:t>
      </w:r>
      <w:r>
        <w:rPr>
          <w:rFonts w:ascii="Times New Roman" w:cs="Times New Roman" w:eastAsia="Times New Roman" w:hAnsi="Times New Roman"/>
          <w:sz w:val="18"/>
          <w:szCs w:val="18"/>
          <w:i w:val="1"/>
          <w:iCs w:val="1"/>
          <w:color w:val="201F1E"/>
        </w:rPr>
        <w:t>Harry Wild</w:t>
      </w:r>
      <w:r>
        <w:rPr>
          <w:rFonts w:ascii="Times New Roman" w:cs="Times New Roman" w:eastAsia="Times New Roman" w:hAnsi="Times New Roman"/>
          <w:sz w:val="18"/>
          <w:szCs w:val="18"/>
          <w:color w:val="201F1E"/>
        </w:rPr>
        <w:t>, starring and executive produced by Emmy and Golden Globe winner, Jane Seymour.</w:t>
      </w:r>
    </w:p>
    <w:p>
      <w:pPr>
        <w:spacing w:after="0" w:line="50" w:lineRule="exact"/>
        <w:rPr>
          <w:rFonts w:ascii="Times New Roman" w:cs="Times New Roman" w:eastAsia="Times New Roman" w:hAnsi="Times New Roman"/>
          <w:sz w:val="18"/>
          <w:szCs w:val="18"/>
          <w:color w:val="auto"/>
        </w:rPr>
      </w:pPr>
    </w:p>
    <w:p>
      <w:pPr>
        <w:ind w:left="900" w:hanging="325"/>
        <w:spacing w:after="0" w:line="284"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Other international favorites on the service include the Australian set </w:t>
      </w:r>
      <w:r>
        <w:rPr>
          <w:rFonts w:ascii="Times New Roman" w:cs="Times New Roman" w:eastAsia="Times New Roman" w:hAnsi="Times New Roman"/>
          <w:sz w:val="18"/>
          <w:szCs w:val="18"/>
          <w:i w:val="1"/>
          <w:iCs w:val="1"/>
          <w:color w:val="201F1E"/>
        </w:rPr>
        <w:t>My Life Is Murder</w:t>
      </w:r>
      <w:r>
        <w:rPr>
          <w:rFonts w:ascii="Times New Roman" w:cs="Times New Roman" w:eastAsia="Times New Roman" w:hAnsi="Times New Roman"/>
          <w:sz w:val="18"/>
          <w:szCs w:val="18"/>
          <w:color w:val="201F1E"/>
        </w:rPr>
        <w:t xml:space="preserve"> starring Lucy Lawless, the romantic comedy </w:t>
      </w:r>
      <w:r>
        <w:rPr>
          <w:rFonts w:ascii="Times New Roman" w:cs="Times New Roman" w:eastAsia="Times New Roman" w:hAnsi="Times New Roman"/>
          <w:sz w:val="18"/>
          <w:szCs w:val="18"/>
          <w:i w:val="1"/>
          <w:iCs w:val="1"/>
          <w:color w:val="201F1E"/>
        </w:rPr>
        <w:t>Under</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 xml:space="preserve">the Vines </w:t>
      </w:r>
      <w:r>
        <w:rPr>
          <w:rFonts w:ascii="Times New Roman" w:cs="Times New Roman" w:eastAsia="Times New Roman" w:hAnsi="Times New Roman"/>
          <w:sz w:val="18"/>
          <w:szCs w:val="18"/>
          <w:color w:val="201F1E"/>
        </w:rPr>
        <w:t>from New</w:t>
      </w:r>
      <w:r>
        <w:rPr>
          <w:rFonts w:ascii="Times New Roman" w:cs="Times New Roman" w:eastAsia="Times New Roman" w:hAnsi="Times New Roman"/>
          <w:sz w:val="18"/>
          <w:szCs w:val="18"/>
          <w:i w:val="1"/>
          <w:iCs w:val="1"/>
          <w:color w:val="201F1E"/>
        </w:rPr>
        <w:t xml:space="preserve"> </w:t>
      </w:r>
      <w:r>
        <w:rPr>
          <w:rFonts w:ascii="Times New Roman" w:cs="Times New Roman" w:eastAsia="Times New Roman" w:hAnsi="Times New Roman"/>
          <w:sz w:val="18"/>
          <w:szCs w:val="18"/>
          <w:color w:val="212121"/>
        </w:rPr>
        <w:t>Zealand</w:t>
      </w:r>
      <w:r>
        <w:rPr>
          <w:rFonts w:ascii="Times New Roman" w:cs="Times New Roman" w:eastAsia="Times New Roman" w:hAnsi="Times New Roman"/>
          <w:sz w:val="18"/>
          <w:szCs w:val="18"/>
          <w:i w:val="1"/>
          <w:iCs w:val="1"/>
          <w:color w:val="201F1E"/>
        </w:rPr>
        <w:t xml:space="preserve"> </w:t>
      </w:r>
      <w:r>
        <w:rPr>
          <w:rFonts w:ascii="Times New Roman" w:cs="Times New Roman" w:eastAsia="Times New Roman" w:hAnsi="Times New Roman"/>
          <w:sz w:val="18"/>
          <w:szCs w:val="18"/>
          <w:color w:val="201F1E"/>
        </w:rPr>
        <w:t>and the French language hits</w:t>
      </w:r>
      <w:r>
        <w:rPr>
          <w:rFonts w:ascii="Times New Roman" w:cs="Times New Roman" w:eastAsia="Times New Roman" w:hAnsi="Times New Roman"/>
          <w:sz w:val="18"/>
          <w:szCs w:val="18"/>
          <w:i w:val="1"/>
          <w:iCs w:val="1"/>
          <w:color w:val="201F1E"/>
        </w:rPr>
        <w:t xml:space="preserve"> Candice Renoir </w:t>
      </w:r>
      <w:r>
        <w:rPr>
          <w:rFonts w:ascii="Times New Roman" w:cs="Times New Roman" w:eastAsia="Times New Roman" w:hAnsi="Times New Roman"/>
          <w:sz w:val="18"/>
          <w:szCs w:val="18"/>
          <w:color w:val="201F1E"/>
        </w:rPr>
        <w:t>and</w:t>
      </w:r>
      <w:r>
        <w:rPr>
          <w:rFonts w:ascii="Times New Roman" w:cs="Times New Roman" w:eastAsia="Times New Roman" w:hAnsi="Times New Roman"/>
          <w:sz w:val="18"/>
          <w:szCs w:val="18"/>
          <w:i w:val="1"/>
          <w:iCs w:val="1"/>
          <w:color w:val="201F1E"/>
        </w:rPr>
        <w:t xml:space="preserve"> Balthazar.</w:t>
      </w:r>
    </w:p>
    <w:p>
      <w:pPr>
        <w:spacing w:after="0" w:line="50" w:lineRule="exact"/>
        <w:rPr>
          <w:rFonts w:ascii="Times New Roman" w:cs="Times New Roman" w:eastAsia="Times New Roman" w:hAnsi="Times New Roman"/>
          <w:sz w:val="18"/>
          <w:szCs w:val="18"/>
          <w:color w:val="auto"/>
        </w:rPr>
      </w:pPr>
    </w:p>
    <w:p>
      <w:pPr>
        <w:ind w:left="900" w:hanging="325"/>
        <w:spacing w:after="0" w:line="284"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Long-running fan favorite hit series include </w:t>
      </w:r>
      <w:r>
        <w:rPr>
          <w:rFonts w:ascii="Times New Roman" w:cs="Times New Roman" w:eastAsia="Times New Roman" w:hAnsi="Times New Roman"/>
          <w:sz w:val="18"/>
          <w:szCs w:val="18"/>
          <w:i w:val="1"/>
          <w:iCs w:val="1"/>
          <w:color w:val="201F1E"/>
        </w:rPr>
        <w:t>Murdoch Mysteries</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Midsomer Murders,</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12121"/>
        </w:rPr>
        <w:t>Brokenwood Mysteries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12121"/>
        </w:rPr>
        <w:t>Chelsea Detective</w:t>
      </w:r>
      <w:r>
        <w:rPr>
          <w:rFonts w:ascii="Times New Roman" w:cs="Times New Roman" w:eastAsia="Times New Roman" w:hAnsi="Times New Roman"/>
          <w:sz w:val="18"/>
          <w:szCs w:val="18"/>
          <w:color w:val="201F1E"/>
        </w:rPr>
        <w:t xml:space="preserve"> and </w:t>
      </w:r>
      <w:r>
        <w:rPr>
          <w:rFonts w:ascii="Times New Roman" w:cs="Times New Roman" w:eastAsia="Times New Roman" w:hAnsi="Times New Roman"/>
          <w:sz w:val="18"/>
          <w:szCs w:val="18"/>
          <w:i w:val="1"/>
          <w:iCs w:val="1"/>
          <w:color w:val="201F1E"/>
        </w:rPr>
        <w:t>Doc</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 xml:space="preserve">Martin </w:t>
      </w:r>
      <w:r>
        <w:rPr>
          <w:rFonts w:ascii="Times New Roman" w:cs="Times New Roman" w:eastAsia="Times New Roman" w:hAnsi="Times New Roman"/>
          <w:sz w:val="18"/>
          <w:szCs w:val="18"/>
          <w:color w:val="201F1E"/>
        </w:rPr>
        <w:t>starring Martin Clunes.</w:t>
      </w:r>
    </w:p>
    <w:p>
      <w:pPr>
        <w:spacing w:after="0" w:line="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Acorn TV is currently available in key international markets including Canada, the U.K., Australia and New Zealand.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Called “one of the best streaming services in the world” by RogerEbert.com, Shudder offers a premium selection in genre entertainment covering horror, thrillers and the supernatural, bringing subscribers Hollywood favorites, cult classics and original series, and critically acclaimed new genre films.</w:t>
      </w:r>
    </w:p>
    <w:p>
      <w:pPr>
        <w:spacing w:after="0" w:line="6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2023 programming highlights included: Shudder’s annual programming event </w:t>
      </w:r>
      <w:r>
        <w:rPr>
          <w:rFonts w:ascii="Times New Roman" w:cs="Times New Roman" w:eastAsia="Times New Roman" w:hAnsi="Times New Roman"/>
          <w:sz w:val="18"/>
          <w:szCs w:val="18"/>
          <w:i w:val="1"/>
          <w:iCs w:val="1"/>
          <w:color w:val="201F1E"/>
        </w:rPr>
        <w:t>Halfway to Halloween</w:t>
      </w:r>
      <w:r>
        <w:rPr>
          <w:rFonts w:ascii="Times New Roman" w:cs="Times New Roman" w:eastAsia="Times New Roman" w:hAnsi="Times New Roman"/>
          <w:sz w:val="18"/>
          <w:szCs w:val="18"/>
          <w:color w:val="201F1E"/>
        </w:rPr>
        <w:t xml:space="preserve"> which featured original series and</w:t>
      </w:r>
    </w:p>
    <w:p>
      <w:pPr>
        <w:spacing w:after="0" w:line="29" w:lineRule="exact"/>
        <w:rPr>
          <w:rFonts w:ascii="Times New Roman" w:cs="Times New Roman" w:eastAsia="Times New Roman" w:hAnsi="Times New Roman"/>
          <w:sz w:val="18"/>
          <w:szCs w:val="18"/>
          <w:color w:val="auto"/>
        </w:rPr>
      </w:pPr>
    </w:p>
    <w:p>
      <w:pPr>
        <w:jc w:val="both"/>
        <w:ind w:left="9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 xml:space="preserve">specials including popular anthology series </w:t>
      </w:r>
      <w:r>
        <w:rPr>
          <w:rFonts w:ascii="Times New Roman" w:cs="Times New Roman" w:eastAsia="Times New Roman" w:hAnsi="Times New Roman"/>
          <w:sz w:val="18"/>
          <w:szCs w:val="18"/>
          <w:i w:val="1"/>
          <w:iCs w:val="1"/>
          <w:color w:val="201F1E"/>
        </w:rPr>
        <w:t>Slasher: Ripper</w:t>
      </w:r>
      <w:r>
        <w:rPr>
          <w:rFonts w:ascii="Times New Roman" w:cs="Times New Roman" w:eastAsia="Times New Roman" w:hAnsi="Times New Roman"/>
          <w:sz w:val="18"/>
          <w:szCs w:val="18"/>
          <w:color w:val="201F1E"/>
        </w:rPr>
        <w:t xml:space="preserve"> starring Eric McCormack (</w:t>
      </w:r>
      <w:r>
        <w:rPr>
          <w:rFonts w:ascii="Times New Roman" w:cs="Times New Roman" w:eastAsia="Times New Roman" w:hAnsi="Times New Roman"/>
          <w:sz w:val="18"/>
          <w:szCs w:val="18"/>
          <w:i w:val="1"/>
          <w:iCs w:val="1"/>
          <w:color w:val="201F1E"/>
        </w:rPr>
        <w:t>Will &amp; Grace)</w:t>
      </w:r>
      <w:r>
        <w:rPr>
          <w:rFonts w:ascii="Times New Roman" w:cs="Times New Roman" w:eastAsia="Times New Roman" w:hAnsi="Times New Roman"/>
          <w:sz w:val="18"/>
          <w:szCs w:val="18"/>
          <w:color w:val="201F1E"/>
        </w:rPr>
        <w:t xml:space="preserve"> and </w:t>
      </w:r>
      <w:r>
        <w:rPr>
          <w:rFonts w:ascii="Times New Roman" w:cs="Times New Roman" w:eastAsia="Times New Roman" w:hAnsi="Times New Roman"/>
          <w:sz w:val="18"/>
          <w:szCs w:val="18"/>
          <w:i w:val="1"/>
          <w:iCs w:val="1"/>
          <w:color w:val="201F1E"/>
        </w:rPr>
        <w:t>The Boulet Brothers’ Halfway to</w:t>
      </w:r>
      <w:r>
        <w:rPr>
          <w:rFonts w:ascii="Times New Roman" w:cs="Times New Roman" w:eastAsia="Times New Roman" w:hAnsi="Times New Roman"/>
          <w:sz w:val="18"/>
          <w:szCs w:val="18"/>
          <w:color w:val="201F1E"/>
        </w:rPr>
        <w:t xml:space="preserve"> </w:t>
      </w:r>
      <w:r>
        <w:rPr>
          <w:rFonts w:ascii="Times New Roman" w:cs="Times New Roman" w:eastAsia="Times New Roman" w:hAnsi="Times New Roman"/>
          <w:sz w:val="18"/>
          <w:szCs w:val="18"/>
          <w:i w:val="1"/>
          <w:iCs w:val="1"/>
          <w:color w:val="201F1E"/>
        </w:rPr>
        <w:t xml:space="preserve">Halloween TV Special, </w:t>
      </w:r>
      <w:r>
        <w:rPr>
          <w:rFonts w:ascii="Times New Roman" w:cs="Times New Roman" w:eastAsia="Times New Roman" w:hAnsi="Times New Roman"/>
          <w:sz w:val="18"/>
          <w:szCs w:val="18"/>
          <w:color w:val="201F1E"/>
        </w:rPr>
        <w:t>among many others; a new season of Shudder original series</w:t>
      </w:r>
      <w:r>
        <w:rPr>
          <w:rFonts w:ascii="Times New Roman" w:cs="Times New Roman" w:eastAsia="Times New Roman" w:hAnsi="Times New Roman"/>
          <w:sz w:val="18"/>
          <w:szCs w:val="18"/>
          <w:i w:val="1"/>
          <w:iCs w:val="1"/>
          <w:color w:val="201F1E"/>
        </w:rPr>
        <w:t xml:space="preserve"> The Last Drive-In with Joe Bob Briggs </w:t>
      </w:r>
      <w:r>
        <w:rPr>
          <w:rFonts w:ascii="Times New Roman" w:cs="Times New Roman" w:eastAsia="Times New Roman" w:hAnsi="Times New Roman"/>
          <w:sz w:val="18"/>
          <w:szCs w:val="18"/>
          <w:color w:val="201F1E"/>
        </w:rPr>
        <w:t>and</w:t>
      </w:r>
      <w:r>
        <w:rPr>
          <w:rFonts w:ascii="Times New Roman" w:cs="Times New Roman" w:eastAsia="Times New Roman" w:hAnsi="Times New Roman"/>
          <w:sz w:val="18"/>
          <w:szCs w:val="18"/>
          <w:i w:val="1"/>
          <w:iCs w:val="1"/>
          <w:color w:val="201F1E"/>
        </w:rPr>
        <w:t xml:space="preserve"> The Boulet Brothers’ Dragula, </w:t>
      </w:r>
      <w:r>
        <w:rPr>
          <w:rFonts w:ascii="Times New Roman" w:cs="Times New Roman" w:eastAsia="Times New Roman" w:hAnsi="Times New Roman"/>
          <w:sz w:val="18"/>
          <w:szCs w:val="18"/>
          <w:color w:val="201F1E"/>
        </w:rPr>
        <w:t>the return of hit found footage anthology</w:t>
      </w:r>
      <w:r>
        <w:rPr>
          <w:rFonts w:ascii="Times New Roman" w:cs="Times New Roman" w:eastAsia="Times New Roman" w:hAnsi="Times New Roman"/>
          <w:sz w:val="18"/>
          <w:szCs w:val="18"/>
          <w:i w:val="1"/>
          <w:iCs w:val="1"/>
          <w:color w:val="201F1E"/>
        </w:rPr>
        <w:t xml:space="preserve"> V/H/S </w:t>
      </w:r>
      <w:r>
        <w:rPr>
          <w:rFonts w:ascii="Times New Roman" w:cs="Times New Roman" w:eastAsia="Times New Roman" w:hAnsi="Times New Roman"/>
          <w:sz w:val="18"/>
          <w:szCs w:val="18"/>
          <w:color w:val="201F1E"/>
        </w:rPr>
        <w:t>with all-new installment</w:t>
      </w:r>
      <w:r>
        <w:rPr>
          <w:rFonts w:ascii="Times New Roman" w:cs="Times New Roman" w:eastAsia="Times New Roman" w:hAnsi="Times New Roman"/>
          <w:sz w:val="18"/>
          <w:szCs w:val="18"/>
          <w:i w:val="1"/>
          <w:iCs w:val="1"/>
          <w:color w:val="201F1E"/>
        </w:rPr>
        <w:t xml:space="preserve"> V/H/S/85; </w:t>
      </w:r>
      <w:r>
        <w:rPr>
          <w:rFonts w:ascii="Times New Roman" w:cs="Times New Roman" w:eastAsia="Times New Roman" w:hAnsi="Times New Roman"/>
          <w:sz w:val="18"/>
          <w:szCs w:val="18"/>
          <w:color w:val="201F1E"/>
        </w:rPr>
        <w:t>and a newly-branded “</w:t>
      </w:r>
      <w:r>
        <w:rPr>
          <w:rFonts w:ascii="Times New Roman" w:cs="Times New Roman" w:eastAsia="Times New Roman" w:hAnsi="Times New Roman"/>
          <w:sz w:val="18"/>
          <w:szCs w:val="18"/>
          <w:i w:val="1"/>
          <w:iCs w:val="1"/>
          <w:color w:val="201F1E"/>
        </w:rPr>
        <w:t>FearFest Shocked by Shudder</w:t>
      </w:r>
      <w:r>
        <w:rPr>
          <w:rFonts w:ascii="Times New Roman" w:cs="Times New Roman" w:eastAsia="Times New Roman" w:hAnsi="Times New Roman"/>
          <w:sz w:val="18"/>
          <w:szCs w:val="18"/>
          <w:color w:val="201F1E"/>
        </w:rPr>
        <w:t>” two-month programming event leading up to Halloween and featuring more than 700 hours of films, series and specials</w:t>
      </w:r>
      <w:r>
        <w:rPr>
          <w:rFonts w:ascii="Times New Roman" w:cs="Times New Roman" w:eastAsia="Times New Roman" w:hAnsi="Times New Roman"/>
          <w:sz w:val="18"/>
          <w:szCs w:val="18"/>
          <w:i w:val="1"/>
          <w:iCs w:val="1"/>
          <w:color w:val="201F1E"/>
        </w:rPr>
        <w:t xml:space="preserve"> </w:t>
      </w:r>
      <w:r>
        <w:rPr>
          <w:rFonts w:ascii="Times New Roman" w:cs="Times New Roman" w:eastAsia="Times New Roman" w:hAnsi="Times New Roman"/>
          <w:sz w:val="18"/>
          <w:szCs w:val="18"/>
          <w:color w:val="201F1E"/>
        </w:rPr>
        <w:t>curated by Shudder and presented across AMC Networks’ entire portfolio of networks and streaming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-1643380</wp:posOffset>
            </wp:positionV>
            <wp:extent cx="128587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205740"/>
                    </a:xfrm>
                    <a:prstGeom prst="rect">
                      <a:avLst/>
                    </a:prstGeom>
                    <a:noFill/>
                  </pic:spPr>
                </pic:pic>
              </a:graphicData>
            </a:graphic>
          </wp:anchor>
        </w:drawing>
      </w:r>
    </w:p>
    <w:p>
      <w:pPr>
        <w:spacing w:after="0" w:line="270" w:lineRule="exact"/>
        <w:rPr>
          <w:sz w:val="20"/>
          <w:szCs w:val="20"/>
          <w:color w:val="auto"/>
        </w:rPr>
      </w:pPr>
    </w:p>
    <w:p>
      <w:pPr>
        <w:ind w:right="100" w:firstLine="8"/>
        <w:spacing w:after="0" w:line="205" w:lineRule="auto"/>
        <w:tabs>
          <w:tab w:leader="none" w:pos="10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paid subscription is defined as a subscription to a direct-to-consumer service or a subscription received through distributor arrangements, in which we receive a fee for the distribution of our streaming services.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325" w:hanging="325"/>
        <w:spacing w:after="0"/>
        <w:tabs>
          <w:tab w:leader="none" w:pos="325" w:val="left"/>
        </w:tabs>
        <w:numPr>
          <w:ilvl w:val="0"/>
          <w:numId w:val="14"/>
        </w:numPr>
        <w:rPr>
          <w:rFonts w:ascii="Times New Roman" w:cs="Times New Roman" w:eastAsia="Times New Roman" w:hAnsi="Times New Roman"/>
          <w:sz w:val="18"/>
          <w:szCs w:val="18"/>
          <w:color w:val="201F1E"/>
        </w:rPr>
      </w:pPr>
      <w:r>
        <w:rPr>
          <w:rFonts w:ascii="Times New Roman" w:cs="Times New Roman" w:eastAsia="Times New Roman" w:hAnsi="Times New Roman"/>
          <w:sz w:val="18"/>
          <w:szCs w:val="18"/>
          <w:color w:val="auto"/>
        </w:rPr>
        <w:t>Shudder is currently available in international markets including Canada, the U.K., Ireland, Australia and New Zealand.</w:t>
      </w:r>
    </w:p>
    <w:p>
      <w:pPr>
        <w:spacing w:after="0" w:line="200" w:lineRule="exact"/>
        <w:rPr>
          <w:rFonts w:ascii="Times New Roman" w:cs="Times New Roman" w:eastAsia="Times New Roman" w:hAnsi="Times New Roman"/>
          <w:sz w:val="18"/>
          <w:szCs w:val="18"/>
          <w:color w:val="201F1E"/>
        </w:rPr>
      </w:pPr>
    </w:p>
    <w:p>
      <w:pPr>
        <w:spacing w:after="0" w:line="200" w:lineRule="exact"/>
        <w:rPr>
          <w:rFonts w:ascii="Times New Roman" w:cs="Times New Roman" w:eastAsia="Times New Roman" w:hAnsi="Times New Roman"/>
          <w:sz w:val="18"/>
          <w:szCs w:val="18"/>
          <w:color w:val="201F1E"/>
        </w:rPr>
      </w:pPr>
    </w:p>
    <w:p>
      <w:pPr>
        <w:spacing w:after="0" w:line="200" w:lineRule="exact"/>
        <w:rPr>
          <w:rFonts w:ascii="Times New Roman" w:cs="Times New Roman" w:eastAsia="Times New Roman" w:hAnsi="Times New Roman"/>
          <w:sz w:val="18"/>
          <w:szCs w:val="18"/>
          <w:color w:val="201F1E"/>
        </w:rPr>
      </w:pPr>
    </w:p>
    <w:p>
      <w:pPr>
        <w:spacing w:after="0" w:line="273" w:lineRule="exact"/>
        <w:rPr>
          <w:rFonts w:ascii="Times New Roman" w:cs="Times New Roman" w:eastAsia="Times New Roman" w:hAnsi="Times New Roman"/>
          <w:sz w:val="18"/>
          <w:szCs w:val="18"/>
          <w:color w:val="201F1E"/>
        </w:rPr>
      </w:pPr>
    </w:p>
    <w:p>
      <w:pPr>
        <w:ind w:left="325" w:right="20" w:hanging="325"/>
        <w:spacing w:after="0" w:line="282"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Sundance Now offers a rich selection of engrossing dramas and romance, imaginative fantasy, gripping mysteries, riveting true crime and intelligent thrillers, featuring empowered characters telling one-of-a-kind stories from around the world.</w:t>
      </w:r>
    </w:p>
    <w:p>
      <w:pPr>
        <w:spacing w:after="0" w:line="51" w:lineRule="exact"/>
        <w:rPr>
          <w:rFonts w:ascii="Times New Roman" w:cs="Times New Roman" w:eastAsia="Times New Roman" w:hAnsi="Times New Roman"/>
          <w:sz w:val="18"/>
          <w:szCs w:val="18"/>
          <w:color w:val="auto"/>
        </w:rPr>
      </w:pPr>
    </w:p>
    <w:p>
      <w:pPr>
        <w:jc w:val="both"/>
        <w:ind w:left="325" w:right="280" w:hanging="325"/>
        <w:spacing w:after="0" w:line="267"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the service debuted a strong slate of original series including mystery series </w:t>
      </w:r>
      <w:r>
        <w:rPr>
          <w:rFonts w:ascii="Times New Roman" w:cs="Times New Roman" w:eastAsia="Times New Roman" w:hAnsi="Times New Roman"/>
          <w:sz w:val="18"/>
          <w:szCs w:val="18"/>
          <w:i w:val="1"/>
          <w:iCs w:val="1"/>
          <w:color w:val="auto"/>
        </w:rPr>
        <w:t>The Vanishing Triangle</w:t>
      </w:r>
      <w:r>
        <w:rPr>
          <w:rFonts w:ascii="Times New Roman" w:cs="Times New Roman" w:eastAsia="Times New Roman" w:hAnsi="Times New Roman"/>
          <w:sz w:val="18"/>
          <w:szCs w:val="18"/>
          <w:color w:val="auto"/>
        </w:rPr>
        <w:t xml:space="preserve">, British crime drama </w:t>
      </w:r>
      <w:r>
        <w:rPr>
          <w:rFonts w:ascii="Times New Roman" w:cs="Times New Roman" w:eastAsia="Times New Roman" w:hAnsi="Times New Roman"/>
          <w:sz w:val="18"/>
          <w:szCs w:val="18"/>
          <w:i w:val="1"/>
          <w:iCs w:val="1"/>
          <w:color w:val="auto"/>
        </w:rPr>
        <w:t>The 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Shadow, </w:t>
      </w:r>
      <w:r>
        <w:rPr>
          <w:rFonts w:ascii="Times New Roman" w:cs="Times New Roman" w:eastAsia="Times New Roman" w:hAnsi="Times New Roman"/>
          <w:sz w:val="18"/>
          <w:szCs w:val="18"/>
          <w:color w:val="auto"/>
        </w:rPr>
        <w:t>a new series in its True Crime Story franchise,</w:t>
      </w:r>
      <w:r>
        <w:rPr>
          <w:rFonts w:ascii="Times New Roman" w:cs="Times New Roman" w:eastAsia="Times New Roman" w:hAnsi="Times New Roman"/>
          <w:sz w:val="18"/>
          <w:szCs w:val="18"/>
          <w:i w:val="1"/>
          <w:iCs w:val="1"/>
          <w:color w:val="auto"/>
        </w:rPr>
        <w:t xml:space="preserve"> True Crime Story: Citizen Detective, Bloodlands, Wrongly Accused, </w:t>
      </w:r>
      <w:r>
        <w:rPr>
          <w:rFonts w:ascii="Times New Roman" w:cs="Times New Roman" w:eastAsia="Times New Roman" w:hAnsi="Times New Roman"/>
          <w:sz w:val="18"/>
          <w:szCs w:val="18"/>
          <w:color w:val="auto"/>
        </w:rPr>
        <w:t>Israeli mystery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series </w:t>
      </w:r>
      <w:r>
        <w:rPr>
          <w:rFonts w:ascii="Times New Roman" w:cs="Times New Roman" w:eastAsia="Times New Roman" w:hAnsi="Times New Roman"/>
          <w:sz w:val="18"/>
          <w:szCs w:val="18"/>
          <w:i w:val="1"/>
          <w:iCs w:val="1"/>
          <w:color w:val="auto"/>
        </w:rPr>
        <w:t>Broken Ties</w:t>
      </w:r>
      <w:r>
        <w:rPr>
          <w:rFonts w:ascii="Times New Roman" w:cs="Times New Roman" w:eastAsia="Times New Roman" w:hAnsi="Times New Roman"/>
          <w:sz w:val="18"/>
          <w:szCs w:val="18"/>
          <w:color w:val="auto"/>
        </w:rPr>
        <w:t xml:space="preserve"> and a second season of Sundance Now exclusive anthology series </w:t>
      </w:r>
      <w:r>
        <w:rPr>
          <w:rFonts w:ascii="Times New Roman" w:cs="Times New Roman" w:eastAsia="Times New Roman" w:hAnsi="Times New Roman"/>
          <w:sz w:val="18"/>
          <w:szCs w:val="18"/>
          <w:i w:val="1"/>
          <w:iCs w:val="1"/>
          <w:color w:val="auto"/>
        </w:rPr>
        <w:t>The Pact.</w:t>
      </w:r>
    </w:p>
    <w:p>
      <w:pPr>
        <w:spacing w:after="0" w:line="67" w:lineRule="exact"/>
        <w:rPr>
          <w:rFonts w:ascii="Times New Roman" w:cs="Times New Roman" w:eastAsia="Times New Roman" w:hAnsi="Times New Roman"/>
          <w:sz w:val="18"/>
          <w:szCs w:val="18"/>
          <w:color w:val="auto"/>
        </w:rPr>
      </w:pPr>
    </w:p>
    <w:p>
      <w:pPr>
        <w:ind w:left="325" w:right="380" w:hanging="325"/>
        <w:spacing w:after="0" w:line="261"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Sundance Now also houses critically-acclaimed and award-winning original and streaming exclusive series including popular supernatural thriller </w:t>
      </w:r>
      <w:r>
        <w:rPr>
          <w:rFonts w:ascii="Times New Roman" w:cs="Times New Roman" w:eastAsia="Times New Roman" w:hAnsi="Times New Roman"/>
          <w:sz w:val="18"/>
          <w:szCs w:val="18"/>
          <w:i w:val="1"/>
          <w:iCs w:val="1"/>
          <w:color w:val="auto"/>
        </w:rPr>
        <w:t>A Discovery of Witches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acclaimed UK adaptation of the French hit Call My Agent!, </w:t>
      </w:r>
      <w:r>
        <w:rPr>
          <w:rFonts w:ascii="Times New Roman" w:cs="Times New Roman" w:eastAsia="Times New Roman" w:hAnsi="Times New Roman"/>
          <w:sz w:val="18"/>
          <w:szCs w:val="18"/>
          <w:i w:val="1"/>
          <w:iCs w:val="1"/>
          <w:color w:val="auto"/>
        </w:rPr>
        <w:t>Ten Percent</w:t>
      </w:r>
      <w:r>
        <w:rPr>
          <w:rFonts w:ascii="Times New Roman" w:cs="Times New Roman" w:eastAsia="Times New Roman" w:hAnsi="Times New Roman"/>
          <w:sz w:val="18"/>
          <w:szCs w:val="18"/>
          <w:color w:val="auto"/>
        </w:rPr>
        <w:t xml:space="preserve">, multi-Emmy winner </w:t>
      </w:r>
      <w:r>
        <w:rPr>
          <w:rFonts w:ascii="Times New Roman" w:cs="Times New Roman" w:eastAsia="Times New Roman" w:hAnsi="Times New Roman"/>
          <w:sz w:val="18"/>
          <w:szCs w:val="18"/>
          <w:i w:val="1"/>
          <w:iCs w:val="1"/>
          <w:color w:val="auto"/>
        </w:rPr>
        <w:t>State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glamorous drama</w:t>
      </w:r>
      <w:r>
        <w:rPr>
          <w:rFonts w:ascii="Times New Roman" w:cs="Times New Roman" w:eastAsia="Times New Roman" w:hAnsi="Times New Roman"/>
          <w:sz w:val="18"/>
          <w:szCs w:val="18"/>
          <w:i w:val="1"/>
          <w:iCs w:val="1"/>
          <w:color w:val="auto"/>
        </w:rPr>
        <w:t xml:space="preserve"> Riviera, </w:t>
      </w:r>
      <w:r>
        <w:rPr>
          <w:rFonts w:ascii="Times New Roman" w:cs="Times New Roman" w:eastAsia="Times New Roman" w:hAnsi="Times New Roman"/>
          <w:sz w:val="18"/>
          <w:szCs w:val="18"/>
          <w:color w:val="auto"/>
        </w:rPr>
        <w:t>British true crime thrillers starring David Tennant</w:t>
      </w:r>
      <w:r>
        <w:rPr>
          <w:rFonts w:ascii="Times New Roman" w:cs="Times New Roman" w:eastAsia="Times New Roman" w:hAnsi="Times New Roman"/>
          <w:sz w:val="18"/>
          <w:szCs w:val="18"/>
          <w:i w:val="1"/>
          <w:iCs w:val="1"/>
          <w:color w:val="auto"/>
        </w:rPr>
        <w:t xml:space="preserve"> Des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Litvinenko</w:t>
      </w:r>
      <w:r>
        <w:rPr>
          <w:rFonts w:ascii="Times New Roman" w:cs="Times New Roman" w:eastAsia="Times New Roman" w:hAnsi="Times New Roman"/>
          <w:sz w:val="18"/>
          <w:szCs w:val="18"/>
          <w:color w:val="auto"/>
        </w:rPr>
        <w:t>, celebrated French spy drama</w:t>
      </w:r>
      <w:r>
        <w:rPr>
          <w:rFonts w:ascii="Times New Roman" w:cs="Times New Roman" w:eastAsia="Times New Roman" w:hAnsi="Times New Roman"/>
          <w:sz w:val="18"/>
          <w:szCs w:val="18"/>
          <w:i w:val="1"/>
          <w:iCs w:val="1"/>
          <w:color w:val="auto"/>
        </w:rPr>
        <w:t xml:space="preserve"> The Bureau</w:t>
      </w:r>
      <w:r>
        <w:rPr>
          <w:rFonts w:ascii="Times New Roman" w:cs="Times New Roman" w:eastAsia="Times New Roman" w:hAnsi="Times New Roman"/>
          <w:sz w:val="18"/>
          <w:szCs w:val="18"/>
          <w:color w:val="auto"/>
        </w:rPr>
        <w:t>, and acclaimed Swedish drama</w:t>
      </w:r>
      <w:r>
        <w:rPr>
          <w:rFonts w:ascii="Times New Roman" w:cs="Times New Roman" w:eastAsia="Times New Roman" w:hAnsi="Times New Roman"/>
          <w:sz w:val="18"/>
          <w:szCs w:val="18"/>
          <w:i w:val="1"/>
          <w:iCs w:val="1"/>
          <w:color w:val="auto"/>
        </w:rPr>
        <w:t xml:space="preserve"> The Restaurant, </w:t>
      </w:r>
      <w:r>
        <w:rPr>
          <w:rFonts w:ascii="Times New Roman" w:cs="Times New Roman" w:eastAsia="Times New Roman" w:hAnsi="Times New Roman"/>
          <w:sz w:val="18"/>
          <w:szCs w:val="18"/>
          <w:color w:val="auto"/>
        </w:rPr>
        <w:t>among many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-1793875</wp:posOffset>
            </wp:positionV>
            <wp:extent cx="171450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28257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280035</wp:posOffset>
            </wp:positionV>
            <wp:extent cx="1311275" cy="651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12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5" w:hanging="325"/>
        <w:spacing w:after="0"/>
        <w:tabs>
          <w:tab w:leader="none" w:pos="3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ALLBLK is focused on Black content from Black creators and storytellers.</w:t>
      </w:r>
    </w:p>
    <w:p>
      <w:pPr>
        <w:spacing w:after="0" w:line="117"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ALLBLK is an invitation to a world of streaming entertainment that is inclusively, but unapologetically – Black.</w:t>
      </w:r>
    </w:p>
    <w:p>
      <w:pPr>
        <w:spacing w:after="0" w:line="117" w:lineRule="exact"/>
        <w:rPr>
          <w:rFonts w:ascii="Times New Roman" w:cs="Times New Roman" w:eastAsia="Times New Roman" w:hAnsi="Times New Roman"/>
          <w:sz w:val="18"/>
          <w:szCs w:val="18"/>
          <w:color w:val="auto"/>
        </w:rPr>
      </w:pPr>
    </w:p>
    <w:p>
      <w:pPr>
        <w:ind w:left="325" w:hanging="325"/>
        <w:spacing w:after="0" w:line="289" w:lineRule="auto"/>
        <w:tabs>
          <w:tab w:leader="none" w:pos="3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121"/>
        </w:rPr>
        <w:t xml:space="preserve">Featuring a diverse lineup of content that spans genres and generations, in 2023 ALLBLK premiered several new series and documentaries including: legal drama </w:t>
      </w:r>
      <w:r>
        <w:rPr>
          <w:rFonts w:ascii="Times New Roman" w:cs="Times New Roman" w:eastAsia="Times New Roman" w:hAnsi="Times New Roman"/>
          <w:sz w:val="17"/>
          <w:szCs w:val="17"/>
          <w:i w:val="1"/>
          <w:iCs w:val="1"/>
          <w:color w:val="212121"/>
        </w:rPr>
        <w:t>Judge Me Not</w:t>
      </w:r>
      <w:r>
        <w:rPr>
          <w:rFonts w:ascii="Times New Roman" w:cs="Times New Roman" w:eastAsia="Times New Roman" w:hAnsi="Times New Roman"/>
          <w:sz w:val="17"/>
          <w:szCs w:val="17"/>
          <w:color w:val="212121"/>
        </w:rPr>
        <w:t xml:space="preserve"> created by the honorable Judge Lynn Toler; docuseries </w:t>
      </w:r>
      <w:r>
        <w:rPr>
          <w:rFonts w:ascii="Times New Roman" w:cs="Times New Roman" w:eastAsia="Times New Roman" w:hAnsi="Times New Roman"/>
          <w:sz w:val="17"/>
          <w:szCs w:val="17"/>
          <w:i w:val="1"/>
          <w:iCs w:val="1"/>
          <w:color w:val="212121"/>
        </w:rPr>
        <w:t>Omega: The Gift &amp; The Curse</w:t>
      </w:r>
      <w:r>
        <w:rPr>
          <w:rFonts w:ascii="Times New Roman" w:cs="Times New Roman" w:eastAsia="Times New Roman" w:hAnsi="Times New Roman"/>
          <w:sz w:val="17"/>
          <w:szCs w:val="17"/>
          <w:color w:val="212121"/>
        </w:rPr>
        <w:t xml:space="preserve"> executive produced by R&amp;B sensation Omarion; and documentary </w:t>
      </w:r>
      <w:r>
        <w:rPr>
          <w:rFonts w:ascii="Times New Roman" w:cs="Times New Roman" w:eastAsia="Times New Roman" w:hAnsi="Times New Roman"/>
          <w:sz w:val="17"/>
          <w:szCs w:val="17"/>
          <w:i w:val="1"/>
          <w:iCs w:val="1"/>
          <w:color w:val="212121"/>
        </w:rPr>
        <w:t>The Hustle of @617MikeBiv</w:t>
      </w:r>
      <w:r>
        <w:rPr>
          <w:rFonts w:ascii="Times New Roman" w:cs="Times New Roman" w:eastAsia="Times New Roman" w:hAnsi="Times New Roman"/>
          <w:sz w:val="17"/>
          <w:szCs w:val="17"/>
          <w:color w:val="212121"/>
        </w:rPr>
        <w:t xml:space="preserve"> from GRAMMY® award-winning artist Michael L. Bivins.</w:t>
      </w:r>
    </w:p>
    <w:p>
      <w:pPr>
        <w:spacing w:after="0" w:line="47" w:lineRule="exact"/>
        <w:rPr>
          <w:rFonts w:ascii="Times New Roman" w:cs="Times New Roman" w:eastAsia="Times New Roman" w:hAnsi="Times New Roman"/>
          <w:sz w:val="17"/>
          <w:szCs w:val="17"/>
          <w:color w:val="auto"/>
        </w:rPr>
      </w:pPr>
    </w:p>
    <w:p>
      <w:pPr>
        <w:ind w:left="325" w:right="500" w:hanging="325"/>
        <w:spacing w:after="0" w:line="284"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The service’s lineup also includes: original series </w:t>
      </w:r>
      <w:r>
        <w:rPr>
          <w:rFonts w:ascii="Times New Roman" w:cs="Times New Roman" w:eastAsia="Times New Roman" w:hAnsi="Times New Roman"/>
          <w:sz w:val="18"/>
          <w:szCs w:val="18"/>
          <w:i w:val="1"/>
          <w:iCs w:val="1"/>
          <w:color w:val="212121"/>
        </w:rPr>
        <w:t>À La Carte</w:t>
      </w:r>
      <w:r>
        <w:rPr>
          <w:rFonts w:ascii="Times New Roman" w:cs="Times New Roman" w:eastAsia="Times New Roman" w:hAnsi="Times New Roman"/>
          <w:sz w:val="18"/>
          <w:szCs w:val="18"/>
          <w:color w:val="212121"/>
        </w:rPr>
        <w:t xml:space="preserve"> co-executive produced by Meagan Good</w:t>
      </w:r>
      <w:r>
        <w:rPr>
          <w:rFonts w:ascii="Times New Roman" w:cs="Times New Roman" w:eastAsia="Times New Roman" w:hAnsi="Times New Roman"/>
          <w:sz w:val="18"/>
          <w:szCs w:val="18"/>
          <w:i w:val="1"/>
          <w:iCs w:val="1"/>
          <w:color w:val="212121"/>
        </w:rPr>
        <w:t>; Partners In Rhyme</w:t>
      </w:r>
      <w:r>
        <w:rPr>
          <w:rFonts w:ascii="Times New Roman" w:cs="Times New Roman" w:eastAsia="Times New Roman" w:hAnsi="Times New Roman"/>
          <w:sz w:val="18"/>
          <w:szCs w:val="18"/>
          <w:color w:val="212121"/>
        </w:rPr>
        <w:t xml:space="preserve"> co-created by trailblazing rap legend MC Lyte; multi-season success </w:t>
      </w:r>
      <w:r>
        <w:rPr>
          <w:rFonts w:ascii="Times New Roman" w:cs="Times New Roman" w:eastAsia="Times New Roman" w:hAnsi="Times New Roman"/>
          <w:sz w:val="18"/>
          <w:szCs w:val="18"/>
          <w:i w:val="1"/>
          <w:iCs w:val="1"/>
          <w:color w:val="212121"/>
        </w:rPr>
        <w:t>A House Divided</w:t>
      </w:r>
      <w:r>
        <w:rPr>
          <w:rFonts w:ascii="Times New Roman" w:cs="Times New Roman" w:eastAsia="Times New Roman" w:hAnsi="Times New Roman"/>
          <w:sz w:val="18"/>
          <w:szCs w:val="18"/>
          <w:color w:val="212121"/>
        </w:rPr>
        <w:t xml:space="preserve">; and </w:t>
      </w:r>
      <w:r>
        <w:rPr>
          <w:rFonts w:ascii="Times New Roman" w:cs="Times New Roman" w:eastAsia="Times New Roman" w:hAnsi="Times New Roman"/>
          <w:sz w:val="18"/>
          <w:szCs w:val="18"/>
          <w:i w:val="1"/>
          <w:iCs w:val="1"/>
          <w:color w:val="212121"/>
        </w:rPr>
        <w:t>Double Cross</w:t>
      </w:r>
      <w:r>
        <w:rPr>
          <w:rFonts w:ascii="Times New Roman" w:cs="Times New Roman" w:eastAsia="Times New Roman" w:hAnsi="Times New Roman"/>
          <w:sz w:val="18"/>
          <w:szCs w:val="18"/>
          <w:color w:val="212121"/>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9" w:lineRule="exact"/>
        <w:rPr>
          <w:rFonts w:ascii="Times New Roman" w:cs="Times New Roman" w:eastAsia="Times New Roman" w:hAnsi="Times New Roman"/>
          <w:sz w:val="18"/>
          <w:szCs w:val="18"/>
          <w:color w:val="auto"/>
        </w:rPr>
      </w:pPr>
    </w:p>
    <w:p>
      <w:pPr>
        <w:jc w:val="both"/>
        <w:ind w:left="325" w:hanging="325"/>
        <w:spacing w:after="0" w:line="261"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HIDIVE LLC (“HIDIVE”) operates an anime-focused streaming service offering a robust library of entertainment that includes television series, movies, and original video animations. In addition to its deep and diverse catalog, HIDIVE offers first-run simulcasts of the best new anime at or near the same time as their Japanese broadcast, which in 2023 included the global hit series </w:t>
      </w:r>
      <w:r>
        <w:rPr>
          <w:rFonts w:ascii="Times New Roman" w:cs="Times New Roman" w:eastAsia="Times New Roman" w:hAnsi="Times New Roman"/>
          <w:sz w:val="18"/>
          <w:szCs w:val="18"/>
          <w:i w:val="1"/>
          <w:iCs w:val="1"/>
          <w:color w:val="auto"/>
        </w:rPr>
        <w:t>Oshi no Ko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Eminence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Shadow</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325" w:right="20" w:hanging="325"/>
        <w:spacing w:after="0" w:line="266"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HIDIVE is currently available in the U.S. and Canada as well as key overseas markets including the U.K., Ireland, Australia, and New Zealand. HIDIVE’s distribution reach continues to grow through its expanding network of partners and the development of new services including its Anime X HIDIVE FAST channel.</w:t>
      </w:r>
    </w:p>
    <w:p>
      <w:pPr>
        <w:spacing w:after="0" w:line="67" w:lineRule="exact"/>
        <w:rPr>
          <w:rFonts w:ascii="Times New Roman" w:cs="Times New Roman" w:eastAsia="Times New Roman" w:hAnsi="Times New Roman"/>
          <w:sz w:val="18"/>
          <w:szCs w:val="18"/>
          <w:color w:val="auto"/>
        </w:rPr>
      </w:pPr>
    </w:p>
    <w:p>
      <w:pPr>
        <w:jc w:val="both"/>
        <w:ind w:left="325" w:hanging="325"/>
        <w:spacing w:after="0" w:line="261"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subsidiary Sentai Holdings, LLC (“Sentai”) is a leading global acquirer, producer and supplier of anime content that it distributes through its affiliates including HIDIVE, The Anime Network and Sentai Filmworks, as well as select commercial partners. With strong industry relationships and access to key content creators in Japan, Sentai curates one of the anime industry’s most diverse libraries of top trending and classic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-2136775</wp:posOffset>
            </wp:positionV>
            <wp:extent cx="1285875"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999"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AMC Networks also operates a film business that distributes movies under three very distinct brands: IFC Films, RLJ Entertainment Films and Shudder. The IFC Films brand is known for being a home to independent and auteur focused films, attracting high-profile talent and filmmakers. Titles distributed through IFC Films regularly garner critical acclaim, industry honors, and awards recognition including those from leading national and international Festivals such as Cannes and Toronto, as well as the Academy Awards, Golden Globes, Gotham, and Spirit Awards, to name a few. The brand is behind some of the most successful, groundbreaking and culturally impactful independent film and documentary releases of all time. RLJ Entertainment Films is a market leader in acquiring tentpole and cast-driven genre content with an eye towards broad commercial appeal. Shudder operates the highest profile, horror-focused streaming service in the United States, and has become the prime destination for audiences to discover trend-setting filmmakers in the horror landscape. Shudder provides a curated experience that platforms fan-favorite classics to contemporary genre hits and has established a dedicated and devout fanbase with a tremendous allegiance for the brand. The film distribution business also operates IFC Films Unlimited, a subscription streaming service comprised of a broad range of theatrically-released and award-winning titles from its distribution brands. All three brands have a distinct approach while complementing one another - each synonymous with quality and commercial content, consistently debuting the next generation of distinguished filmmakers. Between the three brands, the expansive and diverse library consists of over 2,500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551305"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13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 Films, our film distribution business, is a leading distributor of high-quality, talent-driven independent films.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IFC Films theatrically releases over 20 films a year across all genres. IFC Films is a leader in progressive windowing strategies and pioneered the “day and date” model to maximize revenue and marketing effectiveness.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history, IFC Films has distributed over 1,000 films with a robust library which currently consists of over 800 films.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IFC Films is known for its fostering approach to filmmakers, distributing the early films of directors such as Christopher Nolan, Greta Gerwig, Barry Jenkins, Alfonso Cuaron and Richard Linklater.</w:t>
      </w:r>
    </w:p>
    <w:p>
      <w:pPr>
        <w:spacing w:after="0" w:line="51"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Notable 2023 releases include the Oscar shortlisted international film </w:t>
      </w:r>
      <w:r>
        <w:rPr>
          <w:rFonts w:ascii="Times New Roman" w:cs="Times New Roman" w:eastAsia="Times New Roman" w:hAnsi="Times New Roman"/>
          <w:sz w:val="18"/>
          <w:szCs w:val="18"/>
          <w:i w:val="1"/>
          <w:iCs w:val="1"/>
          <w:color w:val="auto"/>
        </w:rPr>
        <w:t>The Taste of Things</w:t>
      </w:r>
      <w:r>
        <w:rPr>
          <w:rFonts w:ascii="Times New Roman" w:cs="Times New Roman" w:eastAsia="Times New Roman" w:hAnsi="Times New Roman"/>
          <w:sz w:val="18"/>
          <w:szCs w:val="18"/>
          <w:color w:val="auto"/>
        </w:rPr>
        <w:t xml:space="preserve">; box office hit </w:t>
      </w:r>
      <w:r>
        <w:rPr>
          <w:rFonts w:ascii="Times New Roman" w:cs="Times New Roman" w:eastAsia="Times New Roman" w:hAnsi="Times New Roman"/>
          <w:sz w:val="18"/>
          <w:szCs w:val="18"/>
          <w:i w:val="1"/>
          <w:iCs w:val="1"/>
          <w:color w:val="auto"/>
        </w:rPr>
        <w:t>Skinamarink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Lakota Nation vs.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w:t>
      </w:r>
      <w:r>
        <w:rPr>
          <w:rFonts w:ascii="Times New Roman" w:cs="Times New Roman" w:eastAsia="Times New Roman" w:hAnsi="Times New Roman"/>
          <w:sz w:val="18"/>
          <w:szCs w:val="18"/>
          <w:color w:val="auto"/>
        </w:rPr>
        <w:t>; award-winning</w:t>
      </w:r>
      <w:r>
        <w:rPr>
          <w:rFonts w:ascii="Times New Roman" w:cs="Times New Roman" w:eastAsia="Times New Roman" w:hAnsi="Times New Roman"/>
          <w:sz w:val="18"/>
          <w:szCs w:val="18"/>
          <w:i w:val="1"/>
          <w:iCs w:val="1"/>
          <w:color w:val="auto"/>
        </w:rPr>
        <w:t xml:space="preserve"> Monica</w:t>
      </w:r>
      <w:r>
        <w:rPr>
          <w:rFonts w:ascii="Times New Roman" w:cs="Times New Roman" w:eastAsia="Times New Roman" w:hAnsi="Times New Roman"/>
          <w:sz w:val="18"/>
          <w:szCs w:val="18"/>
          <w:color w:val="auto"/>
        </w:rPr>
        <w:t>; and the Gotham Independent Film Award and Independent Spirit Award-nominated</w:t>
      </w:r>
      <w:r>
        <w:rPr>
          <w:rFonts w:ascii="Times New Roman" w:cs="Times New Roman" w:eastAsia="Times New Roman" w:hAnsi="Times New Roman"/>
          <w:sz w:val="18"/>
          <w:szCs w:val="18"/>
          <w:i w:val="1"/>
          <w:iCs w:val="1"/>
          <w:color w:val="auto"/>
        </w:rPr>
        <w:t xml:space="preserve"> BlackBerry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Shudder’s </w:t>
      </w:r>
      <w:r>
        <w:rPr>
          <w:rFonts w:ascii="Times New Roman" w:cs="Times New Roman" w:eastAsia="Times New Roman" w:hAnsi="Times New Roman"/>
          <w:sz w:val="18"/>
          <w:szCs w:val="18"/>
          <w:i w:val="1"/>
          <w:iCs w:val="1"/>
          <w:color w:val="auto"/>
        </w:rPr>
        <w:t>When Evil Lurks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birth/rebirth</w:t>
      </w:r>
      <w:r>
        <w:rPr>
          <w:rFonts w:ascii="Times New Roman" w:cs="Times New Roman" w:eastAsia="Times New Roman" w:hAnsi="Times New Roman"/>
          <w:sz w:val="18"/>
          <w:szCs w:val="18"/>
          <w:color w:val="auto"/>
        </w:rPr>
        <w:t xml:space="preserve">; and RLJE Films’ </w:t>
      </w:r>
      <w:r>
        <w:rPr>
          <w:rFonts w:ascii="Times New Roman" w:cs="Times New Roman" w:eastAsia="Times New Roman" w:hAnsi="Times New Roman"/>
          <w:sz w:val="18"/>
          <w:szCs w:val="18"/>
          <w:i w:val="1"/>
          <w:iCs w:val="1"/>
          <w:color w:val="auto"/>
        </w:rPr>
        <w:t>The Angry Black Girl and Her Monster.</w:t>
      </w: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AMC Networks Broadcasting &amp; Technology</w:t>
      </w:r>
    </w:p>
    <w:p>
      <w:pPr>
        <w:spacing w:after="0" w:line="121" w:lineRule="exact"/>
        <w:rPr>
          <w:sz w:val="20"/>
          <w:szCs w:val="20"/>
          <w:color w:val="auto"/>
        </w:rPr>
      </w:pPr>
    </w:p>
    <w:p>
      <w:pPr>
        <w:ind w:left="980" w:right="20" w:hanging="486"/>
        <w:spacing w:after="0" w:line="281" w:lineRule="auto"/>
        <w:tabs>
          <w:tab w:leader="none" w:pos="9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AMC Networks Broadcasting &amp; Technology is a full-service network programming feed origination and distribution company located in Bethpage, New York, which primarily services most of the national programming networks of the Company.</w:t>
      </w:r>
    </w:p>
    <w:p>
      <w:pPr>
        <w:spacing w:after="0" w:line="54" w:lineRule="exact"/>
        <w:rPr>
          <w:rFonts w:ascii="Arial" w:cs="Arial" w:eastAsia="Arial" w:hAnsi="Arial"/>
          <w:sz w:val="18"/>
          <w:szCs w:val="18"/>
          <w:color w:val="auto"/>
        </w:rPr>
      </w:pPr>
    </w:p>
    <w:p>
      <w:pPr>
        <w:jc w:val="both"/>
        <w:ind w:left="980" w:hanging="486"/>
        <w:spacing w:after="0" w:line="258" w:lineRule="auto"/>
        <w:tabs>
          <w:tab w:leader="none" w:pos="9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AMC Networks Broadcasting &amp; Technology consolidates origination and satellite communication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and traffic and scheduling that provide day-to-day delivery of any programming network, in high definition or standard definition.</w:t>
      </w: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International and Other</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International and Other segment includes the operations of AMCNI and included 25/7 Media until its sale on December 29, 2023. As described below, AMCNI operates a portfolio of channels centered around the flagship AMC channel and local channels supported by local production in the U.K., Latin America, and parts of Europe.</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AMC Networks International</w:t>
      </w:r>
    </w:p>
    <w:p>
      <w:pPr>
        <w:spacing w:after="0" w:line="121" w:lineRule="exact"/>
        <w:rPr>
          <w:sz w:val="20"/>
          <w:szCs w:val="20"/>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the international division of the Company, delivers entertaining and acclaimed programming that reaches subscribers in approximately 110 countries and territories around the world, through operational centers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ind w:left="486"/>
        <w:spacing w:after="0"/>
        <w:rPr>
          <w:sz w:val="20"/>
          <w:szCs w:val="20"/>
          <w:color w:val="auto"/>
        </w:rPr>
      </w:pPr>
      <w:r>
        <w:rPr>
          <w:rFonts w:ascii="Times New Roman" w:cs="Times New Roman" w:eastAsia="Times New Roman" w:hAnsi="Times New Roman"/>
          <w:sz w:val="18"/>
          <w:szCs w:val="18"/>
          <w:color w:val="auto"/>
        </w:rPr>
        <w:t>London, Madrid, Budapest, Prague, Miami and Buenos Aires.</w:t>
      </w:r>
    </w:p>
    <w:p>
      <w:pPr>
        <w:spacing w:after="0" w:line="117" w:lineRule="exact"/>
        <w:rPr>
          <w:sz w:val="20"/>
          <w:szCs w:val="20"/>
          <w:color w:val="auto"/>
        </w:rPr>
      </w:pPr>
    </w:p>
    <w:p>
      <w:pPr>
        <w:ind w:left="486" w:right="20" w:hanging="486"/>
        <w:spacing w:after="0" w:line="282" w:lineRule="auto"/>
        <w:tabs>
          <w:tab w:leader="none" w:pos="4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consists of our global brand, AMC, as well as a portfolio of popular, locally recognized brands delivering programming in a wide range of genres, including sports, film, cooking, lifestyle, crime and investigation, science, documentary and kids.</w:t>
      </w:r>
    </w:p>
    <w:p>
      <w:pPr>
        <w:spacing w:after="0" w:line="53" w:lineRule="exact"/>
        <w:rPr>
          <w:rFonts w:ascii="Times New Roman" w:cs="Times New Roman" w:eastAsia="Times New Roman" w:hAnsi="Times New Roman"/>
          <w:sz w:val="18"/>
          <w:szCs w:val="18"/>
          <w:color w:val="auto"/>
        </w:rPr>
      </w:pPr>
    </w:p>
    <w:p>
      <w:pPr>
        <w:ind w:left="486" w:hanging="486"/>
        <w:spacing w:after="0" w:line="282" w:lineRule="auto"/>
        <w:tabs>
          <w:tab w:leader="none" w:pos="4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local and regional channels are programmed for local audiences and language, and we develop and license local content that is tailored to individual market tastes.</w:t>
      </w:r>
    </w:p>
    <w:p>
      <w:pPr>
        <w:spacing w:after="0" w:line="53" w:lineRule="exact"/>
        <w:rPr>
          <w:rFonts w:ascii="Times New Roman" w:cs="Times New Roman" w:eastAsia="Times New Roman" w:hAnsi="Times New Roman"/>
          <w:sz w:val="18"/>
          <w:szCs w:val="18"/>
          <w:color w:val="auto"/>
        </w:rPr>
      </w:pPr>
    </w:p>
    <w:p>
      <w:pPr>
        <w:ind w:left="486" w:hanging="486"/>
        <w:spacing w:after="0"/>
        <w:tabs>
          <w:tab w:leader="none" w:pos="4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AMCNI operates a number of joint venture partnerships and managed channel services as well as direct to consumer services.</w:t>
      </w:r>
    </w:p>
    <w:p>
      <w:pPr>
        <w:spacing w:after="0" w:line="117" w:lineRule="exact"/>
        <w:rPr>
          <w:rFonts w:ascii="Times New Roman" w:cs="Times New Roman" w:eastAsia="Times New Roman" w:hAnsi="Times New Roman"/>
          <w:sz w:val="18"/>
          <w:szCs w:val="18"/>
          <w:color w:val="auto"/>
        </w:rPr>
      </w:pPr>
    </w:p>
    <w:p>
      <w:pPr>
        <w:jc w:val="both"/>
        <w:ind w:left="1126" w:hanging="478"/>
        <w:spacing w:after="0" w:line="266" w:lineRule="auto"/>
        <w:tabs>
          <w:tab w:leader="none" w:pos="11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Paramount International Networks delivers a portfolio of seven entertainment channels which is managed from London, including TRUE CRIME, TRUE CRIME XTRA, LEGEND and LEGEND XTRA (U.K. only) CBS Justice, CBS Europa, and CBS Reality (available outside of the U.K.).</w:t>
      </w:r>
    </w:p>
    <w:p>
      <w:pPr>
        <w:spacing w:after="0" w:line="202" w:lineRule="exact"/>
        <w:rPr>
          <w:rFonts w:ascii="Times New Roman" w:cs="Times New Roman" w:eastAsia="Times New Roman" w:hAnsi="Times New Roman"/>
          <w:sz w:val="18"/>
          <w:szCs w:val="18"/>
          <w:color w:val="auto"/>
        </w:rPr>
      </w:pPr>
    </w:p>
    <w:p>
      <w:pPr>
        <w:ind w:left="1126" w:right="20" w:hanging="478"/>
        <w:spacing w:after="0" w:line="282" w:lineRule="auto"/>
        <w:tabs>
          <w:tab w:leader="none" w:pos="11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Dreamia, a joint venture with NOS in Portugal, delivers channels including Canal Hollywood, Canal Panda, Panda Kids, Biggs, Blast, Casa e Cozinha, and recently launched the over-the-top ("OTT") application Panda+.</w:t>
      </w:r>
    </w:p>
    <w:p>
      <w:pPr>
        <w:spacing w:after="0" w:line="53" w:lineRule="exact"/>
        <w:rPr>
          <w:rFonts w:ascii="Times New Roman" w:cs="Times New Roman" w:eastAsia="Times New Roman" w:hAnsi="Times New Roman"/>
          <w:sz w:val="18"/>
          <w:szCs w:val="18"/>
          <w:color w:val="auto"/>
        </w:rPr>
      </w:pPr>
    </w:p>
    <w:p>
      <w:pPr>
        <w:jc w:val="both"/>
        <w:ind w:left="486" w:hanging="486"/>
        <w:spacing w:after="0" w:line="261" w:lineRule="auto"/>
        <w:tabs>
          <w:tab w:leader="none" w:pos="481" w:val="left"/>
        </w:tabs>
        <w:numPr>
          <w:ilvl w:val="0"/>
          <w:numId w:val="19"/>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The UK portfolio of channels reaches viewers via the Sky, Virgin Media, Freesat and Freeview platforms and on demand via the WATCH FREE UK player available from Freesat, Freeview and YouView and downloadable via IOS, Android, and all major device/manufacturer stores. A significant part of AMCNI UK’s content library is also available via partnerships with major streaming platforms such as FreeVee, Pluto TV, Rakuten TV and Samsung TV.</w:t>
      </w:r>
    </w:p>
    <w:p>
      <w:pPr>
        <w:spacing w:after="0" w:line="71" w:lineRule="exact"/>
        <w:rPr>
          <w:rFonts w:ascii="Times New Roman" w:cs="Times New Roman" w:eastAsia="Times New Roman" w:hAnsi="Times New Roman"/>
          <w:sz w:val="18"/>
          <w:szCs w:val="18"/>
          <w:color w:val="212121"/>
        </w:rPr>
      </w:pPr>
    </w:p>
    <w:p>
      <w:pPr>
        <w:ind w:left="486" w:hanging="486"/>
        <w:spacing w:after="0"/>
        <w:tabs>
          <w:tab w:leader="none" w:pos="4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the top AMCNI locally recognized channels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308610</wp:posOffset>
            </wp:positionV>
            <wp:extent cx="771525" cy="771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486" w:hanging="486"/>
        <w:spacing w:after="0" w:line="266" w:lineRule="auto"/>
        <w:tabs>
          <w:tab w:leader="none" w:pos="4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Gourmet is a “go-to” TV culinary destination for Latin American audiences that connects with its viewers by celebrating local traditions and featuring culinary experiences from all over the world. Its mission is to reunite family and friends around the table to make memorable life experiences.</w:t>
      </w:r>
    </w:p>
    <w:p>
      <w:pPr>
        <w:spacing w:after="0" w:line="67" w:lineRule="exact"/>
        <w:rPr>
          <w:rFonts w:ascii="Times New Roman" w:cs="Times New Roman" w:eastAsia="Times New Roman" w:hAnsi="Times New Roman"/>
          <w:sz w:val="18"/>
          <w:szCs w:val="18"/>
          <w:color w:val="auto"/>
        </w:rPr>
      </w:pPr>
    </w:p>
    <w:p>
      <w:pPr>
        <w:ind w:left="486" w:hanging="486"/>
        <w:spacing w:after="0" w:line="282" w:lineRule="auto"/>
        <w:tabs>
          <w:tab w:leader="none" w:pos="4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over two decades ago, El Gourmet offers 100% of its content in Spanish, with over 75% original productions and more than 250 episodes premiering each year, showcasing some of the greatest celebrity cooks of this region.</w:t>
      </w:r>
    </w:p>
    <w:p>
      <w:pPr>
        <w:spacing w:after="0" w:line="53" w:lineRule="exact"/>
        <w:rPr>
          <w:rFonts w:ascii="Times New Roman" w:cs="Times New Roman" w:eastAsia="Times New Roman" w:hAnsi="Times New Roman"/>
          <w:sz w:val="18"/>
          <w:szCs w:val="18"/>
          <w:color w:val="auto"/>
        </w:rPr>
      </w:pPr>
    </w:p>
    <w:p>
      <w:pPr>
        <w:ind w:left="486" w:hanging="486"/>
        <w:spacing w:after="0" w:line="282" w:lineRule="auto"/>
        <w:tabs>
          <w:tab w:leader="none" w:pos="4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Gourmet’s original productions have been awarded 15 Martin Fierro Awards (granted by the Association of Argentine Television and Radio Journalists) as well as 13 Taste Awards in the United States.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6" w:lineRule="exact"/>
        <w:rPr>
          <w:rFonts w:ascii="Times New Roman" w:cs="Times New Roman" w:eastAsia="Times New Roman" w:hAnsi="Times New Roman"/>
          <w:sz w:val="18"/>
          <w:szCs w:val="18"/>
          <w:color w:val="auto"/>
        </w:rPr>
      </w:pPr>
    </w:p>
    <w:p>
      <w:pPr>
        <w:ind w:left="486" w:hanging="486"/>
        <w:spacing w:after="0" w:line="282" w:lineRule="auto"/>
        <w:tabs>
          <w:tab w:leader="none" w:pos="264" w:val="left"/>
        </w:tabs>
        <w:numPr>
          <w:ilvl w:val="0"/>
          <w:numId w:val="20"/>
        </w:numPr>
        <w:rPr>
          <w:rFonts w:ascii="Arial" w:cs="Arial" w:eastAsia="Arial" w:hAnsi="Arial"/>
          <w:sz w:val="16"/>
          <w:szCs w:val="16"/>
          <w:color w:val="auto"/>
        </w:rPr>
      </w:pPr>
      <w:r>
        <w:rPr>
          <w:rFonts w:ascii="Times New Roman" w:cs="Times New Roman" w:eastAsia="Times New Roman" w:hAnsi="Times New Roman"/>
          <w:sz w:val="18"/>
          <w:szCs w:val="18"/>
          <w:color w:val="auto"/>
        </w:rPr>
        <w:t>Our U.K. business operates a joint venture with Paramount Global delivering a portfolio of entertainment channels in the U.K. including TRUE CRIME, LEGEND, TRUE CRIME XTRA and LEGEND XTRA.</w:t>
      </w:r>
    </w:p>
    <w:p>
      <w:pPr>
        <w:spacing w:after="0" w:line="53" w:lineRule="exact"/>
        <w:rPr>
          <w:rFonts w:ascii="Arial" w:cs="Arial" w:eastAsia="Arial" w:hAnsi="Arial"/>
          <w:sz w:val="16"/>
          <w:szCs w:val="16"/>
          <w:color w:val="auto"/>
        </w:rPr>
      </w:pPr>
    </w:p>
    <w:p>
      <w:pPr>
        <w:ind w:left="486" w:hanging="486"/>
        <w:spacing w:after="0" w:line="266"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CRIME is increasingly airing owned locally produced "true crime" content aimed at women in the 50+ demographic. These factual programs analyze authentic criminal cases predominantly from the U.K. and the United States through firsthand interviews, archive footage and key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-1410335</wp:posOffset>
            </wp:positionV>
            <wp:extent cx="4603115" cy="52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031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99"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5438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54380" cy="480060"/>
                    </a:xfrm>
                    <a:prstGeom prst="rect">
                      <a:avLst/>
                    </a:prstGeom>
                    <a:noFill/>
                  </pic:spPr>
                </pic:pic>
              </a:graphicData>
            </a:graphic>
          </wp:anchor>
        </w:drawing>
      </w:r>
    </w:p>
    <w:p>
      <w:pPr>
        <w:spacing w:after="0" w:line="358" w:lineRule="exact"/>
        <w:rPr>
          <w:sz w:val="20"/>
          <w:szCs w:val="20"/>
          <w:color w:val="auto"/>
        </w:rPr>
      </w:pPr>
    </w:p>
    <w:p>
      <w:pPr>
        <w:ind w:left="980" w:hanging="486"/>
        <w:spacing w:after="0" w:line="234" w:lineRule="auto"/>
        <w:tabs>
          <w:tab w:leader="none" w:pos="97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Jim Jam is a pre-school kids channel focused on education, providing a stimulating, engaging and safe environment for 2-5 year olds and contributing to their social, intellectual, and emotional development by providing learning through fun.</w:t>
      </w:r>
    </w:p>
    <w:p>
      <w:pPr>
        <w:spacing w:after="0" w:line="89" w:lineRule="exact"/>
        <w:rPr>
          <w:rFonts w:ascii="Times New Roman" w:cs="Times New Roman" w:eastAsia="Times New Roman" w:hAnsi="Times New Roman"/>
          <w:sz w:val="22"/>
          <w:szCs w:val="22"/>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Popular content includes </w:t>
      </w:r>
      <w:r>
        <w:rPr>
          <w:rFonts w:ascii="Times New Roman" w:cs="Times New Roman" w:eastAsia="Times New Roman" w:hAnsi="Times New Roman"/>
          <w:sz w:val="18"/>
          <w:szCs w:val="18"/>
          <w:i w:val="1"/>
          <w:iCs w:val="1"/>
          <w:color w:val="auto"/>
        </w:rPr>
        <w:t>Bob The Builder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Fireman Sam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Thomas and Friends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Pettson and Findus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Jam is available in over 60 EMEA countries.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ind w:left="980" w:hanging="486"/>
        <w:spacing w:after="0" w:line="234" w:lineRule="auto"/>
        <w:tabs>
          <w:tab w:leader="none" w:pos="97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Canal Hollywood is one of the leading pay-TV film channels in Spain and Portugal, offering a wide selection of movies produced by major U.S. studios.</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Genres include comedy, drama, thriller, western, musical, and science fiction and the industry’s biggest stars.</w:t>
      </w:r>
    </w:p>
    <w:p>
      <w:pPr>
        <w:spacing w:after="0" w:line="130" w:lineRule="exact"/>
        <w:rPr>
          <w:rFonts w:ascii="Arial" w:cs="Arial" w:eastAsia="Arial" w:hAnsi="Arial"/>
          <w:sz w:val="22"/>
          <w:szCs w:val="22"/>
          <w:color w:val="auto"/>
        </w:rPr>
      </w:pPr>
    </w:p>
    <w:p>
      <w:pPr>
        <w:ind w:left="980" w:hanging="486"/>
        <w:spacing w:after="0" w:line="234" w:lineRule="auto"/>
        <w:tabs>
          <w:tab w:leader="none" w:pos="97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channel began broadcasting in 1993 and is distributed on all pay-TV platforms in Spain and Portugal, reaching more than 10 million households.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7" w:lineRule="exact"/>
        <w:rPr>
          <w:rFonts w:ascii="Arial" w:cs="Arial" w:eastAsia="Arial" w:hAnsi="Arial"/>
          <w:sz w:val="22"/>
          <w:szCs w:val="22"/>
          <w:color w:val="auto"/>
        </w:rPr>
      </w:pPr>
    </w:p>
    <w:p>
      <w:pPr>
        <w:ind w:left="980" w:hanging="486"/>
        <w:spacing w:after="0"/>
        <w:tabs>
          <w:tab w:leader="none" w:pos="9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Sports 1 &amp; Sports 2 are basic cable channels in our core Central European territories.</w:t>
      </w:r>
    </w:p>
    <w:p>
      <w:pPr>
        <w:spacing w:after="0" w:line="13" w:lineRule="exact"/>
        <w:rPr>
          <w:rFonts w:ascii="Arial" w:cs="Arial" w:eastAsia="Arial" w:hAnsi="Arial"/>
          <w:sz w:val="22"/>
          <w:szCs w:val="22"/>
          <w:color w:val="auto"/>
        </w:rPr>
      </w:pPr>
    </w:p>
    <w:p>
      <w:pPr>
        <w:ind w:left="980" w:hanging="486"/>
        <w:spacing w:after="0" w:line="230" w:lineRule="auto"/>
        <w:tabs>
          <w:tab w:leader="none" w:pos="98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channels broadcast European football, European Handball, NBA and ice hockey among other live sports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-2305050</wp:posOffset>
            </wp:positionV>
            <wp:extent cx="925830" cy="480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830" cy="4800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-573405</wp:posOffset>
            </wp:positionV>
            <wp:extent cx="107124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1245"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businesses are subject to and affected by regulations of U.S. federal, state and local government authorities, and our international operations are subject to laws and regulations of regulators in the countries in which they operate, as well as international bodies, such as the European Union. The Federal Communications Commission (the "FCC") regulates U.S. programming networks directly in some limited respects; other FCC regulations, although imposed on cable television operators, satellite operators, or other MVPDs, affect programming networks indirectly. The rules, regulations, policies and procedures affecting our businesses are constantly subject to change and increasingly, legislative and regulatory proposals seek to cover all sources of content, including the digital platforms over which we offer content, which may affect our regulatory burdens in the future. The descriptions below are summary in nature and do not purport to describe all present and proposed laws and regulations affecting our businesses.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Closed Captioning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networks must provide closed-captioning of programming for the hearing impaired, and comply with other regulations designed to make our content more accessible, and we must provide closed captioning on certain video content that we offer on the Internet or through other Internet Protocol distribution methods. We must also ensure that our DTC applications can pass through closed captions on content and comply with certain other accessibility requirements. Congress and the FCC periodically consider proposals to enhance that accessibility, and are doing so now. Some of those proposals, if adopted, would increase our obligations substantially.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CALM Act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FCC rules require MVPDs to ensure that all commercials comply with specified volume standards, and our distribution agreements generally require us to certify compliance with such standards.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Emergency Alert Codes or Attention Signals</w:t>
      </w:r>
    </w:p>
    <w:p>
      <w:pPr>
        <w:spacing w:after="0" w:line="121"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We may not include emergency alert codes or attention signals, or simulations of them, in our content under any circumstances other than a genuine alert, an authorized test of the emergency alert system, or a permissible public service announcement.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Obscenity Restrictions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Program Carriage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Communications Act and the FCC's program carriage rules prohibit distributors from favoring their affiliated programming networks over unaffiliated similarly situated programming networks in the rates, terms and conditions of carriage agreements between programming networks and cable operators or other MVPDs. Despite these rules, certain regulatory interpretations and court decisions make it more difficult for our programming networks to challenge a distributor’s decision to decline to carry one of our programming networks or discriminate against one of our programming networks.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Programming and Volume Discounts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Some states also have sought to regulate the manner in which MVPDs package and offer programming. We generally do not allow our networks or individual programs on those networks today to be offered by distributors on an a la carte basis.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Effect of "Must-Carry" and "Retransmission Consent" Requirements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FCC's implementation of the statutory "must-carry" obligations requires cable and DBS operators to give certain broadcasters preferential access to channel space and preferential channel positions,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nor any guaranteed channel position.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Website Requirements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various websites that provide information regarding our businesses and offer content for sale. The operation of these websites may be subject to a range of federal, state and local laws such as privacy, data security, accessibility, child safety, oversight of user-generated content, and consumer protection regulations. For example, most states have enacted laws that impose data security and security breach obligations, and new frameworks regulating consumer privacy have recently been established at the state level and overseas, including the European Union's General Data Protection Regulation, or the GDPR, the California Consumer Privacy Act, or as amended, the CCPA and other similar comprehensive privacy laws that have been enacted in other states. The GDPR, the CCPA and other state laws impose, among other things, stringent operational requirements for processors and controllers of personal data, including expansive disclosures about how personal information is to be used, and significant fines for violations. In addition, the FCC from time to time considers whether some or all websites offering video programming should be considered MVPDs and regulated as such, which would increase our regulatory costs and obligations substantially.</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FCC also imposes rules that may impact us regarding a variety of issues such as advertising in children's television, and telemarketing. Programming businesses are also subject to regulation by regulators in the countries in which they operate, as well as international bodies, such as the European Union. In certain countries, these regulations include restrictions on types of advertising that can be sold on our networks, programming content requirements, requirements to make programming available on non-discriminatory terms, and local content quotas.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 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Programming Services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business of distributing programming services to cable television systems and other MVPDs and licensing of original programming for distribution is highly competitive. Our programming services face competition from other programming networks and services for carriage by a particular MVPD, and for the carriage on the service tier that will attract the most subscribers. Once our programming service is selected by a distributor for carriage, that service competes for viewers not only with the other programming services available on the distributor's system, but also with over-the-air broadcast television, Internet-based video and other online services, mobile services, radio, print media, motion picture theaters, DVDs, and other sources of information and entertainment. The continued growth of subscription streaming services, such as Netflix and Amazon Prime, and the increased offerings by virtual MVPDs have increased the competition for audiences by providing an alternative to the traditional television content distribution model by changing when, where and how audiences consume video content.</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Important to our success in each area of competition we face are the prices we charge for our programming services, the quantity, quality and variety of the programming offered on our services, and the effectiveness of our services' marketing efforts. The competition for viewers among advertiser supported networks is directly correlated with the competition for advertising revenues with each of our competitors.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successfully compete with other networks and services may be hampered because the cable television systems or other MVPDs through which we seek distribution may be affiliated with other programming networks or services. In addition, because such distributors may have a substantial number of subscribers, the ability of such programming services to obtain distribution on the systems of affiliated distributors may lead to increased distribution and advertising revenue for such programming networks or services because of their increased penetration compared to our programming services. Even if such affiliated distributors carry our programming services, such distributors may place their affiliated programming network on a more desirable tier, thereby giving the affiliated programming network a competitive advantage over our own.</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6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Programming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programs. Some of these competitors have exclusive contracts with motion picture studios or independent motion picture distributors or own film libraries.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Advertising Revenue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networks, and ad-supported streaming services, must compete with other sellers of advertising time and space, including other MVPDs, radio, newspapers, outdoor media and increasing shifts in spending toward online and mobile offerings from more traditional media. While the evolution of advanced advertising technologies, including addressable advertising and programmatic buying, creates additional monetization opportunities, we compete with other programming networks to gain an advantage in the use of such technologies.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AMC Networks we are passionate about telling quality authentic stories that connect with audiences in meaningful ways and that stand out within a crowded landscape. We believe the strength of our workforce is one of the significant contributors to our success. Our key human capital management objectives are to invest in and support our employees so that we have the ability to attract, develop and retain a high performing and diverse workforce.</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Talent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employed approximately 1,900 employees as of December 31, 2023. Our global workforce, as of December 31, 2023, was 50% women, with 45% of our leadership positions (vice president or equivalent and above) held by women, including our Chief Executive Officer and four additional members of the Company’s senior leadership team. More than 30% of our U.S.-based workforce are people of color and 19% of U.S.-based leadership positions are held by people of color.</w:t>
      </w:r>
    </w:p>
    <w:p>
      <w:pPr>
        <w:spacing w:after="0" w:line="72"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We aim to attract top talent through our corporate brand and our reputation for innovation and high-quality content, as well as through the many benefits we offer. We aim to retain our talent by emphasizing our competitive rewards; offering opportunities that support employees both personally and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professionally; and our commitment to fostering a positive, inclusive and collaborative corporate culture. We assess employee sentiment through a global employee engagement survey to identify what we are doing well and what opportunities and challenges we need to address in the coming year.</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benefit offerings are designed to meet the range of needs of our diverse workforce and support the health, finance, and well-being of employees. While offerings vary by location, they generally include: employee and family medical, dental and vision coverage; life and disability insurance coverage; adoption assistance; backup child/elder care; child care resources; college planning; domestic partner coverage; domestic partner tax equalization; gender confirmation surgery; employee assistance programs; financial planning seminars and identity theft protection.</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for certain of our productions, the Company, through in-house and third-party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AMC Networks, we recognize that diversity is a business imperative. We seek to offer programming that reflects and resonates with our diverse audiences. To further this goal, we aim to hire from a diverse pool of talent to help align our employee base, including those working in support of our programming and production content and strategy, with our existing and potential audiences. We remain committed to fostering a workplace that is diverse, equitable and inclusive, where everyone treats each other with kindness and respect, creating a space where everyone feels they belong. Some examples of our areas of focus include:</w:t>
      </w:r>
    </w:p>
    <w:p>
      <w:pPr>
        <w:spacing w:after="0" w:line="73"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Content </w:t>
      </w:r>
      <w:r>
        <w:rPr>
          <w:rFonts w:ascii="Times New Roman" w:cs="Times New Roman" w:eastAsia="Times New Roman" w:hAnsi="Times New Roman"/>
          <w:sz w:val="18"/>
          <w:szCs w:val="18"/>
          <w:color w:val="auto"/>
        </w:rPr>
        <w:t>– We have a long track record of championing and supporting independent and diverse voices and using our platforms and brands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these storytellers’ vision to life. Encouraging diverse and inclusive voices and points of view – on our screens, on our sets, and in our writer’s rooms</w:t>
      </w: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 is fundamental to our creative process. In 2023, we debuted several critically acclaimed and fan-favorite series and films across our portfolio of brands and services depicting the full spectrum of the human experience including: the second season of AMC’s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a top 10 cable drama which has received a perfect 100 Rotten Tomatoes rating for both its first and second seasons; IFC Films’ </w:t>
      </w:r>
      <w:r>
        <w:rPr>
          <w:rFonts w:ascii="Times New Roman" w:cs="Times New Roman" w:eastAsia="Times New Roman" w:hAnsi="Times New Roman"/>
          <w:sz w:val="18"/>
          <w:szCs w:val="18"/>
          <w:i w:val="1"/>
          <w:iCs w:val="1"/>
          <w:color w:val="auto"/>
        </w:rPr>
        <w:t>Monica</w:t>
      </w:r>
      <w:r>
        <w:rPr>
          <w:rFonts w:ascii="Times New Roman" w:cs="Times New Roman" w:eastAsia="Times New Roman" w:hAnsi="Times New Roman"/>
          <w:sz w:val="18"/>
          <w:szCs w:val="18"/>
          <w:color w:val="auto"/>
        </w:rPr>
        <w:t xml:space="preserve"> featuring “one of the best performances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2023,” from star Trace Lysette; AMC’s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the biggest premiere in the history of AMC+ at the time of its debut; and WE tv’s </w:t>
      </w:r>
      <w:r>
        <w:rPr>
          <w:rFonts w:ascii="Times New Roman" w:cs="Times New Roman" w:eastAsia="Times New Roman" w:hAnsi="Times New Roman"/>
          <w:sz w:val="18"/>
          <w:szCs w:val="18"/>
          <w:i w:val="1"/>
          <w:iCs w:val="1"/>
          <w:color w:val="auto"/>
        </w:rPr>
        <w:t xml:space="preserve">Brat Loves Judy </w:t>
      </w:r>
      <w:r>
        <w:rPr>
          <w:rFonts w:ascii="Times New Roman" w:cs="Times New Roman" w:eastAsia="Times New Roman" w:hAnsi="Times New Roman"/>
          <w:sz w:val="18"/>
          <w:szCs w:val="18"/>
          <w:color w:val="auto"/>
        </w:rPr>
        <w:t>among many others.</w:t>
      </w:r>
    </w:p>
    <w:p>
      <w:pPr>
        <w:spacing w:after="0" w:line="5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Developing Talent Pipelines </w:t>
      </w:r>
      <w:r>
        <w:rPr>
          <w:rFonts w:ascii="Times New Roman" w:cs="Times New Roman" w:eastAsia="Times New Roman" w:hAnsi="Times New Roman"/>
          <w:sz w:val="18"/>
          <w:szCs w:val="18"/>
          <w:color w:val="auto"/>
        </w:rPr>
        <w:t>– We strive to create robust pipelines of diverse talent for our workplace to provide employment opportunities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accessible to historically excluded and underrepresented communities. We do this primarily by partnering with leading industry diversity advocacy organizations and through our corporate internship program where we support opportunities and access for candidates from diverse and under-represented communities through a broad range of organizations including: The Entertainment Industry College Outreach Program (EICOP) HBCU in LA and New York internship programs, T. Howard Foundation, Future Now, Black Theatre Coalition, and the Institute of American Indian Arts (IAIA).</w:t>
      </w:r>
    </w:p>
    <w:p>
      <w:pPr>
        <w:spacing w:after="0" w:line="75"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Impact Partnerships </w:t>
      </w:r>
      <w:r>
        <w:rPr>
          <w:rFonts w:ascii="Times New Roman" w:cs="Times New Roman" w:eastAsia="Times New Roman" w:hAnsi="Times New Roman"/>
          <w:sz w:val="18"/>
          <w:szCs w:val="18"/>
          <w:color w:val="auto"/>
        </w:rPr>
        <w:t>– We work with leading industry organizations to promote greater inclusion in the stories we tell, the partners we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the audiences who enjoy our content. The following are a few examples of our active partnerships and collaborations through which we strive to empower the next generation of storytellers:</w:t>
      </w:r>
    </w:p>
    <w:p>
      <w:pPr>
        <w:spacing w:after="0" w:line="67"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build on the strong and impactful partnerships that have resulted in many firsts in 2023 – our first official partnership with an organization by and for veterans in our industry – VME (Veterans in Media &amp; Entertainment - uniting current and former members of the military working in film and television), our first Native American Diverse Supplier (Amber Morningstar Byars), impact producer for our IFC film, Lakota Nation v. US, who spoke to our employees on the importance of authentic representation and education about Native and Indigenous communities, our first Indigenous Non-Profit public service announcement highlighting our commitment to Native representation and amplifying the incredible work of the Native American Rights Fund. Our old and new workforce pipeline partnerships were responsible for helping us to recruit our most diverse intern class ever. We were thrilled to partner with ReelWorks in supporting the inaugural IATSE Entertainment Industry Hair Stylist Training, focused on increasing job access for makeup and hair professionals of color.</w:t>
      </w:r>
    </w:p>
    <w:p>
      <w:pPr>
        <w:spacing w:after="0" w:line="8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a new partnership with Black Theatre Coalition to provide fellowships at AMC Networks in casting, communications and production, working together to help develop the next generation of entertainment leaders.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partnerships with Coded for Inclusion’s Staff Me Up job matching platform for production crews designed to help change the way hiring happens in Hollywood, and Mentorship Matters to connect showrunners with emerging writers of color for dynamic year-long mentorships.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partnerships with several film festivals across the U.S. focused on identifying, developing, and amplifying talent from underrepresented and historically excluded communities.</w:t>
      </w:r>
    </w:p>
    <w:p>
      <w:pPr>
        <w:spacing w:after="0" w:line="5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Supplier Diversity </w:t>
      </w:r>
      <w:r>
        <w:rPr>
          <w:rFonts w:ascii="Times New Roman" w:cs="Times New Roman" w:eastAsia="Times New Roman" w:hAnsi="Times New Roman"/>
          <w:sz w:val="18"/>
          <w:szCs w:val="18"/>
          <w:color w:val="auto"/>
        </w:rPr>
        <w:t>– We continued developing our supplier diversity program with the launch of a new supplier reporting tool, regular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showcases and hosting events for diverse suppliers. The Company’s efforts were also recognized by the industry with AMC Networks’ supplier diversity team receiving the 2023 WBEC Metro NY President’s Award. We are committed to supplier diversity and advancing the social and economic inclusion of businesses owned by historically excluded and underrepresented groups — including women, minorities, veterans, people with disabilities, and the LGBTQ+ community. We seek to promote opportunities for diverse ideas and innovative solutions that strengthen our organization and the stories we tell, the suppliers we work with, and the communities where we live and operate. We strive to use best practices in supplier diversity to identify and work with businesses that are at least 51% owned, operated and controlled by one or more of the following: Minority Business Enterprise (MBE), Women Business Enterprise (WBE), Lesbian, Gay, Bisexual, Transgender, Queer Enterprises (LGBTQ+), Veteran Owned Business (VBE), Service Disabled Veterans (SDV), and Disability-Owned Business Enterprise (DOBE).</w:t>
      </w:r>
    </w:p>
    <w:p>
      <w:pPr>
        <w:spacing w:after="0" w:line="80"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Fostering Inclusive Communities </w:t>
      </w:r>
      <w:r>
        <w:rPr>
          <w:rFonts w:ascii="Times New Roman" w:cs="Times New Roman" w:eastAsia="Times New Roman" w:hAnsi="Times New Roman"/>
          <w:sz w:val="18"/>
          <w:szCs w:val="18"/>
          <w:color w:val="auto"/>
        </w:rPr>
        <w:t>– We have 12 Business Employee Resource Groups (BERGs) that form communities through shared interests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with more than 20 chapters across the U.S., U.K., Europe and Latin America. Our BERG members strive to create a culture of belonging for our employees by facilitating networking and connections with peers; supporting the acquisition of diverse talent; providing an avenue to facilitate leadership and skill development; and helping to increase the organization’s overall cultural competency. They are an important part of driving our business objectives, including curating themed content collections that help drive streaming subscriber engagement and growth, acting as a valuable sounding board for content development and programming, leading heritage month celebrations and supporting employee engagement and retention.</w:t>
      </w:r>
    </w:p>
    <w:p>
      <w:pPr>
        <w:spacing w:after="0" w:line="7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Learning Together </w:t>
      </w:r>
      <w:r>
        <w:rPr>
          <w:rFonts w:ascii="Times New Roman" w:cs="Times New Roman" w:eastAsia="Times New Roman" w:hAnsi="Times New Roman"/>
          <w:sz w:val="18"/>
          <w:szCs w:val="18"/>
          <w:color w:val="auto"/>
        </w:rPr>
        <w:t>– We equip our employees and our production staff with the tools and knowledge they need to expand awareness and understand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promoting diversity, equity and inclusion really means. We provide learning opportunities across a variety of topics ranging from exploring unearned advantage and disadvantage and cultivating an inclusive writer’s room and set to building a more equitable workforce through inclusive hiring practices.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Company has a proud history as the home to many of the greatest stories and characters in the history of TV and film. This history is imbued in our corporate culture and values and informs who we are and our mission to be a premier destination for passionate and engaged fan communities around the world with entertainment that stands out, drives popular culture and fuels the Company’s growth.</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Throughout the year we bring together partners, business leaders and our creative talent for engaging and thought-provoking conversations for our employees about our content and industry trends, and advancing diversity, equity and inclusion. In 2023, we continued the Company’s “Courageous Conversations” series, a monthly opportunity for all employees to engage on key social and cultural issues impacting our community and society at large, presented and facilitated by experts.</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Giving and social impact programs and initiatives are an important part of our culture because at AMC Networks we want to be a source for positive change in the communities where we live and work. Through philanthropic efforts, community outreach and strong and lasting partnerships, we support causes aimed at advancing a culture of inclusivity and amplifying everyone’s voice. In 2023, we matched donations from more than 250 employees in support of more than 240 causes on our online giving and volunteering platform, Give Back at AMCN. Through the platform, employees can research and learn about organizations doing important and difference-making work and make personal charitable donations, which includes an annual company match.</w:t>
      </w:r>
    </w:p>
    <w:p>
      <w:pPr>
        <w:spacing w:after="0" w:line="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Other initiatives to foster community and social impact include paid time off for full-time employees for Juneteenth, Veterans Day, an annual floating holiday and a volunteer day of their choice.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corporate website is http://www.amcnetworks.com and the investor relations section of our website is located at http://investors.amcnetworks.com.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 the following, as well as other social media channels, to disclose public information to investors, the media and others:</w:t>
      </w:r>
    </w:p>
    <w:p>
      <w:pPr>
        <w:spacing w:after="0" w:line="117" w:lineRule="exact"/>
        <w:rPr>
          <w:sz w:val="20"/>
          <w:szCs w:val="20"/>
          <w:color w:val="auto"/>
        </w:rPr>
      </w:pPr>
    </w:p>
    <w:p>
      <w:pPr>
        <w:ind w:left="1300" w:hanging="48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website (http://www.amcnetworks.com); and</w:t>
      </w:r>
    </w:p>
    <w:p>
      <w:pPr>
        <w:spacing w:after="0" w:line="117" w:lineRule="exact"/>
        <w:rPr>
          <w:rFonts w:ascii="Times New Roman" w:cs="Times New Roman" w:eastAsia="Times New Roman" w:hAnsi="Times New Roman"/>
          <w:sz w:val="18"/>
          <w:szCs w:val="18"/>
          <w:color w:val="auto"/>
        </w:rPr>
      </w:pPr>
    </w:p>
    <w:p>
      <w:pPr>
        <w:ind w:left="1300" w:hanging="446"/>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X (formerly Twitter) account (@AMC_Networks).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officers may use similar social media channels to disclose public information. It is possible that certain information we or our officers post on our website and on social media could be deemed material, and we encourage investors, the media and others interested in AMC Networks to review the business and financial information we or our officers post on our website and on the social media channels identified above. The information on our website and those social media channels is not incorporated by reference into this Annual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A wide range of risks may affect our business, financial condition and results of operations, now and in the future. We consider the risks described below to be the most significant. There may be other economic, business, competitive, regulatory or other factors that are currently unknown or unpredictable or that we do not presently consider to be material that could have material adverse effects on our future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appeal of our programming to our U.S. and international viewers and our distributors, which is often unpredictable and volatile.</w:t>
      </w:r>
    </w:p>
    <w:p>
      <w:pPr>
        <w:spacing w:after="0" w:line="3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depends upon viewer preferences and audience acceptance in the United States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our markets. A change in viewer preferences has caused, and could in the future continue to cause, the audience for certain of our programming to decline, which has resulted in, and could in the future continue to result in, a reduction of advertising revenues and jeopardize our bargaining position with distributors. In addition, certain of our competitors have more flexible programming arrangements, as well as greater amounts of available content, distribution and capital resources, and may react more quickly than we might to shifts in tastes and interests.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and our ability to accurately predict how audiences will respond to our original programming is particularly important. Because our network branding strategies depend significantly on a relatively small number of original programs,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 rights in the past, including $403.8 million in the fourth quarter of 2022, and may incur future program rights write-offs if it is determined that program rights have limited, or no, future usefulness.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AMC, IFC and SundanceTV programming networks broadcast feature films. In general, the popularity of feature-film content on linear television has declined, and may continue to decline, due in part to the broad availability of such content through an increasing number of distribution platforms. If the popularity of feature-film programming further declines, we may lose viewership, which would decrease our revenues.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our programming does not gain the level of audience acceptance we expect, or if we are unable to maintain the popularity of our programming, our ratings would suffer, which will negatively affect advertising revenues, and we may have a diminished bargaining position with distributors, which could reduce our distribution revenues. Ratings have declined in recent years, which has had a negative effect on our advertising revenues and our financial results. We cannot assure you that we will be able to maintain the success of any of our current programming or generate sufficient demand and market acceptance for our new programming.</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failure to develop popular new programming to replace programming that is older or ending can have adverse impacts on our business and results of operations.</w:t>
      </w:r>
    </w:p>
    <w:p>
      <w:pPr>
        <w:spacing w:after="0" w:line="5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success of our programming services, consisting of linear networks and streaming services,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Competition for programming has increased as the number of programming networks and streaming services has increased. Certain programming networks and streaming services that are affiliated with programming sources such as movie or television studios or film libraries have a competitive advantage over us. In addition to other cable programming networks, such as Paramount Global and Warner Bros. Discovery, Inc., we also compete for programming with national broadcast television networks, local broadcast television stations, video on demand services and subscription streaming services, such as Netflix, Hulu, Apple TV and Amazon Prime. Some of these competitors have exclusive contracts with motion picture studios or independent motion picture distributors or own film libraries.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ultimately be successful in producing or obtaining the quality programming our networks and streaming services need to be successful.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Increased programming costs have adversely affected and may continue to adversely affect our profits.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produce original programming and other content and may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programming have been and are expected to continue to be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Netflix, Hulu, Apple TV, and Amazon Prime, increases our programming content costs.</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producers and other creative talent over the amount of royalty and other payments (See Item 3. – Legal Proceedings for additional information). We believe that disputes of this type are endemic to our business and similar disputes may arise from time to time in the future. Increases in the costs of programming have led to and may in the future lead to decreased profitability or otherwise adversely impact our business.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in some cases the financial commitment for original programming is partially offset by foreign, state or local tax incentives,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 effective basis, our business, financial condition and results of operations may be materially adversely affected.</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business derives a substantial portion of its revenues and income from cable television providers and other MVPDs. Subscription streaming services and virtual MVPDs have changed when, where and how audiences consume video content. These changes pose risks to the traditional U.S. television industry, including (i) the disruption of the traditional television content distribution model by subscription streaming services and virtual MVPDs, which are increasing in number and some of which have a significant and growing subscriber base, and (ii) the disruption of the advertising supported television model resulting from increased video consumption through subscription streaming services and virtual MVPDs with no advertising or less advertising than on television networks, and time shifted viewing of television programming. In part as a result of these changes, over the past few years, the number of subscribers to traditional MVPDs in the United States has declined and the U.S. television industry has experienced declines in ratings for programming, which has negatively affected subscription and advertising revenues, including ours. Developments in technology and new content delivery products and services have also led to an increased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these initiatives depends in part on the cooperation of measurement companies, advertisers and affiliates and, therefore, is not within our control. We have incurred significant costs to implement our strategy and initiatives, and will continue to do so, and if they are not successful, our competitive position, businesses and results of operations could be adversely affected.</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which may have a negative effect on our profitability or on our ability to expand our business.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programming industry is highly competitive. Our programming networks and streaming services compete with other programming networks and other types of video programming services for marketing and distribution by cable and other MVPD systems and ultimately for viewing by their subscribers. We compete with other providers of programming networks for the right to be carried by a particular cable or other MVPD system and for the right to be carried by such system on a particular "tier" of service. The increasing offerings by virtual MVPDs through alternative distribution methods creates competition for carriage on those platforms. Our programming networks and streaming services compete with other programming networks, streaming services, and other sources of video content to secure desired entertainment programming.</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Competition for content, audiences and advertising is intense and comes from broadcast television, other cable networks, distributors, including subscription streaming services and virtual MVPDs, social media content distributors, and other entertainment outlets and platforms, as well as from search providers, social networks, program guides and "second screen" applications.</w:t>
      </w:r>
    </w:p>
    <w:p>
      <w:pPr>
        <w:spacing w:after="0" w:line="54"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We face significant competition for the development and production of original programming, including from, among others, cable programming networks such as Paramount Global and Warner Bros. Discovery, Inc., and subscription streaming services such as Netflix, Hulu, Apple TV, and Amazon Prime, which has increased and is expected to continue to increase our content costs as creating competing high quality, original content requires significant investment. Additionally, new technological developments, including the development and use of generative artificial intelligence, are rapidly evolving. If our competitors gain an advantage by using such technologies, our ability to compete effectively and our results of operations could be adversely impacted. As competition for the creation and acquisition of quality programming continues to escalate, the complexity of negotiations over acquired rights to the content and the value of the rights we acquire or retain has increased and is expected to further increase, leading to increased acquisition costs, and our ability to successfully acquire content of the highest quality may face greater uncertainty.</w:t>
      </w:r>
    </w:p>
    <w:p>
      <w:pPr>
        <w:spacing w:after="0" w:line="9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some of them have significant competitive advantages, which could adversely affect our ability to negotiate favorable terms and distribution or otherwise compete effectively in the delivery marketplace. Certain of our competitors also have preferential access to important technologies, customer data or other competitive information.</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50"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either in the United States or internationally, could have a material adverse effect on our business.</w:t>
      </w:r>
    </w:p>
    <w:p>
      <w:pPr>
        <w:spacing w:after="0" w:line="6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programming networks depend upon agreements with a limited number of cable television system operators and other MVPDs. The loss of any significant distributor could have a material adverse effect on our consolidated results of operations.</w:t>
      </w:r>
    </w:p>
    <w:p>
      <w:pPr>
        <w:spacing w:after="0" w:line="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Currently our programming networks have distribution agreements with staggered expiration dates through 2029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have, in some instances, made upfront payments to distributors in exchange for additional subscribers or have agreed to waive or accept lower subscription fees if certain numbers of additional subscribers are provided. In certain cases, we also support our distributors' efforts to market our programming networks or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attract and retain streaming subscribers may not be successful, which may adversely affect our business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attract subscribers depends in part on our ability to consistently provide compelling content choices, effectively market our streaming services, as well as provide a quality experience for subscribers. Furthermore, the relative service levels, content offerings, pricing and related features of competitors to our service may adversely impact our ability to attract and retain subscribers. For example, we have in the past increased, and may in the future increase, prices for our streaming services, which could result in subscribers cancelling their subscriptions or potential subscribers not choosing to sign up for our services. We incur significant marketing expenditures to attract streaming subscribers, therefore retention of those subscribers is critical to our business model.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If we are unable to successfully compete with current and new competitors in both retaining our existing subscriptions and attracting new subscriptions, our streaming services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must successfully adapt to technological advances in our industry, including alternative distribution platforms and viewing technologies. Our ability to exploit new distribution platforms and viewing technologies will affect our ability to maintain or grow our business. New forms of content distribution provide different economic models and compete with current distribution methods in ways that are not entirely predictable. Such competition has reduced and is likely to continue to reduce demand for our traditional television offerings and could reduce demand for the offerings of digital platforms and, in turn, reduce our revenue from these sources. Accordingly, we must adapt to changing consumer behavior driven by advances such as virtual MVPDs, video on demand, subscription streaming services, including services such as Netflix, Hulu, Apple TV and Amazon Prime, and mobile devices. Gaming and other consoles such as Microsoft's Xbox and Roku have established themselves as alternative providers of video services. Such changes have impacted and are expected to continue to impact the revenues we are able to generate from our traditional distribution methods, by decreasing the viewership of our programming networks on cable and other MVPD systems which are almost entirely directed at television video delivery and by making advertising on our programming networks less valuable to advertisers. If we fail to adapt our distribution methods and content to new technologies, our appeal to our targeted audiences would likely decline and there would be a negative effect on our business.</w:t>
      </w:r>
    </w:p>
    <w:p>
      <w:pPr>
        <w:spacing w:after="0" w:line="8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71"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Advertising market conditions in specific markets have in the past caused and are expected in the future to cause our revenues and operating results to decline significantly in any given period.</w:t>
      </w:r>
    </w:p>
    <w:p>
      <w:pPr>
        <w:spacing w:after="0" w:line="51"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We derive substantial revenues from the sale of advertising on a variety of platforms, and a decline in advertising expenditures could have a significant adverse effect on our revenues and operating results in any given period. Our advertising revenues were $716 million for the year ended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2023 compared to $872 million for the year ended December 31, 2022, an 18% decline.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pricing and volume of advertising has been affected by shifts in spending toward online and mobile offerings from more traditional media, and toward new ways of purchasing advertising, such as through automated purchasing, dynamic advertising insertion, third parties selling local advertising spots and advertising exchanges, some or all of which is not as advantageous to us as current advertising methods. The increased number of entertainment choices available to consumers has intensified audience fragmentation and reduced the viewing of content through traditional and virtual MVPDs, which has caused, and are expected to continue to cause, audience ratings declines for our programming networks and has adversely affected the pricing and volume of advertising.</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Advertising revenues are impacted by new technologies, and that impact has been and could continue to be significant. Since advertising sales are dependent on audience measurement provided by third parties, and the results of audience measurement techniques can vary independent of the size of the audience for a variety of reasons, including variations in the employed statistical sampling methods, there could be difficulties related to the employed statistical sampling methods, new distribution platforms and viewing technologies, and the shifting of the marketplace to the use of measurement of different viewer behaviors, such as delayed viewing.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which is growing rapidly, is presently not measured by any one consistently applied method. These variations and changes could have a significant effect on advertising revenues.</w:t>
      </w:r>
    </w:p>
    <w:p>
      <w:pPr>
        <w:spacing w:after="0" w:line="50"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prevalence of digital formats and technologies heightens this risk. Unauthorized access to our content could result in the premature release of our programming, which may have a significant adverse effect on the value of the affected programming.</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7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subject to litigation and other legal proceedings, which could negatively impact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(including class action lawsuits), claims, regulatory investigations and arbitration proceedings in the U.S. and in foreign countries, including claims relating to intellectual property, employment, wage and hour, consumer privacy, contractual and commercial disputes, and the production, distribution, and licensing of our content. Any proceedings, actions, claims or inquiries initiated by or against us, whether successful or not, may be time consuming, result in costly litigation, damage awards, consent decrees, injunctive relief or increased costs of business, require us to change our business practices or products, result in negative publicity, require significant amounts of management time, result in the diversion of significant operational resources or otherwise harm our business and financial results. In addition, our insurance may not be adequate to protect us from all material expenses related to pending and future claims. Any of these factors could materially adversely affect our business, financial condition and results of operations. For further information about specific litigation and proceedings, see the section titled “Legal Proceedings” contained in Part I, Item 3 of this Annual Report on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doing business internationally.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54" w:lineRule="exact"/>
        <w:rPr>
          <w:sz w:val="20"/>
          <w:szCs w:val="20"/>
          <w:color w:val="auto"/>
        </w:rPr>
      </w:pPr>
    </w:p>
    <w:p>
      <w:pPr>
        <w:ind w:left="660" w:right="14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policies affecting trade and taxes, including laws and policies relating to the repatriation of funds and withholding taxes, and changes in these laws;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ind w:left="660" w:right="760" w:hanging="247"/>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regulatory requirements, including restrictions on content, imposition of local content quotas and restrictions on foreign ownership;</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tariffs and other trade barriers;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degrees of protection for intellectual property and varying attitudes towards the piracy of intellectual property;</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privacy and data protection laws and regulations, as well as data localization requirements, and changes in these laws and requirements;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instability of foreign economies and governments;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 and</w:t>
      </w:r>
    </w:p>
    <w:p>
      <w:pPr>
        <w:spacing w:after="0" w:line="63"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Economic problems in the United States or in other parts of the world could adversely affect our results of operations.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is affected by prevailing economic and financial conditions in the United States and other countries. We derive substantial revenues from advertisers, and these expenditures are sensitive to general economic conditions and consumer buying patterns. Financial instability, a general decline in economic conditions, including as a result of the COVID-19 pandemic, disruptions to financial markets, inflation, recession, high unemployment or geopolitical events (including the war between Russia and Ukraine), or fears about such events occurring, in the United States and other countries where our networks are distributed, have in the past adversely affected advertising rates and volume, which has resulted in a decrease in our advertising revenues.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Decreases in consumer discretionary spending in the U.S and other countries where our networks are distributed have in the past affected and may in the future affect cable television and other video service subscriptions, in particular with respect to digital service tiers on which certain of our programming networks are carried. This could lead to a decrease in the number of subscribers receiving our programming from MVPDs, which could, in turn, have a negative impact on our viewing subscribers and subscription revenues. Similarly, a decrease in viewing subscribers could have a negative impact on the number of viewers actually watching the programs on our programming networks, thereby impacting the rates we are able to charge advertisers.</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Economic conditions affect a number of aspects of our businesses worldwide and impact the businesses of advertisers on our networks. Adverse economic conditions have resulted in and could in the future result in advertisers reducing their spending on advertising and negatively affect the ability of those with whom we do business to satisfy their obligations to us. The worsening of current global economic conditions has in the past adversely affected, and could in the future,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exchange rates have had and could have in the future an adverse effect on our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limited by United States regulatory constraints which may adversely impact our operations.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MVPD industries, our business could be affected.</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regulation of cable television operators,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 of us or of our competitors.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risks of adverse regulation by foreign governments.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Programming businesses are subject to the regulations of regulators in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Existing or proposed legislation and regulations could also significantly affect our business. For example, the E.U. GDPR imposes, among other things, stringent operational requirements for processors and controllers of personal data, including expansive disclosures about how personal information is to be used, and significant fines for non-compliance. Complying with these laws and regulations has been and could continue to be costly, could require us to change our business practices, or could limit or restrict aspects of our business in a manner adverse to our business operations. In particular, certain data privacy laws have required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 could result in exposure to enforcement actions by foreign governments, as well as significant negative publicity and reputational damage.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Adverse changes in foreign rules and regulations could have a significant adverse impact on our profitability.</w:t>
      </w:r>
    </w:p>
    <w:p>
      <w:pPr>
        <w:spacing w:after="0" w:line="113" w:lineRule="exact"/>
        <w:rPr>
          <w:sz w:val="20"/>
          <w:szCs w:val="20"/>
          <w:color w:val="auto"/>
        </w:rPr>
      </w:pPr>
    </w:p>
    <w:p>
      <w:pPr>
        <w:ind w:left="4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continually evolving cybersecurity risks, which could result in the disclosure, theft or destruction of confidential information, disruption of our programming, damage to our brands and reputation, legal exposure and financial losses.</w:t>
      </w:r>
    </w:p>
    <w:p>
      <w:pPr>
        <w:spacing w:after="0" w:line="51"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We maintain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Hybrid work arrangements increase the risk of cyber incidents, including data breaches. Additionally, outside parties from time to time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spacing w:after="0" w:line="246" w:lineRule="auto"/>
        <w:rPr>
          <w:sz w:val="20"/>
          <w:szCs w:val="20"/>
          <w:color w:val="auto"/>
        </w:rPr>
      </w:pPr>
      <w:r>
        <w:rPr>
          <w:rFonts w:ascii="Times New Roman" w:cs="Times New Roman" w:eastAsia="Times New Roman" w:hAnsi="Times New Roman"/>
          <w:sz w:val="18"/>
          <w:szCs w:val="18"/>
          <w:color w:val="auto"/>
        </w:rPr>
        <w:t>implement adequate preventative measures.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83"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computing services to operate certain aspects of our business and any disruption of or interference with our use of these services would impact our operations and our business would be adversely impacted.</w:t>
      </w:r>
    </w:p>
    <w:p>
      <w:pPr>
        <w:spacing w:after="0" w:line="5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Cloud computing services, such as Amazon Web Services (“AWS”), provide a distributed computing infrastructure platform for business operations. We have architected our software and computer systems so as to utilize data processing, storage capabilities and other services provided by AWS or other third parties. Such third parties’ facilities are vulnerable to damage or interruption from natural disasters, cybersecurity attacks, terrorist attacks, power outages and similar events or acts of misconduct. Currently, we run the vast majority of our computing on AWS. We have experienced, and we expect that in the future we will experience, interruptions, delays and outages in service and availability from AWS and other third-party service providers from time to time due to a variety of factors, including infrastructure changes, human or software errors, website hosting disruptions and capacity constraints. Given this, along with the fact that we cannot easily switch our AWS operations to another cloud provider, without significant costs, or at all, any disruption of or interference with our use of AWS would impact our operations and our business.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our technology facilities fail or their operations are disrupted, or if we lose access to third party satellites, our performance could be hindered.</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which is capable of providing simultaneous playout of AMC, BBC AMERICA ("BBCA"), SundanceTV, IFC and WEtv in the event of a disruption of operations at our main facility in Bethpage, NY. In the event of a catastrophic failure of the Bethpage facility, the disaster recovery site can be operational on the satellite within one to two hours.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and, in the event of a disruption, we may not be able to secure an alternate distribution source in a timely manner.</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and artistic talent could adversely affect our business.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While the Company was not significantly impacted by the 2023 Writers Guild of America and SAG-AFTRA strikes, any future labor disputes or a strike by one or more unions representing any of these parties who are essential to our original programming could have a material adverse effect on our original programming, disrupt our operations and reduce our revenues. We may also be impacted by perceptions relating to reductions in force that we have conducted in the past in order to optimize our organizational structure and reduce costs and the departure of certain senior personnel for various reasons. The loss of any significant personnel or artistic talent, or our artistic talent losing their audience base, could also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business have in the past been, and could in the future be, materially adversely impacted by a pandemic or other health emergency.</w:t>
      </w:r>
    </w:p>
    <w:p>
      <w:pPr>
        <w:spacing w:after="0" w:line="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Pandemics, such as the COVID-19 pandemic, and public health emergencies have affected and may, in the future, adversely affect our businesses. We experienced adverse advertising sales impacts and suspended content production as a result of the COVID-19 pandemic, which led to delays in the creation and availability of substantially all of our programming. If significant portions of our workforce, including key personnel, are unable to work effectively because of illness, government actions or other restrictions in connection with a pandemic or other public health emergency, the impact on our</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could be exacerbated. In addition, remote work arrangements heighten the operational risks, including cybersecurity risks, to which we are subject.</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cannot reasonably predict the ultimate impact of any pandemic or public health emergency, including the extent of any adverse impact on our business, results of operations and financial condition, which will depend on, among other things, the duration and spread of the pandemic or public health emergency, the impact of governmental regulations that have been, and may continue to be, imposed in response, the effectiveness of actions taken to contain or mitigate the outbreak, the availability, safety and efficacy of vaccines, including against emerging variants of the infectious disease, and global economic conditions.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to the extent that a pandemic or other public health emergency adversely affects our operations and financial condition, it may also heighten other risks described in this section.</w:t>
      </w:r>
    </w:p>
    <w:p>
      <w:pPr>
        <w:spacing w:after="0" w:line="36"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achieving sustaining or improving operating expense reductions, and might experience business disruptions associated with restructuring and cost reduction activities.</w:t>
      </w:r>
    </w:p>
    <w:p>
      <w:pPr>
        <w:spacing w:after="0" w:line="6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business has been, and may in the future be, the subject of restructuring and cost reduction initiatives. We may not be successful in achieving the full cost reduction benefits we expect over the timeframe we expect, or at all, and the ongoing costs of implementing cost reduction and restructuring measures might be greater than anticipated. If these measures are not successful or sustainable, we may undertake additional restructuring and cost reduction efforts, which could result in future restructuring charges. Moreover, our ability to achieve our other strategic goals and business plans might be adversely affected, and we could experience business disruptions, if our restructuring efforts and cost reduction activities prove ineffective. These actions may also distract management from other business opportunities and adversely impact employee productivity and morale.</w:t>
      </w:r>
    </w:p>
    <w:p>
      <w:pPr>
        <w:spacing w:after="0" w:line="62"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6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9" w:name="page30"/>
    <w:bookmarkEnd w:id="29"/>
    <w:p>
      <w:pPr>
        <w:ind w:left="660" w:right="1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additional tax liabilities.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a portion of our revenue and operating income is generated outside the United States, we are subject to potential current U.S. income tax on this income due to our being a U.S. corporation, resulting in a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Pillar Two Model Rules will be implemented in a phased approach beginning January 1, 2024. While the Company does not anticipate a significant impact to our financial statements as a result, compliance with the Pillar Two Model Rules could give rise to additional taxation in certain jurisdictions.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amount of our book value consists of intangible assets that may not generate cash in the event of a voluntary or involuntary sale.</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December 31, 2023, our consolidated financial statements included approximately $5.0 billion of consolidated total assets, of which approximately $0.9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long-term debt and high leverage could adversely affect our business.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a significant amount of long-term debt. As of December 31, 2023, we had $2.4 billion principal amount of total long-term debt (excluding finance leases), $607.5 million of which is senior secured debt under our Credit Facility and $1.8 billion of which is senior unsecured debt.</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ability to make payments on, or repay or refinance, our debt, and to fund planned distributions and capital expenditures, will depend largely upon our future operating performance and our ability to borrow additional funds in the future. Our future performance, to a certain extent, is subject to general economic, financial, competitive, regulatory and other factors that are beyond our control. Our leverage may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competitors;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w:t>
      </w:r>
    </w:p>
    <w:p>
      <w:pPr>
        <w:spacing w:after="0" w:line="11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will need to refinance our existing indebtedness as it matures, and we do not expect to generate sufficient cash from operations to repay at maturity our outstanding debt obligations. For example, we have $774.7 million of senior unsecured debt due in August 2025 that we will need to repay and/or refinance. As a result, we will be dependent upon our ability to access the capital and credit markets. Market conditions, including further changes in interest rates, may increase the risk that the terms of any refinancing will not be as favorable as the terms of the existing debt (including agreeing to more restrictive covenants on our business or needing to provide collateral securing the debt), or that we may not be able to refinance the existing debt at all. Failure to raise significant amounts of funding to repay these obligations at maturity on terms favorable to us, or at all, could adversely affect our business. If we are unable to raise such amounts, we would need to take other actions including reducing investments in new programming, selling assets, seeking strategic investments from third parties or reducing other discretionary uses of cash, any of which could adversely impact our business and financial condition. The Credit Facility and indentures governing our notes restrict, and market or business conditions may limit, our ability to do some of these things. See “The agreements governing our debt contain various covenants that impose restrictions on us that may affect our ability to operate our business.”</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a significant amount of our outstanding debt has fixed interest rates, borrowings under our Credit Facility bear interest at variable rates. For example, our interest expense increased from approximately $133.8 million in 2022 to approximately $152.7 million in 2023 despite a reduction in the outstanding principal amount of total debt. As a result, increases in market interest rates have increased our interest expense and our debt service obligations. If interest rates were to continue rising, this would further increase the amount of interest expense that we would have to pay for borrowings under the Credit Facility, and our net income and cash flows, including cash available for servicing our indebtedness, would correspondingly decrease. While we have in the past entered into hedging agreements limiting our exposure to higher interest rates, we did not have any interest rate swap contracts outstanding at December 31, 2023. We may enter into hedging agreements in the future; however, any such agreements do not offer complete protection from this risk.</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impose restrictions on us that may affect our ability to operate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agreements governing the Credit Facility and the indentures governing our notes contain covenants that, among other things, limit our ability to:</w:t>
      </w:r>
    </w:p>
    <w:p>
      <w:pPr>
        <w:spacing w:after="0" w:line="6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or guarantee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redeem or repurchase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1" w:name="page32"/>
    <w:bookmarkEnd w:id="31"/>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strategic transactions;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or merge with other companies.</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Credit Facility requires us to comply with a Cash Flow Ratio and an Interest Coverage Ratio, each as defined in the Credit Facility. Compliance with these covenants may limit our ability to take actions, including repurchasing our common stock or making investments, that might be to our advantage or to the advantage of our stockholders. The terms of any future indebtedness we may incur could include more restrictive covenants.</w:t>
      </w:r>
    </w:p>
    <w:p>
      <w:pPr>
        <w:spacing w:after="0" w:line="68"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and maintain these financial ratios, and we cannot assure you that we will be able to maintain compliance with these covenants and financial ratios in the future. For example, higher programming expenditures, higher operating costs or lower revenues could lead to a default under certain financial covenants contained in the Credit Facility. In addition, because the calculations of the financial ratios are made as of certain dates, the financial ratios can fluctuate significantly from period to period as the amounts outstanding under the Credit Facility are dependent on the timing of cash flows related to operations, capital expenditures and securities offerings. If we fail to comply with these covenants, we cannot assure you that we will be able to obtain waivers from the lenders and/or amend the covenants, which could, among other things, impact our liquidity. Moreover, in connection with any future waivers or amendments to our indebtedness that we may obtain, our lenders may modify the terms of our such indebtedness or impose additional operating and financial restrictions on us.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Any of these events could have a material adverse effect on our business, financial condition and results of operations.</w:t>
      </w:r>
    </w:p>
    <w:p>
      <w:pPr>
        <w:spacing w:after="0" w:line="8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our senior notes or borrowings under the Credit Facility, and obtain the ability to incur more debt as a result. If new debt is added to our current debt levels, the related risks we could face would be magnified.</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Controlled Ownership</w:t>
      </w:r>
    </w:p>
    <w:p>
      <w:pPr>
        <w:spacing w:after="0" w:line="117" w:lineRule="exact"/>
        <w:rPr>
          <w:sz w:val="20"/>
          <w:szCs w:val="20"/>
          <w:color w:val="auto"/>
        </w:rPr>
      </w:pPr>
    </w:p>
    <w:p>
      <w:pPr>
        <w:ind w:left="42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two classes of common stock:</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which is entitled to one vote per share and is entitled collectively to elect 25% of our Board of Directors.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which is generally entitled to ten votes per share and is entitled collectively to elect the remaining 75% of our Board of Directors.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2023, the Dolan family, including trusts for the benefit of members of the Dolan family (collectively "the Dolan Family Group"), own all of our Class B Common Stock, approximately 4% of our outstanding Class A Common Stock and approximately 79% of the total voting power of all our outstanding common stock. The members of the Dolan Family Group have executed a voting agreement (the "Stockholders Agreement") that has the effect of causing the voting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 addition, the affirmative vote or consent of the holders of at least 66 2/3% of the outstanding shares of the Class B Common Stock, voting separately as a class, is required to approve:</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or issuance of any additional shares of Class B Common Stock, and</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of any of the provisions of our certificate of incorporation that adversely affects the powers, preferences or rights of the Class B Common Stock.</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the Dolan Family Group has the power to prevent such issuance or amendment.</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68"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5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7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stock sales, including as a result of the exercise of registration rights by certain of our shareholders, could adversely affect the trading price of our Class A Common Stock.</w:t>
      </w:r>
    </w:p>
    <w:p>
      <w:pPr>
        <w:spacing w:after="0" w:line="5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Certain parties have registration rights covering a portion of our shares. We have entered into registration rights agreements with Charles F. Dolan, members of his family, certain Dolan family interests and the Dolan Family Foundation that provide them with "demand" and "piggyback" registration rights with respect to approximately 12.4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share certain executives and directors with Sphere Entertainment Co. ("Sphere Entertainment"), Madison Square Garden Sports Corp.</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("MSGS") and Madison Square Garden Entertainment Corp. ("MSGE"), which may give rise to conflicts.</w:t>
      </w:r>
    </w:p>
    <w:p>
      <w:pPr>
        <w:spacing w:after="0" w:line="99"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share two executives with MSGS, MSGE and Sphere Entertainment (each, an "Other Entity" and, collectively the "Other Entities"): Gregg G. Seibert, serves as a Vice Chairman of the Company and as a Vice Chairman of the Other Entities, and David Granville-Smith, serves as an Executive Vice President of the Company and as an Executive Vice President of MSGS and Sphere Entertainment. Each of the Other Entities and the Company are affiliates by virtue of being under common control of the Dolan family. As a result, he will not be devoting his full time and attention to the Company's affairs. Seven members of our Board of Directors, including our Chairman, are directors of MSGS, five members of our Board of Directors, including our Chairman, are directors of MSGE and seven members of our Board of Directors, including our Chairman, are directors of Sphere Entertainment.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latest proxy statement filed with the SEC for a description of our related party transaction approval policy that we have adopted to help address such potential conflicts that may arise.</w:t>
      </w:r>
    </w:p>
    <w:p>
      <w:pPr>
        <w:spacing w:after="0" w:line="84"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5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acknowledges that directors and officers of the Company may also be serving as directors, officers, employees, consultants or agents of MSGS, MSGE, Sphere Entertainment or their respective subsidiaries and that we may engage in material business transactions with such entities (the applicable provisions of the amended and restated certificate of incorporation, the "Overlap Provisions").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All companies utilizing technology are subject to the risk of breaches of or unauthorized access to their computer systems. The Company maintains a cyber risk management program designed to identify, assess, manage, mitigate, and respond to cybersecurity threats. The Audit Committee of our Board of Directors and our management are actively involved in the oversight of our risk management program, of which cybersecurity represents an important component. We have established policies, standards, processes and practices for assessing, identifying, and managing material risks from cybersecurity threats and incidents. Our policies, processes and procedures include, among other things, annual external penetration testing using an experienced third-party company; a cybersecurity incident response and recovery plan; periodic and ongoing security awareness training for employees; the use of several comprehensive vulnerability analysis systems to evaluate software vulnerabilities both internally and externally; and mechanisms to detect and monitor unusual network activity. The Company also requires that all third-party vendors that have access to or handle sensitive information undergo a risk-based vendor security assessment. We also maintain controls and procedures that are designed to promptly escalate certain cybersecurity incidents so that decisions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regarding public disclosure and reporting of such incidents can be made by management and our Board of Directors in a timely manner. There can be no guarantee that our policies and procedures will be properly followed in every instance or that those policies and procedures will be effective.</w:t>
      </w:r>
    </w:p>
    <w:p>
      <w:pPr>
        <w:spacing w:after="0" w:line="5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cyber risk management program is based on recognized best practices and standards for cybersecurity and information technology, including the National Institute of Standards and Technology (“NIST”) Cybersecurity Framework. Our cybersecurity risks are identified and addressed through a comprehensive, cross- functional approach. The Company has established a cybersecurity committee consisting of members of senior management, including the Company’s Chief Information Security Officer (“CISO”). The Company’s CISO is primarily responsible for the implementation of defense capabilities and risk mitigation strategies. The Company’s CISO has over 25 years of information technology and cybersecurity experience. He holds the title of Senior Vice President of Technology Services and Chief Information Security Officer, has been in his role since 2021 and is supported by his direct reports and their teams. The cybersecurity committee also includes senior members from the Company’s legal, human resources, technology, communications and risk management departments. This committee meets on a periodic basis to review various cybersecurity and data privacy matters and is responsible for maintaining processes to assess, identify and manage material risks from cybersecurity threats. The cybersecurity committee provides quarterly updates to the Company’s General Counsel, Chief Financial Officer and Executive Vice President of Global Media Operations and Technology. In addition, the cybersecurity committee has established regional triage teams that are responsible for responding to any cybersecurity incident and deciding if other members of the cybersecurity committee, Company employees or Company vendors should be involved in the Company’s response.</w:t>
      </w:r>
    </w:p>
    <w:p>
      <w:pPr>
        <w:spacing w:after="0" w:line="8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Our Audit Committee takes the lead on behalf of our Board of Directors in monitoring risk management, which includes overseeing the Company’s management of its cybersecurity and data privacy. The Audit Committee meets on a quarterly basis with our General Counsel and Chief Financial Officer, who provide quarterly reports concerning the Company’s information security and cybersecurity risks.</w:t>
      </w:r>
    </w:p>
    <w:p>
      <w:pPr>
        <w:spacing w:after="0" w:line="6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Although we have not been materially impacted by any cybersecurity incident to date, we are subject to cybersecurity threats, as discussed in Item 1A. Risk Factors, including in the risk factor entitled “We face continually evolving cybersecurity risks, which could result in the disclosure, theft or destruction of confidential information, disruption of our programming, damage to our brands and reputation, legal exposure and financial losses.”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lease approximately 813,000 square feet of space in the United States,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Georgia, Florida, Texas, Maryland and Illinois.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lease approximately 177,000 square feet of space outside of the U.S., including in Spain, Hungary and the U.K. that support our international operations.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our properties are adequate for our use.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and a final decision is not expected until later in 2024. While the ultimate outcome of this litigation is uncertain, we expect that the ultimate outcome is unlikely to have a material impact on the Company’s financial condition or results of operations.</w:t>
      </w:r>
    </w:p>
    <w:p>
      <w:pPr>
        <w:spacing w:after="0" w:line="8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motion has been fully briefed and awaiting decision. The court has scheduled a trial date of September 17, 2024.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actions and claims arising from alleged violations of the federal Video Privacy Protection Act (the “VPPA”) and analogous state laws. In addition to certain putative class actions currently pending, the Company is facing a series of arbitration claims managed by multiple plaintiffs law firms. The class action complaints and the arbitration claims all allege that the Company’s use of a Meta Platforms, Inc. pixel on the websites for certain of its subscription video services, including AMC+ and Shudder, violated the privacy protection provisions of the VPPA and its state law analogues. On October 27, 2023, the Company reached a settlement with multiple plaintiffs relating to their pending class actions alleging violations of the VPPA and analogous state laws. On January 10, 2024, the class action settlement was preliminarily approved by the United States District Court for the Southern District of New York. The Company has also reached settlements, or settlements in principle, to resolve the arbitration claims. All of the settlements reached by the Company in connection with these matters are expected to be reimbursed by the Company’s insurance carriers.</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"AMCX." Our Class B Common Stock is not listed on any exchange. Our Class A Common Stock began trading on NASDAQ on July 1, 2011.</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Performance Graph</w:t>
      </w:r>
    </w:p>
    <w:p>
      <w:pPr>
        <w:spacing w:after="0" w:line="11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performance of the Company's Class A Common Stock with the performance of the S&amp;P Mid-Cap 400 Index and a peer group (the "Peer Group Index") by measuring the changes in our Class A Common Stock prices from December 31, 2018 through December 31, 2023.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Warner Bros. Discovery, Inc., the Walt Disney Company, Fox Corporation (included from March 19, 2019, when trading began), Lions Gate Entertainment Corporation, Nexstar Media Group, Inc., Roku, Inc., and Paramount Global. The chart assumes $100 was invested on December 31, 2018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64770</wp:posOffset>
            </wp:positionV>
            <wp:extent cx="5623560" cy="3197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235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65.18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MidCap 400 Index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143.44</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178.95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159.96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7" w:name="page38"/>
    <w:bookmarkEnd w:id="37"/>
    <w:p>
      <w:pPr>
        <w:ind w:left="460" w:right="340"/>
        <w:spacing w:after="0" w:line="375" w:lineRule="auto"/>
        <w:rPr>
          <w:sz w:val="20"/>
          <w:szCs w:val="20"/>
          <w:color w:val="auto"/>
        </w:rPr>
      </w:pPr>
      <w:r>
        <w:rPr>
          <w:rFonts w:ascii="Times New Roman" w:cs="Times New Roman" w:eastAsia="Times New Roman" w:hAnsi="Times New Roman"/>
          <w:sz w:val="18"/>
          <w:szCs w:val="18"/>
          <w:color w:val="auto"/>
        </w:rPr>
        <w:t xml:space="preserve">As of February 2, 2024, there were 513 holders of record of our Class A Common Stock and 33 holders of record of our Class B Common Stock. </w:t>
      </w:r>
      <w:r>
        <w:rPr>
          <w:rFonts w:ascii="Times New Roman" w:cs="Times New Roman" w:eastAsia="Times New Roman" w:hAnsi="Times New Roman"/>
          <w:sz w:val="18"/>
          <w:szCs w:val="18"/>
          <w:u w:val="single" w:color="auto"/>
          <w:color w:val="auto"/>
        </w:rPr>
        <w:t>Stock Repurchase Program</w:t>
      </w:r>
    </w:p>
    <w:p>
      <w:pPr>
        <w:spacing w:after="0" w:line="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The Company did not repurchase any shares of its Class A common stock during the year ended December 31, 2023. As of December 31, 2023, the Company had $135.3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66"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This section provides a general description of our business and our operating segments, as well as other matters that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important in understanding our results of operations and financial condition and in anticipating future trends.</w:t>
      </w:r>
    </w:p>
    <w:p>
      <w:pPr>
        <w:spacing w:after="0" w:line="5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Consolidated Results of Operations</w:t>
      </w:r>
      <w:r>
        <w:rPr>
          <w:rFonts w:ascii="Times New Roman" w:cs="Times New Roman" w:eastAsia="Times New Roman" w:hAnsi="Times New Roman"/>
          <w:sz w:val="18"/>
          <w:szCs w:val="18"/>
          <w:color w:val="auto"/>
        </w:rPr>
        <w:t>. This section provides an analysis of our results of operations for the years ended December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discussion is presented on both a consolidated and segment basis. Our two segments are: (i) Domestic Operations and (ii) International and Other. Analysis of our results of operations, on both a consolidated and segment basis, for the year ended December 31, 2021, including a comparison of 2022 to 2021, is included in our Annual Report on Form 10-K for the year ended December 31, 2022.</w:t>
      </w:r>
    </w:p>
    <w:p>
      <w:pPr>
        <w:spacing w:after="0" w:line="72"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 discussion of our financial condition as of December 31, 2023 as well as an analysis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for the years ended December 31, 2023 and 2022. The discussion of our financial condition and liquidity also includes a summary of our primary sources of liquidity. Analysis of our cash flows for the year ended December 31, 2021 is included in our Annual Report on Form 10-K for the year ended December 31, 2022.</w:t>
      </w:r>
    </w:p>
    <w:p>
      <w:pPr>
        <w:spacing w:after="0" w:line="7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 discussion of our accounting policies considered to be important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our financial condition and results of operations, and which require significant judgment and estimates on the part of management in their application.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143" w:lineRule="exact"/>
        <w:rPr>
          <w:sz w:val="20"/>
          <w:szCs w:val="20"/>
          <w:color w:val="auto"/>
        </w:rPr>
      </w:pPr>
    </w:p>
    <w:p>
      <w:pPr>
        <w:jc w:val="both"/>
        <w:ind w:firstLine="445"/>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(loss) and adjusted operating income (loss)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58"/>
        </w:trPr>
        <w:tc>
          <w:tcPr>
            <w:tcW w:w="2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52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2,675,142</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442,525</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7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3,096,545</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5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286,517</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International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5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38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7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7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738,402</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20" w:firstLine="8"/>
        <w:spacing w:after="0" w:line="282" w:lineRule="auto"/>
        <w:tabs>
          <w:tab w:leader="none" w:pos="21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Income (Loss), is a non-GAAP financial measure. See the "Non-GAAP Financial Measures" section on page 55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4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Restructuring and other related charges were $27.8 million and $449.0 million for the years ended December 31, 2023 and 2022, with the majority of such costs related to a restructuring plan (the "Plan") that commenced in November 2022.</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as a result of the Plan, the Company recorded restructuring and other related charges of $449.0 million, consisting of content impairments of $403.8 million and severance and other personnel costs of $45.2 million.</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the Plan and recorded restructuring and other related charges of $27.8 million, consisting primarily of charges relating to severance and other personnel costs, and its exit during the third quarter of 2023 of a portion of office space at its corporate headquarters in New York and office space in Silver Spring, Maryland and Woodland Hills, California.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25/7 Media sale</w:t>
      </w:r>
    </w:p>
    <w:p>
      <w:pPr>
        <w:spacing w:after="0" w:line="14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December 29, 2023, the Company sold its remaining interest in 25/7 Media to the noncontrolling interest holders. The results of operations of 25/7 Media are included in the consolidated financial statements through the date of sale.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660" w:hanging="328"/>
        <w:spacing w:after="0" w:line="257"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Includes our five programming networks, our global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IFC, and SundanceTV. Our global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 and Other</w:t>
      </w:r>
      <w:r>
        <w:rPr>
          <w:rFonts w:ascii="Times New Roman" w:cs="Times New Roman" w:eastAsia="Times New Roman" w:hAnsi="Times New Roman"/>
          <w:sz w:val="18"/>
          <w:szCs w:val="18"/>
          <w:color w:val="auto"/>
        </w:rPr>
        <w:t>: Includes AMC Networks International ("AMCNI"), our international programming businesses consisting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channels around the world, and 25/7 Media, our production services business, until it was sold on December 29, 2023.</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Domestic Operations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w:t>
      </w:r>
    </w:p>
    <w:p>
      <w:pPr>
        <w:spacing w:after="0" w:line="6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Subscription revenue includes fees paid by distributors and consumers for our programming networks and streaming services. Subscription fees paid by distributors represent the largest component of distribution revenue. Our subscription revenues for our programming networks are based on a per subscriber fee, and, to a lesser extent, fixed fees under multi-year contracts, commonly referred to as "affiliation agreements." The subscription revenues we earn vary from period to period, distributor to distributor and also vary among our programming services, but are generally based on the impact of renewals of affiliation agreements and upon the number of each distributor's subscribers who receive our programming, referred to as viewing subscribers. Subscription fees for our streaming services are typically based on a per subscriber fee and are generally paid by distributors and consumers on a monthly basis.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support the distributors' efforts to market our networks. We believe that these transactions generate a positive return on investment over the contract period.</w:t>
      </w:r>
    </w:p>
    <w:p>
      <w:pPr>
        <w:spacing w:after="0" w:line="8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ratings are not met and is subsequently recognized either when we provide the required additional advertising time or the guarantee obligation contractually expires. Most of our advertising revenues vary based on the timing of our original programming series and the popularity of our programming as measured by Nielsen. Our national programming networks have advertisers representing companies in a broad range of sectors, including the automotive, restaurants/food, health, technology and telecommunications industries. We seek to increase our advertising revenues by increasing the rates we charge for such advertising, which is directly related to the overall distribution of our programming, penetration of our services on various digital platforms such as AVOD and FAST services, integration of our advanced advertising products, and the popularity (including within desirable demographic groups) of our services as measured by Nielsen.</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Programming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typically resulting in an accelerated amortization pattern and, to a lesser extent, program rights that are predominantly monetized individually are amortized based on the individual-film-forecast-computation method.</w:t>
      </w:r>
    </w:p>
    <w:p>
      <w:pPr>
        <w:spacing w:after="0" w:line="70"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There were program rights write-offs of $14.5 million included in technical and operating expense for the year ended December 31, 2023, for programming that was substantively abandoned. For the year ended December 31, 2022. there were $403.8 million of program write-offs recorded to restructuring and other related charges in connection with the Company’s strategic programming assessments. Refer to Note 5 to the consolidated financial statements for additional information.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"Critical Accounting Policies and Estimates" for a discussion of the amortization and write-off of program rights.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and Other</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International and Other segment includes the operations of AMCNI and 25/7 Media. On December 29, 2023, we sold our interest in 25/7 Media to the noncontrolling interest holders.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our International and Other segment, we earn revenue principally from the international distribution of programming and, to a lesser extent, the sale of advertising from our AMCNI programming networks. Until its sale, we also earned revenue through production services from 25/7 Media. For the year ended December 31, 2023, distribution revenues represented 80% of the revenues of the International and Other segment. Distribution revenue primarily includes subscription fees paid by distributors to carry our programming networks and production services revenue generated from 25/7 Media. Our subscription revenues are generally based on either a per-subscriber fee or a fixed contractual annual fee, under multi-year affiliation agreements. Subscription revenues are derived from the distribution of our programming networks primarily in Europe, and to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lesser extent, Latin America. Our production services revenues are based on master production agreements whereby a third party engages us to produce content on its behalf. Production services revenues are recognized based on the percentage of cost incurred to total estimated cost of the contract.</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and production costs. Program operating costs include costs such as origination, transmission, uplinking and encryption of our linear AMCNI channels as well as content hosting and delivery costs at our various on-line content distribution initiatives.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w:t>
      </w:r>
    </w:p>
    <w:p>
      <w:pPr>
        <w:spacing w:after="0" w:line="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Similar to our Domestic Operations businesses, the most significant business challenges we expect to encounter in our International and Other businesses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 Inter-segment Eliminations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Corporate operations primarily consist of executive management and administrative support services, such as executive salaries and benefits costs, costs of maintaining corporate headquarters, facilities and common support functions. The segment financial information set forth below, including the discussion related to individual line items, does not reflect inter-segment eliminations unless specifically indicated.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 Additionally, changes in macroeconomic factors and circumstances, particularly high inflation and interest rates, may adversely impact our results of operations, cash flows and financial position or our ability to refinance our indebtedness on terms favorable to us, or at all.</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international conflict and recession, could cause economic downturns, which may lead to lower demand for our products, such as lower demand for television advertising and a decrease in the number of subscribers receiving our programming services.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consolidated statements of income notwithstanding that a third-party owns an interest, which may be significant, in such entity. The noncontrolling owner's interest in the operating results of consolidated subsidiaries are reflected in net income or loss attributable to noncontrolling interests in our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1,515,902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896,817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3,009,629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(116,868)</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(loss) from operations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AMC Networks'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Subscription revenues decreased 3.9% in our Domestic Operations segment primarily due to a decline in affiliate revenues, partially offset by an increase in streaming revenues. Subscription revenues decreased 1.2% in our International and Other segment primarily due to the non-renewal of an AMCNI distribution agreement in the U.K. in the fourth quarter of 2023. The impact of this non-renewal will continue to impact subscription revenues in 2024. We expect the linear subscriber decline for our networks to continue, consistent with the declines across the cable ecosystem.</w:t>
      </w:r>
    </w:p>
    <w:p>
      <w:pPr>
        <w:spacing w:after="0" w:line="5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Content licensing and other revenues decreased 30.4% in our Domestic Operations segment primarily due to the availability of deliveries in the period and, to a lesser extent, timing. Content licensing and other revenues decreased 24.8% in our International and Other segment primarily due to a reduction in the volume of productions at 25/7 Media driven by reduced demand for new content and series cancellations from third parties. Content licensing and other revenues in our International &amp; Other segment will decrease in 2024 as a result of the sale of 25/7 Media as substantially all of our content licensing and other revenues in this segment are related to the 25/7 Media production services business. In 2023, we recognized $91.5 million of revenue from 25/7 Media. We expect content licensing revenues in our Domestic Operations segment to face pressure in 2024 due to reduced availability of original programming.</w:t>
      </w:r>
    </w:p>
    <w:p>
      <w:pPr>
        <w:spacing w:after="0" w:line="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Advertising revenues decreased 19.6% in our Domestic Operations segment primarily due to linear ratings declines, softness in the advertising market and fewer original programming episodes within the period, partially offset by digital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advanced advertising revenue growth. Advertising revenues decreased 2.1% in our International and Other segment primarily due to marketplace declines partially offset by digital and advanced advertising growth in the U.K. We expect advertising revenue to continue to decline as the advertising market gravitates toward other distribution platforms.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components of technical and operating expenses primarily include the amortization of program rights, such as those for original programming, feature films and licensed series, and other direct programming costs, such as participation and residual costs, distribution and production related costs and program delivery costs, such as transmission, encryption, hosting, and formatting.</w:t>
      </w:r>
    </w:p>
    <w:p>
      <w:pPr>
        <w:spacing w:after="0" w:line="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12.6% in our Domestic Operations segment primarily due to a decrease in program rights amortization and lower costs associated with the delivery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an AMC Studios produced series. Technical and operating expenses (excluding depreciation and amortization) decreased 13.4% in our International and Other segment primarily due to a reduction in the volume of productions at 25/7 Media driven by reduced demand for new content and series cancellations from third parties.</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continue to increase. Technical and operating expenses in our International &amp; Other segment will decrease in 2024 due to the sale of 25/7 Media.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expenses primarily include sales, marketing and advertising expenses, administrative costs and costs of non-production facilities.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(including share-based compensation expenses) decreased 19.4% in our Domestic Operations segment primarily due to lower marketing and subscriber acquisition expenses related to our streaming services, and decreased 9.6% in Corporate primarily due to lower employee related costs. Selling, general and administrative expenses (including share-based compensation expenses) increased 3.5% in our International and Other segment primarily due to an increase in corporate overhead costs allocated to AMCNI.</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 Selling, general and administrative expenses in our International &amp; Other segment will decrease in 2024 due to the sale of 25/7 Media.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and other charges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Impairment and other charges of $96.7 million for the year ended December 31, 2023 primarily consisted of $65.4 million of long-lived assets impairment charges at BBC AMERICA ("BBCA") and 25/7 Media, and $21.7 million of goodwill impairment charges at 25/7 Media.</w:t>
      </w:r>
    </w:p>
    <w:p>
      <w:pPr>
        <w:spacing w:after="0" w:line="40"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In June 2023, given the impact of market challenges at 25/7 Media, specifically relating to reduced demand for new content and series cancellations from third parties, we revised our outlook for the 25/7 Media business, resulting in lower expected future cash flows. As a result, we determined that sufficient indicators of potential impairment of long-lived assets and goodwill existed at 25/7 Media. We performed a recoverability test and determined that the carrying amount of the 25/7 Media asset group was not recoverable. The carrying value of the asset group exceeded its fair value, therefore an impairment charge of $24.9 million was recorded ($23.0 million for identifiable intangible assets and $1.9 million for goodwill), which is included in Impairment and other charges in the consolidated statement of income within the International and Other operating segment.</w:t>
      </w:r>
    </w:p>
    <w:p>
      <w:pPr>
        <w:spacing w:after="0" w:line="7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In December 2023, in connection with the preparation of our fourth quarter financial information, we performed our annual goodwill impairment test and concluded that the estimated fair value of the 25/7 Media reporting unit further declined from the interim assessment performed. The decrease in the estimated fair value reflected the continued decline in market conditions and business outlook and contemplation of concurrent negotiations with the noncontrolling interest holders for the sale of our remaining interest. As a result, we recognized an impairment charge of $19.8 million, reflecting a write-down of substantially all of the goodwill associated with the 25/7 Media reporting unit.</w:t>
      </w:r>
    </w:p>
    <w:p>
      <w:pPr>
        <w:spacing w:after="0" w:line="87"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we revised our outlook for our BBCA linear programming network, resulting in lower expected future cash flows. As a result, we determined that sufficient indicators of potential impairment of long-lived assets existed at BBCA. We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8"/>
          <w:szCs w:val="18"/>
          <w:color w:val="auto"/>
        </w:rPr>
        <w:t>Impairment and other charges of $40.7 million for the year ended December 31, 2022 related to goodwill impairment charges at AMCNI.</w:t>
      </w:r>
    </w:p>
    <w:p>
      <w:pPr>
        <w:spacing w:after="0" w:line="10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December 2022, in connection with the preparation of our fourth quarter financial information, we performed our annual goodwill impairment test and concluded that the estimated fair value of the AMCNI reporting unit declined to less than its carrying amount. The decrease in the estimated fair value was in response to current and expected trends across the international television broadcasting markets, as well as a decrease in the valuation multiples used to estimate the fair value using the market approach. As a result, we recognized an impairment charge of $40.7 million, reflecting a partial write-down of the goodwill associated with the AMCNI reporting unit.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and other related charges</w:t>
      </w:r>
    </w:p>
    <w:p>
      <w:pPr>
        <w:spacing w:after="0" w:line="106"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Restructuring and other related charges were $27.8 million and $449.0 million for the years ended December 31, 2023 and 2022, with the majority of such costs related to a restructuring plan (the "Plan") that commenced in November 2022. The Plan was designed to achieve significant cost reductions in light of “cord cutting” and the related impacts being felt across the media industry as well as the broader economic outlook. The Plan encompassed initiatives that included, among other things, strategic programming assessments and organizational restructuring costs. The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are no longer in active rotation on the Company’s linear or streaming platforms.</w:t>
      </w:r>
    </w:p>
    <w:p>
      <w:pPr>
        <w:spacing w:after="0" w:line="6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as a result of the Plan, we recorded restructuring and other related charges of $449.0 million, consisting of content impairments of $403.8 million and severance and other personnel costs of $45.2 million.</w:t>
      </w:r>
    </w:p>
    <w:p>
      <w:pPr>
        <w:spacing w:after="0" w:line="54"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During the year ended December 31, 2023, we completed the Plan and recorded restructuring and other related charges of $27.8 million, consisting primarily of charges relating to severance and other personnel costs, and our exit during the third quarter of 2023 of a portion of office space at our corporate headquarters in New York and office space in Silver Spring, Maryland and Woodland Hills, California. In connection with exiting a portion of our New York office space, we recorded impairment charges of $11.6 million, consisting of $9.1 million for operating lease right-of use assets and $2.5 million for leasehold improvements. 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was primarily attributable to decreases in restructuring and other related charges of $421.2 million, technical and operating expenses of $188.4 million and selling, general and administrative expenses of $132.7 million, partially offset by a decrease in revenues of $384.7 million and an increase in impairment and other charges of $56.0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 net</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was primarily due to higher interest income from our money market mutual fund accounts and bank deposits, partially offset by higher interest rates on our Term Loan A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Miscellaneous, net</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miscellaneous, net was primarily related to $16.6 million of higher net gains on derivative financial instruments and a $9.6 million favorable variance in the foreign currency remeasurement of monetary assets and liabilities (principally intercompany loans) that are denominated in currencies other than the underlying functional currency of the applicable entity as compared to the year ended December 31, 2022. This increase was partially offset by $3.8 million of lower net gains on investments and write-downs of $1.7 million related to certain investments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 (expense)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$94.6 million for 2023, representing an effective tax rate of 32%. The effective tax rate differs from the federal statutory rate of 21% due primarily to state and local income tax expense of $10.5 million, tax expense related to foreign operations of $3.4 million, tax expense of $10.6 million resulting from a net increase in valuation allowances primarily related to foreign deferred tax assets, $3.8 million of tax expense related to nontaxable loss attributable to noncontrolling interests and tax expense of $5.2 million related to non-deductible compensation expense.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$41.0 million for 2022, representing an effective tax rate of 137%. The effective tax rate differs from the federal statutory rate of 21% due primarily to state and local income tax benefit of $6.0 million and tax benefit of $70.4 million related to the deemed liquidation of a wholly-owned controlled foreign corporation, partially offset by tax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expense of $32.6 million resulting from a net increase in valuation allowances for foreign deferred tax assets, state net operating losses and excess capital losses and tax expense of $10.4 million related to non-deductible compensation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2,675,142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1,276,791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60" w:hanging="190"/>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excludes cloud computing amortization</w:t>
      </w:r>
    </w:p>
    <w:p>
      <w:pPr>
        <w:spacing w:after="0" w:line="41"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Subscription revenues decreased primarily due to a 13.3% decline in affiliate revenues, partially offset by a 12.7% increase in streaming revenues. Affiliate revenues decreased due to basic subscriber declines and a 3% impact of a strategic non-renewal that occurred at the end of 2022. Streaming revenues were positively impacted by an increase in the average number of subscribers during the period and price increases.</w:t>
      </w:r>
    </w:p>
    <w:p>
      <w:pPr>
        <w:spacing w:after="0" w:line="8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Subscription revenues include revenues related to the Company's streaming services of $565.6 million and $501.9 million for 2023 and 2022, respectively. Aggregate paid subscribers to our streaming services were approximately 11.4 million at both December 31, 2023 and 2022.</w:t>
      </w:r>
    </w:p>
    <w:p>
      <w:pPr>
        <w:spacing w:after="0" w:line="40"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 xml:space="preserve">Content licensing and other revenues decreased primarily due to the availability of deliveries in the period and, to a lesser extent, timing, including $107.4 million due to the delivery of fewer episodes of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both of which were strong contributors in the prior year and $69.4 million lower revenue associated with the timing of episode delivery for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an AMC Studios produced series, partially offset by the $20.3 million impact associated with the 2023 termination of an output agreement that resulted in the acceleration of revenue for content that was previously anticipated to be delivered and recognized in 2024.</w:t>
      </w:r>
    </w:p>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Advertising revenues decreased due to linear ratings declines, softness in the advertising market and fewer original programming episodes within the period, partially offset by digital and advanced advertising revenue growth.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color w:val="auto"/>
        </w:rPr>
        <w:t>The following table presents certain subscriber information for our national programming networks at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Estimated U.S. Subscribers as measured by Nielsen</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jc w:val="center"/>
              <w:ind w:left="5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5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Programming Networks: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AMC</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65,100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 tv</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63,700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BBC AMERICA</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60,000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IFC</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56,200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SundanceTV</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53,900</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decreased primarily due to a decrease in program rights amortization, consistent with the decrease in content licensing revenue for </w:t>
      </w:r>
      <w:r>
        <w:rPr>
          <w:rFonts w:ascii="Times New Roman" w:cs="Times New Roman" w:eastAsia="Times New Roman" w:hAnsi="Times New Roman"/>
          <w:sz w:val="18"/>
          <w:szCs w:val="18"/>
          <w:i w:val="1"/>
          <w:iCs w:val="1"/>
          <w:color w:val="auto"/>
        </w:rPr>
        <w:t>The Walking Dead and Fear the Walking Dead</w:t>
      </w:r>
      <w:r>
        <w:rPr>
          <w:rFonts w:ascii="Times New Roman" w:cs="Times New Roman" w:eastAsia="Times New Roman" w:hAnsi="Times New Roman"/>
          <w:sz w:val="18"/>
          <w:szCs w:val="18"/>
          <w:color w:val="auto"/>
        </w:rPr>
        <w:t xml:space="preserve">, and lower costs associated with the delivery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an AMC Studios produced series.</w:t>
      </w:r>
    </w:p>
    <w:p>
      <w:pPr>
        <w:spacing w:after="0" w:line="68"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Program rights amortization expense includes write-offs of $14.5 million for the year ended December 31, 2023, for programming that was substantively abandoned. There were no material write-offs included in program rights amortization expense in 2022. Programming write-offs are based on management's periodic assessment of programming usefulness.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primarily due to lower marketing and subscriber acquisition expenses related to our streaming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a decrease in revenues of $358.6 million, partially offset by decreases in technical and operating expenses of $160.8 million and selling, general and administrative expenses of $124.7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and Other</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International and Other segment results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442,525</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(a) Selling, general and administrative expenses excludes share-based compensation expenses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Subscription revenues decreased primarily due to the non-renewal of an AMCNI distribution agreement in the U.K. in the fourth quarter of 2023.</w:t>
      </w:r>
    </w:p>
    <w:p>
      <w:pPr>
        <w:spacing w:after="0" w:line="104"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Content licensing and other revenues decreased due to a reduction in the volume of productions at 25/7 Media driven by reduced demand for new content and series cancellations from third parties.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8"/>
          <w:szCs w:val="18"/>
          <w:color w:val="auto"/>
        </w:rPr>
        <w:t>Advertising revenues decreased primarily due to marketplace declines, partially offset by digital and advanced advertising growth in the U.K.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a reduction in the volume of productions at 25/7 Media driven by reduced demand for new content and series cancellations from third parties.</w:t>
      </w:r>
    </w:p>
    <w:p>
      <w:pPr>
        <w:spacing w:after="0" w:line="6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write-offs included in program rights amortization expense in 2023 or 2022. Programming write-offs are based on management's periodic assessment of programming usefulness.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 increased primarily due to an increase in corporate overhead costs allocated to AMCNI.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a decrease in revenues of $38.0 million and an increase in selling, general and administrative expenses of $4.7 million, partially offset by a decrease in technical and operating expenses of $34.3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 Inter-segment Eliminations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Corporate / Inter-segment Eliminations results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ind w:left="540" w:hanging="190"/>
        <w:spacing w:after="0"/>
        <w:tabs>
          <w:tab w:leader="none" w:pos="5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excludes cloud computing amortization</w:t>
      </w:r>
    </w:p>
    <w:p>
      <w:pPr>
        <w:spacing w:after="0" w:line="32" w:lineRule="exact"/>
        <w:rPr>
          <w:rFonts w:ascii="Times New Roman" w:cs="Times New Roman" w:eastAsia="Times New Roman" w:hAnsi="Times New Roman"/>
          <w:sz w:val="14"/>
          <w:szCs w:val="14"/>
          <w:color w:val="auto"/>
        </w:rPr>
      </w:pPr>
    </w:p>
    <w:p>
      <w:pPr>
        <w:ind w:left="560" w:hanging="210"/>
        <w:spacing w:after="0"/>
        <w:tabs>
          <w:tab w:leader="none" w:pos="5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-215900</wp:posOffset>
            </wp:positionV>
            <wp:extent cx="1868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net</w:t>
      </w:r>
    </w:p>
    <w:p>
      <w:pPr>
        <w:spacing w:after="0" w:line="10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Revenue eliminations are primarily related to inter-segment licensing revenues recognized between the Domestic Operations and International and Other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(excluding depreciation and amortization)</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Technical and operating expense eliminations are primarily related to inter-segment programming amortization recognized between the Domestic Operations and International and Other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Corporate overhead costs not allocated to the segments include such costs as executive salaries and benefits, costs of maintaining corporate headquarters, facilities and common support functions.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 decreased primarily due to lower employee related costs.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primary source of cash typically includes cash flow from operations. Sources of cash also include amounts available under our revolving credit facility and, subject to market conditions, access to capital and credit markets. Although we currently believe that amounts available under our revolving credit facility will be available when and if needed, we can provide no</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w:t>
      </w:r>
    </w:p>
    <w:p>
      <w:pPr>
        <w:spacing w:after="0" w:line="72"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In October 2023, we entered into an agreement enabling us to sell certain customer receivables to a financial institution on a recurring basis for cash. Any transferred receivables are fully guaranteed by a bankruptcy-remote entity and the financial institution that purchases the receivables has no recourse to our other assets in the event of non-payment by the customers. We can sell an indefinite amount of customer receivables under the agreement on a revolving basis, but the outstanding balance of unpaid customer receivables to the financial institution cannot exceed the initial program limit of $125.0 million at any given time. We have not yet sold any customer receivables under this agreement.</w:t>
      </w:r>
    </w:p>
    <w:p>
      <w:pPr>
        <w:spacing w:after="0" w:line="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principal uses of cash include the production, acquisition and promotion of programming, technology investments, debt service and payments for income taxes. We continue to invest in original programming, the funding of which generally occurs at least nine months in advance of a program's airing.</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2023, approximately $244.9 million of cash and cash equivalents, previously held by foreign subsidiaries, was repatriated to the United States. Our consolidated cash and cash equivalents balance of $570.6 million, as of December 31, 2023, includes approximately $141.9 million held by foreign subsidiaries. Of this amount, approximately $20.0 million is expected to be repatriated to the United States with the remaining amount continuing to be reinvested in foreign operations. Tax expense related to the repatriated amount, as well as the expected remaining amount to be repatriated, has been accrued in the current period and the Company does not expect to incur any significant, additional taxes related to the remaining balance.</w:t>
      </w:r>
    </w:p>
    <w:p>
      <w:pPr>
        <w:spacing w:after="0" w:line="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revolving credit facility and our accounts receivable monetization program, borrowings under additional financing facilities and, when we have access to capital and credit markets, proceeds from the sale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then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8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December 12, 2023 (the “Redemption Date”), we redeemed the remaining $400 million outstanding principal amount of our 5.00% senior notes due 2024 (the “2024 Notes”). The 2024 Notes were redeemed at a redemption price of 100.000% of the principal amount of the 2024 Notes plus accrued and unpaid interest to, but excluding, the Redemption Date. Additionally, in December 2023, we repurchased $25.3 million of our outstanding 4.75% Notes due August 2025 through open market repurchases. Given the maturity date of the remaining $774.7 million of 4.75% senior notes due 2025, we may access the capital or credit markets in the near term to refinance those senior notes through privately negotiated transactions, open market repurchases, tender offers or redemptions.</w:t>
      </w:r>
    </w:p>
    <w:p>
      <w:pPr>
        <w:spacing w:after="0" w:line="66"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operations for the periods indicated:</w:t>
      </w:r>
    </w:p>
    <w:p>
      <w:pPr>
        <w:spacing w:after="0" w:line="18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45,334</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for 2023 and 2022 amounted to $203.9 million and $181.8 million, respectively.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2023, net cash provided by operating activities primarily resulted from $1,421.5 million of net income before amortization of program rights, depreciation and amortization, and other non-cash items, partially offset by payments for program rights of $1,079.9 million and restructuring initiatives of $112.6 million. Changes in all other assets and liabilities during the year resulted in a net cash outflow of $25.1 million.</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2022, net cash provided by operating activities primarily resulted from $1,524.6 million of net income before amortization of program rights, depreciation and amortization, and other non-cash items, partially offset by payments for program rights of $1,347.4 million. Changes in all other assets and liabilities during the year resulted in a net cash inflow of $4.6 million.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 for 2023 and 2022 was $24.3 million and $39.4 million, respectively.</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2023, net cash used in investing activities primarily consisted of capital expenditures of $35.2 million, partially offset by proceeds from the sale of investments of $8.6 million and the return of capital from investees of $2.1 million.</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2022, net cash used in investing activities primarily consisted of capital expenditures of $44.3 million and an additional investment in an equity security of $5.0 million, partially offset by proceeds from the sales of a marketable equity security of $9.9 million.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 for 2023 and 2022 was $544.4 million and $97.1 million, respectively.</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2023, net cash used in financing activities primarily consisted of principal payments on long-term debt of $458.4 million (including $400.0 million of 5.00% Notes due April 2024, $24.7 million of 4.75% Notes due August 2025, and $33.7 million on the Term Loan A Facility), distributions to noncontrolling interests of $72.9 million, taxes paid in lieu of shares issued for equity-based compensation of $7.3 million, principal payments on finance leases of $4.2 million, and the purchase of noncontrolling interests of $1.3 million.</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2022, net cash used in financing activities primarily consisted of distributions to noncontrolling interests of $35.0 million, principal payments on the Term Loan A Facility of $33.8 million, taxes paid in lieu of shares issued for equity-based compensation of $22.3 million, principal payments on finance leases of $3.6 million, and the purchase of noncontrolling interests of $2.5 million.</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23"/>
          <w:szCs w:val="23"/>
          <w:i w:val="1"/>
          <w:iCs w:val="1"/>
          <w:color w:val="auto"/>
          <w:vertAlign w:val="superscript"/>
        </w:rPr>
        <w:t>2</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Free Cash Flow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203,919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181,834</w:t>
            </w:r>
          </w:p>
        </w:tc>
      </w:tr>
      <w:tr>
        <w:trPr>
          <w:trHeight w:val="230"/>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(35,207)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(44,272)</w:t>
            </w:r>
          </w:p>
        </w:tc>
      </w:tr>
      <w:tr>
        <w:trPr>
          <w:trHeight w:val="315"/>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168,712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137,562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free cash flow is reflective of our cost management measures, including remaining prudent with our investments in programming.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Pr>
          <w:p>
            <w:pPr>
              <w:spacing w:after="0"/>
              <w:rPr>
                <w:sz w:val="18"/>
                <w:szCs w:val="18"/>
                <w:color w:val="auto"/>
              </w:rPr>
            </w:pPr>
          </w:p>
        </w:tc>
        <w:tc>
          <w:tcPr>
            <w:tcW w:w="2900" w:type="dxa"/>
            <w:vAlign w:val="bottom"/>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14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71" w:lineRule="exact"/>
        <w:rPr>
          <w:sz w:val="20"/>
          <w:szCs w:val="20"/>
          <w:color w:val="auto"/>
        </w:rPr>
      </w:pPr>
    </w:p>
    <w:p>
      <w:pPr>
        <w:ind w:right="280" w:firstLine="8"/>
        <w:spacing w:after="0" w:line="205" w:lineRule="auto"/>
        <w:tabs>
          <w:tab w:leader="none" w:pos="103"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Free Cash Flow is a non-GAAP financial measure. See the "Non-GAAP Financial Measures" section on page 55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principal amount of long-term debt consists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Senior Secured Credit Facility:</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641,250</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5.00%</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April 2024</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4.75%</w:t>
            </w: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August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due February 2029</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2,841,250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060" w:hanging="647"/>
        <w:spacing w:after="0" w:line="282" w:lineRule="auto"/>
        <w:tabs>
          <w:tab w:leader="none" w:pos="9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$400 million revolving credit facility remained undrawn at December 31, 2023. Total undrawn revolver commitments are available to be drawn for general corporate purposes of the Company.</w:t>
      </w:r>
    </w:p>
    <w:p>
      <w:pPr>
        <w:spacing w:after="0" w:line="54" w:lineRule="exact"/>
        <w:rPr>
          <w:sz w:val="20"/>
          <w:szCs w:val="20"/>
          <w:color w:val="auto"/>
        </w:rPr>
      </w:pPr>
    </w:p>
    <w:p>
      <w:pPr>
        <w:jc w:val="both"/>
        <w:ind w:firstLine="445"/>
        <w:spacing w:after="0" w:line="243" w:lineRule="auto"/>
        <w:rPr>
          <w:sz w:val="20"/>
          <w:szCs w:val="20"/>
          <w:color w:val="auto"/>
        </w:rPr>
      </w:pPr>
      <w:r>
        <w:rPr>
          <w:rFonts w:ascii="Times New Roman" w:cs="Times New Roman" w:eastAsia="Times New Roman" w:hAnsi="Times New Roman"/>
          <w:sz w:val="18"/>
          <w:szCs w:val="18"/>
          <w:color w:val="auto"/>
        </w:rPr>
        <w:t>In April 2023, the Company entered into Amendment No. 2 ("Amendment No. 2") to the Second Amended and Restated Credit Agreement (as amended,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In connection with the modification of the revolving loan commitments, the Company recorded $0.6 million to write-off a portion of the unamortized deferred financing costs, which is included in interest expense within the consolidated statements of income.</w:t>
      </w:r>
    </w:p>
    <w:p>
      <w:pPr>
        <w:spacing w:after="0" w:line="7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Company redeemed the remaining $400 million principal amount of its 5.00% Notes due 2024 at 100% of the principal amount plus accrued and unpaid interest to the date of redemption, and repurchased $25.3 million of its outstanding 4.75% Notes due 2025 through open market repurchases, at a discount, and retired the repurchased notes.</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AMC Networks was in compliance with all of its debt covenants as of December 31, 2023.</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outstanding indebtedness and the significant terms and provisions of our Senior Secured Credit Facility and our Senior Notes is discussed in Note 11 to the accompanying consolidated financial statements included in this Annual Report on Form 10-K and is incorporated herein by reference.</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outstanding notes for which AMC Networks is the issuer.</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Debt of AMC Networks as of December 31, 2023 included $774.7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80" w:type="dxa"/>
            <w:vAlign w:val="bottom"/>
            <w:vMerge w:val="continue"/>
          </w:tcPr>
          <w:p>
            <w:pPr>
              <w:spacing w:after="0"/>
              <w:rPr>
                <w:sz w:val="17"/>
                <w:szCs w:val="17"/>
                <w:color w:val="auto"/>
              </w:rPr>
            </w:pPr>
          </w:p>
        </w:tc>
        <w:tc>
          <w:tcPr>
            <w:tcW w:w="28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284,660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444,647</w:t>
            </w:r>
          </w:p>
        </w:tc>
        <w:tc>
          <w:tcPr>
            <w:tcW w:w="100" w:type="dxa"/>
            <w:vAlign w:val="bottom"/>
          </w:tcPr>
          <w:p>
            <w:pPr>
              <w:spacing w:after="0"/>
              <w:rPr>
                <w:sz w:val="17"/>
                <w:szCs w:val="17"/>
                <w:color w:val="auto"/>
              </w:rPr>
            </w:pPr>
          </w:p>
        </w:tc>
        <w:tc>
          <w:tcPr>
            <w:tcW w:w="1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(49,040)</w:t>
            </w:r>
          </w:p>
        </w:tc>
        <w:tc>
          <w:tcPr>
            <w:tcW w:w="100" w:type="dxa"/>
            <w:vAlign w:val="bottom"/>
          </w:tcPr>
          <w:p>
            <w:pPr>
              <w:spacing w:after="0"/>
              <w:rPr>
                <w:sz w:val="17"/>
                <w:szCs w:val="17"/>
                <w:color w:val="auto"/>
              </w:rPr>
            </w:pPr>
          </w:p>
        </w:tc>
        <w:tc>
          <w:tcPr>
            <w:tcW w:w="10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79,020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1,156,533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1,258,759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3,893,205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3,706,858</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2,456</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666,783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157,658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872,109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2,972,602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330,467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comprise the more significant judgments and estimates used in the preparation of our consolidated financial statements: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Program Rights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Licensed rights to programming, including feature films and episodic series, are stated at the lower of 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based on the expected exploitation strategy of the rights, over a period not to exceed the respective license periods. We periodically review the remaining useful lives of our licensed program rights based on several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2" w:name="page53"/>
    <w:bookmarkEnd w:id="52"/>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Owned original programming costs qualifying for capitalization are recorded as program rights on the consolidated balance sheet. Program rights that are monetized as a group are amortized based on projected program usage, typically resulting in an accelerated amortization pattern. Projected program usage is based on the Company's current expectation of future exhibitions taking into account historical usage of similar content. To a lesser extent, program rights that are predominantly monetized individually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We base our estimates of ultimate revenue primarily on distribution and advertising revenues historically generated from similar content in comparable markets, and projected program usage. We periodically review ultimate revenue estimates and projected program usage and revise our assumptions if necessary, which could either accelerate or delay the timing of amortization expense or result in a write-down of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10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Program rights write-offs of $17.3 million were included in technical and operating expense for the year ended December 31, 2023, for programming that was substantively abandoned. There were no significant program write-offs included in technical and operating expense for the year ended December 31, 2022. Refer to Note 5 for amounts recorded to restructuring expense in connection with the Company’s strategic programming assessments.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Useful Lives of Affiliate Intangible Assets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carrying amount of our affiliate relationships acquired in business combinations as of December 31, 2023 was $196.8 million.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expenses in future periods. See Note 9 to the accompanying consolidated financial statements included in this Annual Report on Form 10-K for additional details.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our annual impairment test, we performed quantitative impairment tests for all reporting units. The impairment test for goodwill requires judgment related to the identification of reporting units, the assignment of assets and liabilities to reporting units including goodwill, and the determination of fair value of the reporting units. The quantitative impairment test evaluates whether the carrying value of a reporting unit exceeds its estimated fair value. We estimate the fair value of our reporting units based on the present value of future cash flows (“Discounted Cash Flow Method”) and the total enterprise value multiples of publicly traded comparable companies (“Market Comparables Method”). The Discounted Cash Flow Method requires us to make various assumptions regarding the timing and amount of future cash flows, including revenue growth rates, operating margins, and programming and working capital investments for a projection period, plus the terminal value of the business at the end of the projection period. The assumptions about future cash flows are based on internal forecasts, which incorporates our long-term business plans and historical trends and are subject to a greater degree of uncertainty in times of adverse economic conditions. The terminal value is estimated based on a perpetual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The Market Comparables Method incorporates revenue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multiples from publicly traded companies with operations and other characteristics similar to each reporting unit. The selected multiples consider each reporting unit’s relative growth, profitability, size, and risk relative to the selected publicly traded companies.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348,732</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and Other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277,764</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626,496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our annual and interim impairment tests for goodwill during 2023, we recorded total impairment charges of $21.7 million related to our 25/7 Media reporting unit. For our two other reporting units, we concluded that the estimated fair value of the reporting units exceeded their respective carrying values by 16% and 7%, and therefore no impairment charge was required. See Note 9 to the accompanying consolidated financial statements included in this Annual Report on Form 10-K for additional details.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Internally, we use revenues, net, AOI, and Free Cash Flow measures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operating income (loss) to AOI for the periods indicated: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670,104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International and Other</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Corporate / Inter-</w:t>
            </w:r>
          </w:p>
        </w:tc>
        <w:tc>
          <w:tcPr>
            <w:tcW w:w="240" w:type="dxa"/>
            <w:vAlign w:val="bottom"/>
          </w:tcPr>
          <w:p>
            <w:pPr>
              <w:spacing w:after="0"/>
              <w:rPr>
                <w:sz w:val="13"/>
                <w:szCs w:val="13"/>
                <w:color w:val="auto"/>
              </w:rPr>
            </w:pPr>
          </w:p>
        </w:tc>
        <w:tc>
          <w:tcPr>
            <w:tcW w:w="13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its liquidity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other companies in our industry, although our measure of Free Cash Flow may not be directly comparable to similar measures reported by other companies.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203,919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181,834</w:t>
            </w:r>
          </w:p>
        </w:tc>
      </w:tr>
      <w:tr>
        <w:trPr>
          <w:trHeight w:val="229"/>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(35,207)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(44,272)</w:t>
            </w:r>
          </w:p>
        </w:tc>
      </w:tr>
      <w:tr>
        <w:trPr>
          <w:trHeight w:val="316"/>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168,712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137,562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December 31, 2023, the fair value of our fixed rate debt of $1.53 billion was lower than its carrying value of $1.76 billion by $232.9 million. The fair value of these financial instruments is estimated based on reference to quoted market prices for these or comparable securities. A hypothetical 100 basis point decrease in interest rates prevailing at December 31, 2023 would increase the estimated fair value of our fixed rate debt by approximately $45.7 million to approximately $1.57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For the year ended December 31, 2023, we did not have any interest rate swap contracts outstanding.</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2023, we have $2.4 billion of debt outstanding (excluding finance leases), of which $607.5 million is outstanding under our loan facility and is subject to variable interest rates. A hypothetical 100 basis point increase in interest rates prevailing at December 31, 2023 would increase our annual interest expense by approximately $6.1 million. The interest rate paid on approximately 74% of our debt (excluding finance leases) as of December 31, 2023 is fixed.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recognized foreign currency transaction gains (losses) of $8.4 million and $(1.2) million for the years ended December 31, 2023 and 2022, respectively, related to foreign currency transactions.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required by this Item 8 appear beginning on page 66 of this Annual Report, and are incorporated by reference herein.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December 31, 2023, the Company's principal executive officer (our Chief Executive Officer) and principal financial officer (our Chief Financial Officer) concluded that the Company's disclosure controls and procedures are effective.</w:t>
      </w: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53" w:lineRule="auto"/>
        <w:tabs>
          <w:tab w:leader="none" w:pos="2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principal executive officer (our Chief Executive Officer) and our principal financial officer (our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2023.</w:t>
      </w:r>
    </w:p>
    <w:p>
      <w:pPr>
        <w:spacing w:after="0" w:line="200" w:lineRule="exact"/>
        <w:rPr>
          <w:sz w:val="20"/>
          <w:szCs w:val="20"/>
          <w:color w:val="auto"/>
        </w:rPr>
      </w:pPr>
    </w:p>
    <w:p>
      <w:pPr>
        <w:spacing w:after="0" w:line="2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KPMG LLP, an independent registered public accounting firm, as stated in their attestation report appearing on page F-3.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7" w:name="page58"/>
    <w:bookmarkEnd w:id="57"/>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Changes in Internal Control over Financial Reporting</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Information relating to our directors, executive officers and corporate governance will be included in our definitive Proxy Statement for our 2024 Annual Meeting of Stockholders, which will be filed within 120 days of the year ended December 31, 2023 (the "2024 Proxy Statement"), which is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relating to executive compensation will be included in the 2024 Proxy Statement, which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the beneficial ownership of our common stock and related stockholder matters will be included in the 2024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will be included in the 2024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principal accountant fees and services will be included in the 2024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part of the Form 10-K: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indicated in the index set forth on page 66.</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other than that listed above have been omitted, since they are either not applicable, not required or the information is included elsewhere herein.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INDEX TO EXHIBITS</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7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64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93"/>
        </w:trPr>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Number</w:t>
            </w:r>
          </w:p>
        </w:tc>
        <w:tc>
          <w:tcPr>
            <w:tcW w:w="340" w:type="dxa"/>
            <w:vAlign w:val="bottom"/>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40" w:top="878" w:right="359" w:bottom="1440" w:gutter="0" w:footer="0" w:header="0"/>
        </w:sectPr>
      </w:pP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3.1(i)</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3.1(ii)</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4.10</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jc w:val="both"/>
        <w:ind w:right="240"/>
        <w:spacing w:after="0" w:line="236" w:lineRule="auto"/>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7"/>
            <w:szCs w:val="17"/>
            <w:u w:val="single" w:color="auto"/>
            <w:color w:val="0000FF"/>
          </w:rPr>
          <w:t>Agreement and Plan of Merger, dated as of July 29, 2018, by and among RLJE, the Company (solely for the purposes of Section 10.7</w:t>
        </w:r>
      </w:hyperlink>
      <w:r>
        <w:rPr>
          <w:rFonts w:ascii="Times New Roman" w:cs="Times New Roman" w:eastAsia="Times New Roman" w:hAnsi="Times New Roman"/>
          <w:sz w:val="17"/>
          <w:szCs w:val="17"/>
          <w:u w:val="single" w:color="auto"/>
          <w:color w:val="0000FF"/>
        </w:rPr>
        <w:t xml:space="preserve"> </w:t>
      </w:r>
      <w:hyperlink r:id="rId96">
        <w:r>
          <w:rPr>
            <w:rFonts w:ascii="Times New Roman" w:cs="Times New Roman" w:eastAsia="Times New Roman" w:hAnsi="Times New Roman"/>
            <w:sz w:val="17"/>
            <w:szCs w:val="17"/>
            <w:u w:val="single" w:color="auto"/>
            <w:color w:val="0000FF"/>
          </w:rPr>
          <w:t>thereof), DEH and Merger Sub (incorporated by reference to Exhibit 2.1 to the Company's Current Report on Form 8-K filed July 30,</w:t>
        </w:r>
      </w:hyperlink>
    </w:p>
    <w:p>
      <w:pPr>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2018).</w:t>
        </w:r>
      </w:hyperlink>
    </w:p>
    <w:p>
      <w:pPr>
        <w:spacing w:after="0" w:line="97"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Amended and Restated Certificate of Incorporation of AMC Networks Inc. (incorporated by reference to Exhibit 99.4 to the Company's</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Current Report on Form 8-K filed on July 1, 2011).</w:t>
        </w:r>
      </w:hyperlink>
    </w:p>
    <w:p>
      <w:pPr>
        <w:spacing w:after="0" w:line="104"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Amended and Restated By-Laws of AMC Networks Inc. (incorporated by reference to Exhibit 99.5 to the Company's Current Report on</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Form 8-K filed on July 1, 2011).</w:t>
        </w:r>
      </w:hyperlink>
    </w:p>
    <w:p>
      <w:pPr>
        <w:spacing w:after="0" w:line="104" w:lineRule="exact"/>
        <w:rPr>
          <w:sz w:val="20"/>
          <w:szCs w:val="20"/>
          <w:color w:val="auto"/>
        </w:rPr>
      </w:pPr>
    </w:p>
    <w:p>
      <w:pPr>
        <w:ind w:right="540"/>
        <w:spacing w:after="0" w:line="237"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Form of Registration Rights Agreement between AMC Networks Inc. and The Charles F. Dolan Children Trusts (incorporated by</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reference to Exhibit 3.5 to the Company's Amendment No. 5 to Registration Statement on Form 10 filed on June 6, 2011).</w:t>
        </w:r>
      </w:hyperlink>
    </w:p>
    <w:p>
      <w:pPr>
        <w:spacing w:after="0" w:line="104"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Form of Registration Rights Agreement between AMC Networks Inc. and The Dolan Family Affiliates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Exhibit 3.6 to the Company's Amendment No. 5 to Registration Statement on Form 10 filed on June 6, 2011).</w:t>
        </w:r>
      </w:hyperlink>
    </w:p>
    <w:p>
      <w:pPr>
        <w:spacing w:after="0" w:line="104" w:lineRule="exact"/>
        <w:rPr>
          <w:sz w:val="20"/>
          <w:szCs w:val="20"/>
          <w:color w:val="auto"/>
        </w:rPr>
      </w:pPr>
    </w:p>
    <w:p>
      <w:pPr>
        <w:ind w:right="40"/>
        <w:spacing w:after="0" w:line="222"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Registration Rights Agreement, dated as of June 30, 2011, among AMC Networks Inc., the subsidiary guarantors named therein, Merrill</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Lynch, Pierce, Fenner &amp; Smith Incorporated and J.P. Morgan Securities LLC, as representatives of the several initial purchasers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(incorporated by reference to Exhibit 99.2 to the Company's Current Report on Form 8-K filed on July 1, 2011).</w:t>
        </w:r>
      </w:hyperlink>
    </w:p>
    <w:p>
      <w:pPr>
        <w:spacing w:after="0" w:line="97" w:lineRule="exact"/>
        <w:rPr>
          <w:sz w:val="20"/>
          <w:szCs w:val="20"/>
          <w:color w:val="auto"/>
        </w:rPr>
      </w:pPr>
    </w:p>
    <w:p>
      <w:pPr>
        <w:ind w:right="80"/>
        <w:spacing w:after="0" w:line="236" w:lineRule="auto"/>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Indenture dated as of March 30, 2016, by and among AMC Networks Inc., as Issuer, each of the guarantors party thereto and U.S. Bank</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National Association, as Trustee (incorporated by reference to Exhibit 4.1 to the Company's Current Report on Form 8-K filed on July</w:t>
        </w:r>
      </w:hyperlink>
    </w:p>
    <w:p>
      <w:pPr>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28, 2017).</w:t>
        </w:r>
      </w:hyperlink>
    </w:p>
    <w:p>
      <w:pPr>
        <w:spacing w:after="0" w:line="111" w:lineRule="exact"/>
        <w:rPr>
          <w:sz w:val="20"/>
          <w:szCs w:val="20"/>
          <w:color w:val="auto"/>
        </w:rPr>
      </w:pPr>
    </w:p>
    <w:p>
      <w:pPr>
        <w:jc w:val="both"/>
        <w:ind w:right="100"/>
        <w:spacing w:after="0" w:line="222"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First Supplemental Indenture, dated as of March 30, 2016, to the Indenture, dated as of March 30, 2016, by and among AMC Networks</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Inc., as Issuer, each of the guarantors party thereto and U.S. Bank National Association, as Trustee, relating to the AMC Networks Inc.</w:t>
        </w:r>
      </w:hyperlink>
    </w:p>
    <w:p>
      <w:pPr>
        <w:spacing w:after="0" w:line="2"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5.00% Senior Notes due April 1, 2024 (incorporated by reference to Exhibit 4.1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March 30, 2016).</w:t>
        </w:r>
      </w:hyperlink>
    </w:p>
    <w:p>
      <w:pPr>
        <w:spacing w:after="0" w:line="157" w:lineRule="exact"/>
        <w:rPr>
          <w:sz w:val="20"/>
          <w:szCs w:val="20"/>
          <w:color w:val="auto"/>
        </w:rPr>
      </w:pPr>
    </w:p>
    <w:p>
      <w:pPr>
        <w:jc w:val="both"/>
        <w:ind w:right="200"/>
        <w:spacing w:after="0" w:line="236" w:lineRule="auto"/>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Second Supplemental Indenture, dated as of July 28, 2017 to the Indenture, dated as of March 30, 2016, among AMC Networks, as</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issuer, the Guarantors and U.S. Bank National Association, as Trustee, and Form of Notes (incorporated by reference to Exhibit 4.2 to</w:t>
        </w:r>
      </w:hyperlink>
    </w:p>
    <w:p>
      <w:pPr>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the Company's Current Report on Form 8-K filed on July 28, 2017).</w:t>
        </w:r>
      </w:hyperlink>
    </w:p>
    <w:p>
      <w:pPr>
        <w:spacing w:after="0" w:line="70" w:lineRule="exact"/>
        <w:rPr>
          <w:sz w:val="20"/>
          <w:szCs w:val="20"/>
          <w:color w:val="auto"/>
        </w:rPr>
      </w:pPr>
    </w:p>
    <w:p>
      <w:pPr>
        <w:jc w:val="both"/>
        <w:ind w:right="200"/>
        <w:spacing w:after="0" w:line="258"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Third Supplemental Indenture, dated as of February 8, 2021, to the Indenture, dated as of March 30, 2016, among AMC Networks, as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issuer, the Guarantors and U.S. Bank National Association, as Trustee, and Form of Notes (incorporated by reference to Exhibit 4.2 to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the Company's Current Report on Form 8-K filed on February 8, 2021)</w:t>
        </w:r>
      </w:hyperlink>
    </w:p>
    <w:p>
      <w:pPr>
        <w:spacing w:after="0" w:line="102"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Description of AMC Networks Inc.'s Securities Registered under Section 12 of the Exchange Act (incorporated by reference to Exhibit</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4.10 to the Company's Annual Report on Form 10-K for the year ended December 31, 2020).</w:t>
        </w:r>
      </w:hyperlink>
    </w:p>
    <w:p>
      <w:pPr>
        <w:spacing w:after="0" w:line="54" w:lineRule="exact"/>
        <w:rPr>
          <w:sz w:val="20"/>
          <w:szCs w:val="20"/>
          <w:color w:val="auto"/>
        </w:rPr>
      </w:pPr>
    </w:p>
    <w:p>
      <w:pPr>
        <w:ind w:right="800"/>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Form of Standstill Agreement by and among AMC Networks Inc. and The Dolan Family Group (incorporated by reference to</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Exhibit 10.5 to the Company's Amendment No. 5 to Registration Statement on Form 10 filed on June 6, 2011).</w:t>
        </w:r>
      </w:hyperlink>
    </w:p>
    <w:p>
      <w:pPr>
        <w:spacing w:after="0" w:line="104" w:lineRule="exact"/>
        <w:rPr>
          <w:sz w:val="20"/>
          <w:szCs w:val="20"/>
          <w:color w:val="auto"/>
        </w:rPr>
      </w:pPr>
    </w:p>
    <w:p>
      <w:pPr>
        <w:jc w:val="both"/>
        <w:ind w:right="140"/>
        <w:spacing w:after="0" w:line="236" w:lineRule="auto"/>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Second Amended and Restated Credit Agreement, dated as of July 28, 2017, among AMC Networks and its subsidiary, AMC Network</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Entertainment LLC, as the initial borrowers, certain of AMC Networks’ subsidiaries, as restricted subsidiaries, JPMorgan Chase Bank,</w:t>
        </w:r>
      </w:hyperlink>
    </w:p>
    <w:p>
      <w:pPr>
        <w:ind w:right="240"/>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N.A., as Administrative Agent, Collateral Agent and an L/C Issuer and the lenders party thereto (incorporated by reference to Exhibit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10.1 to the Company's Current Report on Form 8-K filed on July 28, 2017).</w:t>
        </w:r>
      </w:hyperlink>
    </w:p>
    <w:p>
      <w:pPr>
        <w:spacing w:after="0" w:line="103" w:lineRule="exact"/>
        <w:rPr>
          <w:sz w:val="20"/>
          <w:szCs w:val="20"/>
          <w:color w:val="auto"/>
        </w:rPr>
      </w:pPr>
    </w:p>
    <w:p>
      <w:pPr>
        <w:ind w:right="140"/>
        <w:spacing w:after="0" w:line="253"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Amendment No. 1, dated as of February 8, 2021, to the Second Amended and Restated Credit Agreement, dated as of July 28, 2017, in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each case, among AMC Networks and its subsidiary, AMC Network Entertainment LLC, as the initial borrowers, certain of AMC</w:t>
        </w:r>
      </w:hyperlink>
    </w:p>
    <w:p>
      <w:pPr>
        <w:spacing w:after="0" w:line="1" w:lineRule="exact"/>
        <w:rPr>
          <w:sz w:val="20"/>
          <w:szCs w:val="20"/>
          <w:color w:val="auto"/>
        </w:rPr>
      </w:pPr>
    </w:p>
    <w:p>
      <w:pPr>
        <w:sectPr>
          <w:pgSz w:w="11900" w:h="16838" w:orient="portrait"/>
          <w:cols w:equalWidth="0" w:num="2">
            <w:col w:w="720" w:space="620"/>
            <w:col w:w="9860"/>
          </w:cols>
          <w:pgMar w:left="340" w:top="878" w:right="359" w:bottom="1440" w:gutter="0" w:footer="0" w:header="0"/>
          <w:type w:val="continuous"/>
        </w:sectPr>
      </w:pPr>
    </w:p>
    <w:p>
      <w:pPr>
        <w:ind w:left="1340" w:right="420" w:hanging="1011"/>
        <w:spacing w:after="0"/>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09">
        <w:r>
          <w:rPr>
            <w:rFonts w:ascii="Times New Roman" w:cs="Times New Roman" w:eastAsia="Times New Roman" w:hAnsi="Times New Roman"/>
            <w:sz w:val="18"/>
            <w:szCs w:val="18"/>
            <w:u w:val="single" w:color="auto"/>
            <w:color w:val="0000FF"/>
          </w:rPr>
          <w:t>Networks’ subsidiaries, as restricted subsidiaries, Bank of America, N.A., as an L/C Issuer, the lenders party thereto and JPMorgan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Chase Bank, N.A., as Administrative Agent, Collateral Agent and an L/C Issuer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Company’s Current Report on Form 8-K filed on February 8, 2021)</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78" w:right="359" w:bottom="1440" w:gutter="0" w:footer="0" w:header="0"/>
          <w:type w:val="continuous"/>
        </w:sectPr>
      </w:pPr>
    </w:p>
    <w:bookmarkStart w:id="61" w:name="page62"/>
    <w:bookmarkEnd w:id="61"/>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10.6</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10.9</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10.13</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10.16</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10.17</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10.22</w:t>
      </w:r>
    </w:p>
    <w:p>
      <w:pPr>
        <w:spacing w:after="0" w:line="20" w:lineRule="exact"/>
        <w:rPr>
          <w:sz w:val="20"/>
          <w:szCs w:val="20"/>
          <w:color w:val="auto"/>
        </w:rPr>
      </w:pPr>
      <w:r>
        <w:rPr>
          <w:sz w:val="20"/>
          <w:szCs w:val="20"/>
          <w:color w:val="auto"/>
        </w:rPr>
        <w:br w:type="column"/>
      </w:r>
    </w:p>
    <w:p>
      <w:pPr>
        <w:ind w:right="20"/>
        <w:spacing w:after="0" w:line="26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AMC Networks Inc. Amended and Restated 2011 Stock Plan For Non-Employee Directors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the Company’s Quarterly Report on Form 10-Q filed on August 5, 2020)</w:t>
        </w:r>
      </w:hyperlink>
    </w:p>
    <w:p>
      <w:pPr>
        <w:spacing w:after="0" w:line="95"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Form of Employment Agreement by and between AMC Networks Inc. and Charles F. Dolan (incorporated by reference to Exhibit 10.13</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to the Company's Amendment No. 5 to Registration Statement on Form 10 filed on June 6, 2011).</w:t>
        </w:r>
      </w:hyperlink>
    </w:p>
    <w:p>
      <w:pPr>
        <w:spacing w:after="0" w:line="64" w:lineRule="exact"/>
        <w:rPr>
          <w:sz w:val="20"/>
          <w:szCs w:val="20"/>
          <w:color w:val="auto"/>
        </w:rPr>
      </w:pPr>
    </w:p>
    <w:p>
      <w:pPr>
        <w:ind w:right="280"/>
        <w:spacing w:after="0" w:line="237"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Amendment to Employment Agreement, dated as of September 15, 2020, by and between AMC Networks Inc. and Charles F. Dolan</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(incorporated by reference to Exhibit 10.1 to the Company's Current Report on Form 8-K filed on September 15, 2020).</w:t>
        </w:r>
      </w:hyperlink>
    </w:p>
    <w:p>
      <w:pPr>
        <w:spacing w:after="0" w:line="118" w:lineRule="exact"/>
        <w:rPr>
          <w:sz w:val="20"/>
          <w:szCs w:val="20"/>
          <w:color w:val="auto"/>
        </w:rPr>
      </w:pPr>
    </w:p>
    <w:p>
      <w:pPr>
        <w:ind w:right="440"/>
        <w:spacing w:after="0" w:line="296"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Amended and Restated Employment Agreement dated December 11, 2020, between AMC Networks Inc. and Joshua W. Sapan</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(incorporated by reference to Exhibit 10.9 to the Company’s Annual Report on Form 10-K for the year ended December 31, 2020)</w:t>
        </w:r>
      </w:hyperlink>
    </w:p>
    <w:p>
      <w:pPr>
        <w:spacing w:after="0" w:line="71" w:lineRule="exact"/>
        <w:rPr>
          <w:sz w:val="20"/>
          <w:szCs w:val="20"/>
          <w:color w:val="auto"/>
        </w:rPr>
      </w:pPr>
    </w:p>
    <w:p>
      <w:pPr>
        <w:ind w:right="60"/>
        <w:spacing w:after="0" w:line="236"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Amendment, dated August 23, 2021, to Amended and Restated Employment Agreement, dated December 11, 2020, by and between</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AMC Networks Inc. and Joshua W. Sapan (incorporated by reference to Exhibit 10.1 to the Company’s Quarterly Report on Form 10-Q</w:t>
        </w:r>
      </w:hyperlink>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 the quarter ended September 30, 2021)</w:t>
        </w:r>
      </w:hyperlink>
    </w:p>
    <w:p>
      <w:pPr>
        <w:spacing w:after="0" w:line="97"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Employment Agreement, dated August 4, 2022, by and between AMC Networks Inc. and Christina Spade (incorporated by reference to</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Exhibit 10.1 to the Company's Quarterly Report on Form 10-Q for the quarter ended September 30, 2022)</w:t>
        </w:r>
      </w:hyperlink>
    </w:p>
    <w:p>
      <w:pPr>
        <w:spacing w:after="0" w:line="95"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Employment Agreement, dated August 4, 2022, by and between AMC Networks Inc. and Patrick O'Connell (incorporated by reference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to Exhibit 10.2 to the Company's Quarterly Report on Form 10-Q for the quarter ended September 30, 2022)</w:t>
        </w:r>
      </w:hyperlink>
    </w:p>
    <w:p>
      <w:pPr>
        <w:spacing w:after="0" w:line="135"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Employment Agreement, dated August 23, 2021, by and between AMC Networks Inc. and Matthew Blank (incorporated by reference to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Exhibit 10.2 to the Company’s Quarterly Report on Form 10-Q for the quarter ended September 30, 2021)</w:t>
        </w:r>
      </w:hyperlink>
    </w:p>
    <w:p>
      <w:pPr>
        <w:spacing w:after="0" w:line="95" w:lineRule="exact"/>
        <w:rPr>
          <w:sz w:val="20"/>
          <w:szCs w:val="20"/>
          <w:color w:val="auto"/>
        </w:rPr>
      </w:pPr>
    </w:p>
    <w:p>
      <w:pPr>
        <w:ind w:right="540"/>
        <w:spacing w:after="0" w:line="237"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Employment Agreement, dated October 19, 2022, by and between AMC Networks Inc. and James G. Gallagher (incorporated by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reference to Exhibit 10.3 to the Company's Quarterly Report on Form 10-Q for the quarter ended September 30, 2022)</w:t>
        </w:r>
      </w:hyperlink>
    </w:p>
    <w:p>
      <w:pPr>
        <w:spacing w:after="0" w:line="6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Form of AMC Networks Inc. Non-Employee Director Award Agreement (incorporated by reference to Exhibit 10.22 to the Company's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Amendment No. 5 to Registration Statement on Form 10 filed on June 6, 2011).</w:t>
        </w:r>
      </w:hyperlink>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Form of AMC Networks Inc. Non-Employee Director Agreement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Report on Form 10-Q for the quarter ended June 30, 2012).</w:t>
        </w:r>
      </w:hyperlink>
    </w:p>
    <w:p>
      <w:pPr>
        <w:spacing w:after="0" w:line="118" w:lineRule="exact"/>
        <w:rPr>
          <w:sz w:val="20"/>
          <w:szCs w:val="20"/>
          <w:color w:val="auto"/>
        </w:rPr>
      </w:pPr>
    </w:p>
    <w:p>
      <w:pPr>
        <w:ind w:right="260"/>
        <w:spacing w:after="0" w:line="26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AMC Networks Inc. Amended and Restated 2016 Employee Stock Plan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Quarterly Report on Form 10-Q filed on August 5, 2020)</w:t>
        </w:r>
      </w:hyperlink>
    </w:p>
    <w:p>
      <w:pPr>
        <w:spacing w:after="0" w:line="95"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Shared Executive Space Cost Sharing Arrangement (incorporated by reference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Form 10-Q for the quarter ended June 30, 2016).</w:t>
        </w:r>
      </w:hyperlink>
    </w:p>
    <w:p>
      <w:pPr>
        <w:spacing w:after="0" w:line="10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Form of Performance Restricted Stock Unit Award Agreement (incorporated by reference to Exhibit 10.21 on Form 10-K for the year</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ended December 31, 2017).</w:t>
        </w:r>
      </w:hyperlink>
    </w:p>
    <w:p>
      <w:pPr>
        <w:spacing w:after="0" w:line="158"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Form of Restricted Stock Unit Award Agreement (incorporated by reference to Exhibit 10.22 on Form 10-K for the year ended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December 31, 2017).</w:t>
        </w:r>
      </w:hyperlink>
    </w:p>
    <w:p>
      <w:pPr>
        <w:spacing w:after="0" w:line="104" w:lineRule="exact"/>
        <w:rPr>
          <w:sz w:val="20"/>
          <w:szCs w:val="20"/>
          <w:color w:val="auto"/>
        </w:rPr>
      </w:pPr>
    </w:p>
    <w:p>
      <w:pPr>
        <w:ind w:right="22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Form of Performance Cash Award Agreement (incorporated by reference to Exhibit 10.1 to the Company's Quarterly Report on Form</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10-Q for the quarter ended March 31, 2020).</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Performance Cash Award Agreement (incorporated by reference to Exhibit 10.27 to the Company's Annual Report on Form 10-</w:t>
        </w:r>
      </w:hyperlink>
      <w:hyperlink r:id="rId127">
        <w:r>
          <w:rPr>
            <w:rFonts w:ascii="Times New Roman" w:cs="Times New Roman" w:eastAsia="Times New Roman" w:hAnsi="Times New Roman"/>
            <w:sz w:val="18"/>
            <w:szCs w:val="18"/>
            <w:u w:val="single" w:color="auto"/>
            <w:color w:val="0000FF"/>
          </w:rPr>
          <w:t>K for the year ended December 31, 2021).</w:t>
        </w:r>
      </w:hyperlink>
    </w:p>
    <w:p>
      <w:pPr>
        <w:spacing w:after="0" w:line="64" w:lineRule="exact"/>
        <w:rPr>
          <w:sz w:val="20"/>
          <w:szCs w:val="20"/>
          <w:color w:val="auto"/>
        </w:rPr>
      </w:pPr>
    </w:p>
    <w:p>
      <w:pPr>
        <w:ind w:right="32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Master Services Agreement, dated February 8, 2019, by and between Rainbow Media Holdings LLC and 605 LLC (incorporated by</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reference to Exhibit 10.1 to the Company's Quarterly Report on Form 10-Q for the quarter ended March 31, 2019).</w:t>
        </w:r>
      </w:hyperlink>
    </w:p>
    <w:p>
      <w:pPr>
        <w:spacing w:after="0" w:line="118"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Statement of Work for Strategic Analytic Services, dated August 1, 2022, by and between Rainbow Media Holdings LLC and 605, LLC</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(incorporated by reference to Exhibit 10.1 to the Company's Quarterly Report on Form 10-Q for the quarter ended June 30, 2022).</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0" w:space="660"/>
            <w:col w:w="9840"/>
          </w:cols>
          <w:pgMar w:left="620" w:top="945" w:right="379" w:bottom="1440" w:gutter="0" w:footer="0" w:header="0"/>
        </w:sectPr>
      </w:pPr>
    </w:p>
    <w:bookmarkStart w:id="62" w:name="page63"/>
    <w:bookmarkEnd w:id="62"/>
    <w:tbl>
      <w:tblPr>
        <w:tblLayout w:type="fixed"/>
        <w:tblInd w:w="292" w:type="dxa"/>
        <w:tblCellMar>
          <w:top w:w="0" w:type="dxa"/>
          <w:left w:w="0" w:type="dxa"/>
          <w:bottom w:w="0" w:type="dxa"/>
          <w:right w:w="0" w:type="dxa"/>
        </w:tblCellMar>
      </w:tblPr>
      <w:tr>
        <w:trPr>
          <w:trHeight w:val="20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10.23</w:t>
            </w:r>
          </w:p>
        </w:tc>
        <w:tc>
          <w:tcPr>
            <w:tcW w:w="9840" w:type="dxa"/>
            <w:vAlign w:val="bottom"/>
            <w:gridSpan w:val="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AMC Networks Inc. Executive Deferred Compensation Plan (incorporated by reference to Exhibit 10.29 to the Company's Annual</w:t>
              </w:r>
            </w:hyperlink>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4480" w:type="dxa"/>
            <w:vAlign w:val="bottom"/>
            <w:tcBorders>
              <w:top w:val="single" w:sz="8" w:color="0000FF"/>
            </w:tcBorders>
            <w:vMerge w:val="restart"/>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Report on Form 10-K for the year ended December 31, 2021).</w:t>
              </w:r>
            </w:hyperlink>
          </w:p>
        </w:tc>
        <w:tc>
          <w:tcPr>
            <w:tcW w:w="4920" w:type="dxa"/>
            <w:vAlign w:val="bottom"/>
            <w:tcBorders>
              <w:top w:val="single" w:sz="8" w:color="0000FF"/>
            </w:tcBorders>
            <w:gridSpan w:val="3"/>
            <w:vMerge w:val="restart"/>
          </w:tcPr>
          <w:p>
            <w:pPr>
              <w:spacing w:after="0"/>
              <w:rPr>
                <w:sz w:val="11"/>
                <w:szCs w:val="11"/>
                <w:color w:val="auto"/>
              </w:rPr>
            </w:pPr>
          </w:p>
        </w:tc>
        <w:tc>
          <w:tcPr>
            <w:tcW w:w="44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60" w:type="dxa"/>
            <w:vAlign w:val="bottom"/>
          </w:tcPr>
          <w:p>
            <w:pPr>
              <w:spacing w:after="0"/>
              <w:rPr>
                <w:sz w:val="4"/>
                <w:szCs w:val="4"/>
                <w:color w:val="auto"/>
              </w:rPr>
            </w:pPr>
          </w:p>
        </w:tc>
        <w:tc>
          <w:tcPr>
            <w:tcW w:w="4480" w:type="dxa"/>
            <w:vAlign w:val="bottom"/>
            <w:tcBorders>
              <w:bottom w:val="single" w:sz="8" w:color="0000FF"/>
            </w:tcBorders>
            <w:vMerge w:val="continue"/>
          </w:tcPr>
          <w:p>
            <w:pPr>
              <w:spacing w:after="0"/>
              <w:rPr>
                <w:sz w:val="4"/>
                <w:szCs w:val="4"/>
                <w:color w:val="auto"/>
              </w:rPr>
            </w:pPr>
          </w:p>
        </w:tc>
        <w:tc>
          <w:tcPr>
            <w:tcW w:w="4920" w:type="dxa"/>
            <w:vAlign w:val="bottom"/>
            <w:gridSpan w:val="3"/>
            <w:vMerge w:val="continue"/>
          </w:tcPr>
          <w:p>
            <w:pPr>
              <w:spacing w:after="0"/>
              <w:rPr>
                <w:sz w:val="4"/>
                <w:szCs w:val="4"/>
                <w:color w:val="auto"/>
              </w:rPr>
            </w:pPr>
          </w:p>
        </w:tc>
        <w:tc>
          <w:tcPr>
            <w:tcW w:w="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10.24</w:t>
            </w:r>
          </w:p>
        </w:tc>
        <w:tc>
          <w:tcPr>
            <w:tcW w:w="98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Employment Agreement, dated February 15, 2023, by and between AMC Networks Inc. and Kristin Dolan (incorporated by reference to</w:t>
              </w:r>
            </w:hyperlink>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7400" w:type="dxa"/>
            <w:vAlign w:val="bottom"/>
            <w:gridSpan w:val="2"/>
            <w:vMerge w:val="restart"/>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Exhibit 10.1 to the Company’s Quarterly Report on Form 10-Q for the quarter ended March 31, 2023).</w:t>
              </w:r>
            </w:hyperlink>
          </w:p>
        </w:tc>
        <w:tc>
          <w:tcPr>
            <w:tcW w:w="244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60" w:type="dxa"/>
            <w:vAlign w:val="bottom"/>
          </w:tcPr>
          <w:p>
            <w:pPr>
              <w:spacing w:after="0"/>
              <w:rPr>
                <w:sz w:val="3"/>
                <w:szCs w:val="3"/>
                <w:color w:val="auto"/>
              </w:rPr>
            </w:pPr>
          </w:p>
        </w:tc>
        <w:tc>
          <w:tcPr>
            <w:tcW w:w="7400" w:type="dxa"/>
            <w:vAlign w:val="bottom"/>
            <w:tcBorders>
              <w:bottom w:val="single" w:sz="8" w:color="0000FF"/>
            </w:tcBorders>
            <w:gridSpan w:val="2"/>
            <w:vMerge w:val="continue"/>
          </w:tcPr>
          <w:p>
            <w:pPr>
              <w:spacing w:after="0"/>
              <w:rPr>
                <w:sz w:val="3"/>
                <w:szCs w:val="3"/>
                <w:color w:val="auto"/>
              </w:rPr>
            </w:pPr>
          </w:p>
        </w:tc>
        <w:tc>
          <w:tcPr>
            <w:tcW w:w="24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9840" w:type="dxa"/>
            <w:vAlign w:val="bottom"/>
            <w:gridSpan w:val="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2, dated as of April 19, 2023, to the Second Amended and Restated Credit Agreement, dated as of July 28, 2017, as</w:t>
              </w:r>
            </w:hyperlink>
          </w:p>
        </w:tc>
        <w:tc>
          <w:tcPr>
            <w:tcW w:w="0" w:type="dxa"/>
            <w:vAlign w:val="bottom"/>
          </w:tcPr>
          <w:p>
            <w:pPr>
              <w:spacing w:after="0"/>
              <w:rPr>
                <w:sz w:val="1"/>
                <w:szCs w:val="1"/>
                <w:color w:val="auto"/>
              </w:rPr>
            </w:pPr>
          </w:p>
        </w:tc>
      </w:tr>
      <w:tr>
        <w:trPr>
          <w:trHeight w:val="156"/>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10.25</w:t>
            </w:r>
          </w:p>
        </w:tc>
        <w:tc>
          <w:tcPr>
            <w:tcW w:w="9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amended by that certain Amendment No. 1 to the Second Amended and Restated Credit Agreement, dated as of February 8, 2021, by</w:t>
              </w:r>
            </w:hyperlink>
          </w:p>
        </w:tc>
        <w:tc>
          <w:tcPr>
            <w:tcW w:w="4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96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and among AMC Networks and its subsidiary, AMC Network Entertainment LLC, as the initial borrowers, certain of AMC Networks’</w:t>
              </w:r>
            </w:hyperlink>
          </w:p>
        </w:tc>
        <w:tc>
          <w:tcPr>
            <w:tcW w:w="100" w:type="dxa"/>
            <w:vAlign w:val="bottom"/>
            <w:tcBorders>
              <w:bottom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700" w:type="dxa"/>
            <w:vAlign w:val="bottom"/>
            <w:gridSpan w:val="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subsidiaries, as restricted subsidiaries, the lenders party thereto and JPMorgan Chase Bank, N.A., as Administrative Agent and</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1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Collateral Agent (incorporated by reference to Exhibit 10.1 to the Company's Current Report on Form 8-K filed on April 24,</w:t>
              </w:r>
            </w:hyperlink>
          </w:p>
        </w:tc>
        <w:tc>
          <w:tcPr>
            <w:tcW w:w="720" w:type="dxa"/>
            <w:vAlign w:val="bottom"/>
            <w:gridSpan w:val="6"/>
          </w:tcPr>
          <w:p>
            <w:pPr>
              <w:jc w:val="right"/>
              <w:ind w:right="360"/>
              <w:spacing w:after="0" w:line="156" w:lineRule="exact"/>
              <w:rPr>
                <w:rFonts w:ascii="Times New Roman" w:cs="Times New Roman" w:eastAsia="Times New Roman" w:hAnsi="Times New Roman"/>
                <w:sz w:val="18"/>
                <w:szCs w:val="18"/>
                <w:color w:val="0000FF"/>
                <w:w w:val="73"/>
              </w:rPr>
            </w:pPr>
            <w:hyperlink r:id="rId133">
              <w:r>
                <w:rPr>
                  <w:rFonts w:ascii="Times New Roman" w:cs="Times New Roman" w:eastAsia="Times New Roman" w:hAnsi="Times New Roman"/>
                  <w:sz w:val="18"/>
                  <w:szCs w:val="18"/>
                  <w:color w:val="0000FF"/>
                  <w:w w:val="73"/>
                </w:rPr>
                <w:t>2023).</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tbl>
      <w:tblPr>
        <w:tblLayout w:type="fixed"/>
        <w:tblInd w:w="292" w:type="dxa"/>
        <w:tblCellMar>
          <w:top w:w="0" w:type="dxa"/>
          <w:left w:w="0" w:type="dxa"/>
          <w:bottom w:w="0" w:type="dxa"/>
          <w:right w:w="0" w:type="dxa"/>
        </w:tblCellMar>
      </w:tblPr>
      <w:tr>
        <w:trPr>
          <w:trHeight w:val="20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10.26</w:t>
            </w:r>
          </w:p>
        </w:tc>
        <w:tc>
          <w:tcPr>
            <w:tcW w:w="9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Amended &amp; Restated Employment Agreement dated September 2, 2022, between AMC Networks Inc. and Kim Kelleher (incorporated</w:t>
              </w:r>
            </w:hyperlink>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8380" w:type="dxa"/>
            <w:vAlign w:val="bottom"/>
            <w:gridSpan w:val="2"/>
            <w:vMerge w:val="restart"/>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by reference to Exhibit 10.2 to the Company’s Quarterly Report on Form 10-Q for the quarter ended June 30, 2023).</w:t>
              </w:r>
            </w:hyperlink>
          </w:p>
        </w:tc>
        <w:tc>
          <w:tcPr>
            <w:tcW w:w="13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8380" w:type="dxa"/>
            <w:vAlign w:val="bottom"/>
            <w:tcBorders>
              <w:bottom w:val="single" w:sz="8" w:color="0000FF"/>
            </w:tcBorders>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10.27</w:t>
            </w:r>
          </w:p>
        </w:tc>
        <w:tc>
          <w:tcPr>
            <w:tcW w:w="9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Employment Agreement dated August 15, 2023, between AMC Networks Inc. and Michael J. Sherin III (incorporated by reference to</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7700" w:type="dxa"/>
            <w:vAlign w:val="bottom"/>
            <w:vMerge w:val="restart"/>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10.1 to the Company’s Quarterly Report on Form 10-Q for the quarter ended September 30, 2023).</w:t>
              </w:r>
            </w:hyperlink>
          </w:p>
        </w:tc>
        <w:tc>
          <w:tcPr>
            <w:tcW w:w="206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7700" w:type="dxa"/>
            <w:vAlign w:val="bottom"/>
            <w:tcBorders>
              <w:bottom w:val="single" w:sz="8" w:color="0000FF"/>
            </w:tcBorders>
            <w:vMerge w:val="continue"/>
          </w:tcPr>
          <w:p>
            <w:pPr>
              <w:spacing w:after="0"/>
              <w:rPr>
                <w:sz w:val="3"/>
                <w:szCs w:val="3"/>
                <w:color w:val="auto"/>
              </w:rPr>
            </w:pPr>
          </w:p>
        </w:tc>
        <w:tc>
          <w:tcPr>
            <w:tcW w:w="2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52" w:hanging="943"/>
        <w:spacing w:after="0"/>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130"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90"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52" w:hanging="943"/>
        <w:spacing w:after="0"/>
        <w:tabs>
          <w:tab w:leader="none" w:pos="13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(included on the signature page to this Annual Report on Form 10-K).</w:t>
      </w:r>
    </w:p>
    <w:p>
      <w:pPr>
        <w:spacing w:after="0" w:line="104"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31.1</w:t>
            </w:r>
          </w:p>
        </w:tc>
        <w:tc>
          <w:tcPr>
            <w:tcW w:w="52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31.2</w:t>
            </w:r>
          </w:p>
        </w:tc>
        <w:tc>
          <w:tcPr>
            <w:tcW w:w="52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32</w:t>
            </w:r>
          </w:p>
        </w:tc>
        <w:tc>
          <w:tcPr>
            <w:tcW w:w="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 Officer pursuant to Section 906 of the Sarbanes-Oxley Act of 2002, 18</w:t>
            </w:r>
          </w:p>
        </w:tc>
        <w:tc>
          <w:tcPr>
            <w:tcW w:w="0" w:type="dxa"/>
            <w:vAlign w:val="bottom"/>
          </w:tcPr>
          <w:p>
            <w:pPr>
              <w:spacing w:after="0"/>
              <w:rPr>
                <w:sz w:val="1"/>
                <w:szCs w:val="1"/>
                <w:color w:val="auto"/>
              </w:rPr>
            </w:pPr>
          </w:p>
        </w:tc>
      </w:tr>
      <w:tr>
        <w:trPr>
          <w:trHeight w:val="115"/>
        </w:trPr>
        <w:tc>
          <w:tcPr>
            <w:tcW w:w="4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54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52" w:hanging="943"/>
        <w:spacing w:after="0"/>
        <w:tabs>
          <w:tab w:leader="none" w:pos="13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Accounting Policy for Clawbacks of Erroneously Awarded Compensation.</w:t>
      </w:r>
    </w:p>
    <w:p>
      <w:pPr>
        <w:spacing w:after="0" w:line="117" w:lineRule="exact"/>
        <w:rPr>
          <w:sz w:val="20"/>
          <w:szCs w:val="20"/>
          <w:color w:val="auto"/>
        </w:rPr>
      </w:pPr>
    </w:p>
    <w:tbl>
      <w:tblPr>
        <w:tblLayout w:type="fixed"/>
        <w:tblInd w:w="172" w:type="dxa"/>
        <w:tblCellMar>
          <w:top w:w="0" w:type="dxa"/>
          <w:left w:w="0" w:type="dxa"/>
          <w:bottom w:w="0" w:type="dxa"/>
          <w:right w:w="0" w:type="dxa"/>
        </w:tblCellMar>
      </w:tblP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0" w:lineRule="exact"/>
        <w:rPr>
          <w:sz w:val="20"/>
          <w:szCs w:val="20"/>
          <w:color w:val="auto"/>
        </w:rPr>
      </w:pPr>
    </w:p>
    <w:p>
      <w:pPr>
        <w:spacing w:after="0" w:line="227" w:lineRule="exact"/>
        <w:rPr>
          <w:sz w:val="20"/>
          <w:szCs w:val="20"/>
          <w:color w:val="auto"/>
        </w:rPr>
      </w:pPr>
    </w:p>
    <w:p>
      <w:pPr>
        <w:ind w:left="-8" w:firstLine="8"/>
        <w:spacing w:after="0" w:line="266" w:lineRule="auto"/>
        <w:tabs>
          <w:tab w:leader="none" w:pos="1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18"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7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3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234"/>
        </w:trPr>
        <w:tc>
          <w:tcPr>
            <w:tcW w:w="3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POWER OF ATTORNEY</w:t>
      </w:r>
    </w:p>
    <w:p>
      <w:pPr>
        <w:spacing w:after="0" w:line="11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Kristin A. Dolan and Patrick O'Connell,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3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5420" w:type="dxa"/>
            <w:vAlign w:val="bottom"/>
            <w:gridSpan w:val="3"/>
          </w:tcPr>
          <w:p>
            <w:pPr>
              <w:ind w:left="2900"/>
              <w:spacing w:after="0"/>
              <w:rPr>
                <w:sz w:val="20"/>
                <w:szCs w:val="20"/>
                <w:color w:val="auto"/>
              </w:rPr>
            </w:pPr>
            <w:r>
              <w:rPr>
                <w:rFonts w:ascii="Times New Roman" w:cs="Times New Roman" w:eastAsia="Times New Roman" w:hAnsi="Times New Roman"/>
                <w:sz w:val="14"/>
                <w:szCs w:val="14"/>
                <w:color w:val="auto"/>
              </w:rPr>
              <w:t>Title</w:t>
            </w:r>
          </w:p>
        </w:tc>
        <w:tc>
          <w:tcPr>
            <w:tcW w:w="1460" w:type="dxa"/>
            <w:vAlign w:val="bottom"/>
          </w:tcPr>
          <w:p>
            <w:pPr>
              <w:spacing w:after="0"/>
              <w:rPr>
                <w:sz w:val="13"/>
                <w:szCs w:val="13"/>
                <w:color w:val="auto"/>
              </w:rPr>
            </w:pPr>
          </w:p>
        </w:tc>
        <w:tc>
          <w:tcPr>
            <w:tcW w:w="7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33"/>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Kristin A. Dolan</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J. Sherin III</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L. Dolan</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L.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Charles F. Dolan</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Chairman Emeritus and Director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Charles F.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Matthew Blank</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Blank</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Joseph M. Cohen</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M. Cohen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Aidan Dolan</w:t>
            </w:r>
          </w:p>
        </w:tc>
        <w:tc>
          <w:tcPr>
            <w:tcW w:w="5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8"/>
              </w:rPr>
              <w:t>February 9, 2024</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Aidan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F. Dolan</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F. Dolan</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C. Dolan</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C. Dolan</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G. Perelman</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G. Perelman</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Sweeney</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Sweeney</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Vincent Tese</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Tese</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Leonard Tow</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Leonard Tow</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95"/>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 E. Vogel</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 E. Vogel</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481"/>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Marianne Dolan Weber</w:t>
            </w:r>
          </w:p>
        </w:tc>
        <w:tc>
          <w:tcPr>
            <w:tcW w:w="3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390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7"/>
              </w:rPr>
              <w:t>February 9, 2024</w:t>
            </w:r>
          </w:p>
        </w:tc>
      </w:tr>
      <w:tr>
        <w:trPr>
          <w:trHeight w:val="22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Marianne Dolan Weber</w:t>
            </w:r>
          </w:p>
        </w:tc>
        <w:tc>
          <w:tcPr>
            <w:tcW w:w="3720" w:type="dxa"/>
            <w:vAlign w:val="bottom"/>
          </w:tcPr>
          <w:p>
            <w:pPr>
              <w:spacing w:after="0"/>
              <w:rPr>
                <w:sz w:val="19"/>
                <w:szCs w:val="19"/>
                <w:color w:val="auto"/>
              </w:rPr>
            </w:pPr>
          </w:p>
        </w:tc>
        <w:tc>
          <w:tcPr>
            <w:tcW w:w="3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31" w:right="699" w:bottom="1440" w:gutter="0" w:footer="0" w:header="0"/>
        </w:sectPr>
      </w:pPr>
    </w:p>
    <w:bookmarkStart w:id="65" w:name="page66"/>
    <w:bookmarkEnd w:id="6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2023 and 2022 and for the years ended December 31, 2023, 2022 and 2021</w:t>
            </w:r>
          </w:p>
        </w:tc>
        <w:tc>
          <w:tcPr>
            <w:tcW w:w="260" w:type="dxa"/>
            <w:vAlign w:val="bottom"/>
          </w:tcPr>
          <w:p>
            <w:pPr>
              <w:spacing w:after="0"/>
              <w:rPr>
                <w:sz w:val="20"/>
                <w:szCs w:val="20"/>
                <w:color w:val="auto"/>
              </w:rPr>
            </w:pPr>
          </w:p>
        </w:tc>
      </w:tr>
      <w:tr>
        <w:trPr>
          <w:trHeight w:val="29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ID:185)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09"/>
        </w:trPr>
        <w:tc>
          <w:tcPr>
            <w:tcW w:w="4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340" w:type="dxa"/>
            <w:vAlign w:val="bottom"/>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10"/>
        </w:trPr>
        <w:tc>
          <w:tcPr>
            <w:tcW w:w="42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380" w:type="dxa"/>
            <w:vAlign w:val="bottom"/>
            <w:gridSpan w:val="2"/>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10"/>
        </w:trPr>
        <w:tc>
          <w:tcPr>
            <w:tcW w:w="3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080" w:type="dxa"/>
            <w:vAlign w:val="bottom"/>
            <w:gridSpan w:val="3"/>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S-1</w:t>
            </w:r>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60" w:top="887" w:right="6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AMC Networks Inc. and subsidiaries (the Company) as of December 31, 2023 and 2022, the related consolidated statements of income, comprehensive income (loss), stockholders’ equity, and cash flows for each of the years in the three-year period ended December 31, 2023, and the related notes and financial statement schedule 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9, 2024, expressed an unqualified opinion on the effectiveness of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goodwill in the AMC Networks International (AMCNI) reporting unit</w:t>
      </w:r>
    </w:p>
    <w:p>
      <w:pPr>
        <w:spacing w:after="0" w:line="119"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As discussed in Note 9 to the consolidated financial statements, the Company’s goodwill balance for the International and Other segment was $277.8 million at December 31, 2023, which includes its AMCNI reporting unit. The Company performs goodwill impairment testing at the reporting unit level on an annual basis during the fourth quarter of each fiscal year as of December 1, and whenever events and changes in circumstances indicate that the carrying value of a reporting unit might exceed its fair value.</w:t>
      </w:r>
    </w:p>
    <w:p>
      <w:pPr>
        <w:spacing w:after="0" w:line="7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carrying value of goodwill in the AMCNI reporting unit as a critical audit matter. Revenue growth rates, long-term growth rate and the discount rate used by the Company to estimate the fair value of the reporting unit involved especially challenging auditor judgment and could have a significant effect on the Company’s assessment of the carrying value of the reporting unit’s goodwill.</w:t>
      </w:r>
    </w:p>
    <w:p>
      <w:pPr>
        <w:spacing w:after="0" w:line="68" w:lineRule="exact"/>
        <w:rPr>
          <w:sz w:val="20"/>
          <w:szCs w:val="20"/>
          <w:color w:val="auto"/>
        </w:rPr>
      </w:pPr>
    </w:p>
    <w:p>
      <w:pPr>
        <w:ind w:left="340" w:right="38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over the selection of the revenue growth rates, long-term growth rate and the discount rate used to estimate the fair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7" w:name="page68"/>
    <w:bookmarkEnd w:id="67"/>
    <w:p>
      <w:pPr>
        <w:ind w:left="340" w:right="60"/>
        <w:spacing w:after="0" w:line="258" w:lineRule="auto"/>
        <w:rPr>
          <w:sz w:val="20"/>
          <w:szCs w:val="20"/>
          <w:color w:val="auto"/>
        </w:rPr>
      </w:pPr>
      <w:r>
        <w:rPr>
          <w:rFonts w:ascii="Times New Roman" w:cs="Times New Roman" w:eastAsia="Times New Roman" w:hAnsi="Times New Roman"/>
          <w:sz w:val="18"/>
          <w:szCs w:val="18"/>
          <w:color w:val="auto"/>
        </w:rPr>
        <w:t>value of the reporting unit. We performed sensitivity analyses over the revenue growth rates, long-term growth rate and discount rate assumptions.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skills and knowledge who assisted in:</w:t>
      </w:r>
    </w:p>
    <w:p>
      <w:pPr>
        <w:spacing w:after="0" w:line="75" w:lineRule="exact"/>
        <w:rPr>
          <w:sz w:val="20"/>
          <w:szCs w:val="20"/>
          <w:color w:val="auto"/>
        </w:rPr>
      </w:pPr>
    </w:p>
    <w:p>
      <w:pPr>
        <w:ind w:left="820" w:right="60" w:hanging="245"/>
        <w:spacing w:after="0" w:line="282"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discount rate range using publicly available market data for comparable entities and comparing it to the Company’s discount rate;</w:t>
      </w:r>
    </w:p>
    <w:p>
      <w:pPr>
        <w:spacing w:after="0" w:line="53" w:lineRule="exact"/>
        <w:rPr>
          <w:rFonts w:ascii="Times New Roman" w:cs="Times New Roman" w:eastAsia="Times New Roman" w:hAnsi="Times New Roman"/>
          <w:sz w:val="18"/>
          <w:szCs w:val="18"/>
          <w:color w:val="auto"/>
        </w:rPr>
      </w:pPr>
    </w:p>
    <w:p>
      <w:pPr>
        <w:ind w:left="820" w:right="360" w:hanging="245"/>
        <w:spacing w:after="0" w:line="282"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long-term growth rate range using publicly available market data and comparing it to the Company’s long-term growth rate; and</w:t>
      </w:r>
    </w:p>
    <w:p>
      <w:pPr>
        <w:spacing w:after="0" w:line="53" w:lineRule="exact"/>
        <w:rPr>
          <w:rFonts w:ascii="Times New Roman" w:cs="Times New Roman" w:eastAsia="Times New Roman" w:hAnsi="Times New Roman"/>
          <w:sz w:val="18"/>
          <w:szCs w:val="18"/>
          <w:color w:val="auto"/>
        </w:rPr>
      </w:pPr>
    </w:p>
    <w:p>
      <w:pPr>
        <w:ind w:left="820" w:right="140" w:hanging="245"/>
        <w:spacing w:after="0" w:line="282" w:lineRule="auto"/>
        <w:tabs>
          <w:tab w:leader="none" w:pos="8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estimated range of the reporting unit fair value using the reporting unit’s cash flow projections and the independently developed discount rate range and long-term growth rate range and compared the result to the Company’s fair value estimate.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amortization of owned original program rights predominantly monetized individually</w:t>
      </w:r>
    </w:p>
    <w:p>
      <w:pPr>
        <w:spacing w:after="0" w:line="119" w:lineRule="exact"/>
        <w:rPr>
          <w:sz w:val="20"/>
          <w:szCs w:val="20"/>
          <w:color w:val="auto"/>
        </w:rPr>
      </w:pPr>
    </w:p>
    <w:p>
      <w:pPr>
        <w:ind w:left="340" w:right="120"/>
        <w:spacing w:after="0" w:line="254" w:lineRule="auto"/>
        <w:rPr>
          <w:sz w:val="20"/>
          <w:szCs w:val="20"/>
          <w:color w:val="auto"/>
        </w:rPr>
      </w:pPr>
      <w:r>
        <w:rPr>
          <w:rFonts w:ascii="Times New Roman" w:cs="Times New Roman" w:eastAsia="Times New Roman" w:hAnsi="Times New Roman"/>
          <w:sz w:val="18"/>
          <w:szCs w:val="18"/>
          <w:color w:val="auto"/>
        </w:rPr>
        <w:t>As discussed in Note 6 to the consolidated financial statements, the balance of the Company’s owned original program rights, net as of December 31, 2023 was $956.7 million, of which $139.4 million relates to completed productions predominantly monetized individually. Program rights that are predominantly monetized individually are amortized to technical and operating expense over their estimated useful lives, commencing upon the first airing, based on attributable revenue for airings to-date as a percentage of total projected attributable revenue (“ultimate revenue”) under the individual-film-forecast-computation method. The Company bases its estimates of ultimate revenue primarily on subscription fee and advertising revenues historically generated from similar content in comparable markets, and projected program usage. Projected program usage is based on the Company’s expectation of future exhibitions. The Company periodically reviews ultimate revenue estimates and projected program usage and revises assumptions, if necessary, which could either accelerate or delay the timing of amortization expense or result in a write-down of unamortized costs to fair value.</w:t>
      </w:r>
    </w:p>
    <w:p>
      <w:pPr>
        <w:spacing w:after="0" w:line="80"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ultimate revenues used in the amortization of owned original program rights as a critical audit matter. The assumptions used by the Company to determine ultimate revenues involved especially challenging auditor judgment as they involve subjective assessments about future subscription fee revenues and advertising revenues. Changes in those assumptions could have a significant effect on the carrying amount of the Company’s owned original program rights and associated current period program rights amortization expense.</w:t>
      </w:r>
    </w:p>
    <w:p>
      <w:pPr>
        <w:spacing w:after="0" w:line="72"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development of assumptions used in determining projected attributable distribution revenue and projected attributable advertising revenue. We compared the Company’s historical projections of attributable distribution and advertising revenues to actual results to assess the Company’s ability to accurately project ultimate revenues. For a selection of owned original programming predominantly monetized individually, we evaluated (1) projected subscription fee revenue, by comparing the Company’s assumptions for projected subscribers and rates to recent actual subscriber and rate trends and terms of existing distribution agreements, (2) projected advertising revenue, by comparing the underlying pricing and ratings assumptions to recent historical trends, and</w:t>
      </w:r>
    </w:p>
    <w:p>
      <w:pPr>
        <w:spacing w:after="0" w:line="2" w:lineRule="exact"/>
        <w:rPr>
          <w:sz w:val="20"/>
          <w:szCs w:val="20"/>
          <w:color w:val="auto"/>
        </w:rPr>
      </w:pPr>
    </w:p>
    <w:p>
      <w:pPr>
        <w:ind w:left="340" w:right="580" w:hanging="8"/>
        <w:spacing w:after="0" w:line="260" w:lineRule="auto"/>
        <w:tabs>
          <w:tab w:leader="none" w:pos="5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usage by comparing historical projections to actual usage, to assess the company’s ability to accurately project program usage, and compared projected program usage to historical trends.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have audited AMC Networks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(loss), stockholders’ equity, and cash flows for each of the years in the three-year period ended December 31, 2023, and the related notes, and financial statement schedule II (collectively, the consolidated financial statements), and our report, dated February 9, 2024,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9"/>
        </w:trPr>
        <w:tc>
          <w:tcPr>
            <w:tcW w:w="8240" w:type="dxa"/>
            <w:vAlign w:val="bottom"/>
          </w:tcPr>
          <w:p>
            <w:pPr>
              <w:jc w:val="center"/>
              <w:ind w:left="285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930,002</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$9,488 and $8,725)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286,875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1,949,869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$403,708 and $344,906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1,762,939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643,419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108,229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406,854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599,052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5,633,836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89,469</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419,065</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374,115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134,883</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36,411</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1,170,233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200,869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2,778,703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124,799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3,710,544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4,526,354</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253,669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66,670 and 66,118 shares issued and 32,077 and 31,525</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360,251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earnings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2,105,641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(34,593 and 34,593 shares Class A Common Stock,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(232,831)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(239,798)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AMC Networks stockholders'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853,813</w:t>
            </w:r>
          </w:p>
        </w:tc>
        <w:tc>
          <w:tcPr>
            <w:tcW w:w="0" w:type="dxa"/>
            <w:vAlign w:val="bottom"/>
          </w:tcPr>
          <w:p>
            <w:pPr>
              <w:spacing w:after="0"/>
              <w:rPr>
                <w:sz w:val="1"/>
                <w:szCs w:val="1"/>
                <w:color w:val="auto"/>
              </w:rPr>
            </w:pPr>
          </w:p>
        </w:tc>
      </w:tr>
      <w:tr>
        <w:trPr>
          <w:trHeight w:val="212"/>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4,969,787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5,633,836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72"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9"/>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040" w:type="dxa"/>
            <w:vAlign w:val="bottom"/>
            <w:gridSpan w:val="2"/>
          </w:tcPr>
          <w:p>
            <w:pPr>
              <w:jc w:val="center"/>
              <w:ind w:left="403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65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3,077,608</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1,432,083</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891,734</w:t>
            </w: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93,881</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159,610</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2,587,686</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489,922</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(129,073)</w:t>
            </w:r>
          </w:p>
        </w:tc>
      </w:tr>
      <w:tr>
        <w:trPr>
          <w:trHeight w:val="230"/>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w:t>
            </w:r>
          </w:p>
        </w:tc>
      </w:tr>
      <w:tr>
        <w:trPr>
          <w:trHeight w:val="230"/>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(115,690)</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374,232</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279,839</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AMC Networks' stockholders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250,596</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AMC Networks' stockholders: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62"/>
        </w:trPr>
        <w:tc>
          <w:tcPr>
            <w:tcW w:w="6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42,361</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43,439</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3" w:right="359" w:bottom="1440" w:gutter="0" w:footer="0" w:header="0"/>
        </w:sectPr>
      </w:pPr>
    </w:p>
    <w:bookmarkStart w:id="71" w:name="page72"/>
    <w:bookmarkEnd w:id="71"/>
    <w:p>
      <w:pPr>
        <w:ind w:left="3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6"/>
          <w:szCs w:val="16"/>
          <w:b w:val="1"/>
          <w:bCs w:val="1"/>
          <w:color w:val="auto"/>
        </w:rPr>
        <w:t>MC NETWORKS INC. AND SUBSIDIARIES</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279,839</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(43,783)</w:t>
            </w:r>
          </w:p>
        </w:tc>
      </w:tr>
      <w:tr>
        <w:trPr>
          <w:trHeight w:val="229"/>
        </w:trPr>
        <w:tc>
          <w:tcPr>
            <w:tcW w:w="6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Unrealized gain on interest rate swaps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3"/>
        </w:trPr>
        <w:tc>
          <w:tcPr>
            <w:tcW w:w="6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(41,380)</w:t>
            </w:r>
          </w:p>
        </w:tc>
      </w:tr>
      <w:tr>
        <w:trPr>
          <w:trHeight w:val="229"/>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(41,957)</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237,882</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209,728</w:t>
            </w:r>
          </w:p>
        </w:tc>
      </w:tr>
      <w:tr>
        <w:trPr>
          <w:trHeight w:val="21"/>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2" w:name="page73"/>
    <w:bookmarkEnd w:id="72"/>
    <w:p>
      <w:pPr>
        <w:ind w:left="4040"/>
        <w:spacing w:after="0"/>
        <w:rPr>
          <w:sz w:val="20"/>
          <w:szCs w:val="20"/>
          <w:color w:val="auto"/>
        </w:rPr>
      </w:pPr>
      <w:r>
        <w:rPr>
          <w:rFonts w:ascii="Times New Roman" w:cs="Times New Roman" w:eastAsia="Times New Roman" w:hAnsi="Times New Roman"/>
          <w:sz w:val="15"/>
          <w:szCs w:val="15"/>
          <w:b w:val="1"/>
          <w:bCs w:val="1"/>
          <w:color w:val="auto"/>
        </w:rPr>
        <w:t>AMC NETWORKS INC. AND SUBSIDIARIES</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 AMC</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780" w:type="dxa"/>
            <w:vAlign w:val="bottom"/>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Networks</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Pr>
          <w:p>
            <w:pPr>
              <w:spacing w:after="0"/>
              <w:rPr>
                <w:sz w:val="15"/>
                <w:szCs w:val="15"/>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$323,425</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$1,847,451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616,805</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26,296</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643,101</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250,596</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250,596</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Transfer from redeemable noncontrolling</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47,925</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47,925</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share issuance under employee stock plans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(32,895)</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347,971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2,098,047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902,672</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 net of tax</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(66,628)</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share issuance under employee stock plans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(22,338)</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360,251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2,105,641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853,813</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AMC Networks’</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215,464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non-redeemable</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noncontrolling interest, net of tax</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members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share issuance under employee stock plans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378,877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2,321,105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(1,419,882)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1,073,946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9"/>
        </w:trPr>
        <w:tc>
          <w:tcPr>
            <w:tcW w:w="7540" w:type="dxa"/>
            <w:vAlign w:val="bottom"/>
          </w:tcPr>
          <w:p>
            <w:pPr>
              <w:jc w:val="center"/>
              <w:ind w:left="363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7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279,839</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93,881</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impairment and other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Share-based compensation expenses related to equity classified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47,925</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restructuring and other related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and write-offs of program rights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909,339</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carriage fees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29,709</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Unrealized foreign currency transaction loss (gain)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financing costs and discounts on indebtedness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22,074</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Bad debt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34,010</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Gains on investments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 trade (including amounts due from related parties,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(183,861)</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Program rights and obligations,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(1,297,782)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carriage fees,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(53,065)</w:t>
            </w:r>
          </w:p>
        </w:tc>
      </w:tr>
      <w:tr>
        <w:trPr>
          <w:trHeight w:val="229"/>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 xml:space="preserve">Accounts payable, accrued </w:t>
            </w: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16"/>
                <w:szCs w:val="16"/>
                <w:color w:val="auto"/>
              </w:rPr>
              <w:t xml:space="preserve"> and other liabilities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129,406</w:t>
            </w:r>
          </w:p>
        </w:tc>
      </w:tr>
      <w:tr>
        <w:trPr>
          <w:trHeight w:val="210"/>
        </w:trPr>
        <w:tc>
          <w:tcPr>
            <w:tcW w:w="7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143,474</w:t>
            </w:r>
          </w:p>
        </w:tc>
      </w:tr>
      <w:tr>
        <w:trPr>
          <w:trHeight w:val="19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(42,572)</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(30,273)</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Loans to investees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on distribution of business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payments received on loans to investees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acquisitions of businesses, net of cash acquired</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(62,055)</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(26,582)</w:t>
            </w: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986,000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(1,016,500)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Deemed repurchases of restricted stock units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(32,886)</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(29,414)</w:t>
            </w:r>
          </w:p>
        </w:tc>
      </w:tr>
      <w:tr>
        <w:trPr>
          <w:trHeight w:val="212"/>
        </w:trPr>
        <w:tc>
          <w:tcPr>
            <w:tcW w:w="7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(84,103)</w:t>
            </w:r>
          </w:p>
        </w:tc>
      </w:tr>
      <w:tr>
        <w:trPr>
          <w:trHeight w:val="20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from operations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32,789</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(29,094)</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930,002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892,221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888,526</w:t>
            </w: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892,221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52" w:lineRule="exact"/>
        <w:rPr>
          <w:sz w:val="20"/>
          <w:szCs w:val="20"/>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Includes our five national programming networks, our global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IFC, and SundanceTV. Our global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 and Other</w:t>
      </w:r>
      <w:r>
        <w:rPr>
          <w:rFonts w:ascii="Times New Roman" w:cs="Times New Roman" w:eastAsia="Times New Roman" w:hAnsi="Times New Roman"/>
          <w:sz w:val="18"/>
          <w:szCs w:val="18"/>
          <w:color w:val="auto"/>
        </w:rPr>
        <w:t>: Includes AMC Networks International ("AMCNI"), our international programming businesses consisting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channels around the world, and 25/7 Media (formerly Levity), our production services business. On December 29, 2023, AMC Networks sold its interest in 25/7 Media to the noncontrolling interest holders. See Note 4 for additional information relating to the 2023 sale of the production services business and the 2021 spin-off of the Levity comedy venues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The Company primarily earns revenue from (i) the distribution of its programming services, through distributors and directly to consumers, and licensing of its programming and other content, (ii) advertising, and (iii)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 Revenue Recognition.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and Operating Expenses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Costs of revenues, including but not limited to programming expenses, primarily consisting of amortization of program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Advertising costs are charged to expense when incurred and are included in selling, general and administrative expenses in the consolidated statements of income. Advertising costs were $241.5 million, $379.0 million and $383.0 million for the years ended December 31, 2023,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expenses is included in selling, general and administrative expenses in the consolidated statements of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of $8.4 million, $(1.2) million and $12.2 million for the years ended December 31, 2023, 2022 and 2021, respectively, which are included in miscellaneous, net in the consolidated statements of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Trade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expenses on a straight-line or accelerated basis, based on the expected exploitation strategy of the rights, over a period not to exceed the respective license periods.</w:t>
      </w:r>
    </w:p>
    <w:p>
      <w:pPr>
        <w:spacing w:after="0" w:line="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Owned original programming costs are recorded as program rights on the consolidated balance sheet. Program rights that are monetized as a group are amortized based on projected usage, typically resulting in an accelerated amortization pattern. Projected program usage is based on the Company's current expectation of future exhibitions taking into account historical usage of similar content. To a lesser extent, program rights that are predominantly monetized individually are amortized to technical and operating expenses over their estimated useful lives, commencing upon the first airing, based on attributable revenue for airings to date as a percentage of total projected attributable revenue ("ultimate revenue") under the individual-film-forecast-computation method.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 at the earlier of the time of abandonment or three years.</w:t>
      </w:r>
    </w:p>
    <w:p>
      <w:pPr>
        <w:spacing w:after="0" w:line="8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the programming usefulness of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events or changes in circumstances indicate that the fair value of a film predominantly monetized individually or a film group is less than its unamortized cost, the Company will write off the excess to technical and operating expenses in the consolidated statements of income. Program rights with no future programming usefulness are substantively abandoned, resulting in the write-off of remaining unamortized cost. See Note 6 for further discussion regarding program rights.</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spend on productions. These tax incentives generally provide for refundable or transferable tax credits upon meeting established levels of qualified production spending within a participating jurisdiction and may be received prior to or after completion of a production. Production tax incentives are included in prepaid and other current assets or other assets in the consolidated balance sheet with a corresponding reduction to the cost basis of the Company’s programming assets when collection becomes probable, and reduces program rights amortization over the life of the title. Receivables related to tax incentives earned on production spend as of December 31, 2023 consisted of $230.3 million recorded in Prepaid expenses and other current assets and $49.9 million recorded in Other assets. Receivables related to tax incentives earned on production spend as of December 31, 2022 were $143.1 million recorded in Prepaid expenses and other current assets and $104.5 million recorded in Other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(excluding equity method investments) with readily determinable fair values are accounted for at fair value. The Company applies the measurement alternative to fair value for equity securities without readily determinable fair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and expenses incurred on behalf of investees as well as payments from equity method investees such as dividends and distributions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(less distributions received in prior periods that were determined to be returns of investment)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evaluates its equity method investments for impairment whenever events or changes in circumstances indicate that the carrying amounts of such investments may not be recoverable. See Note 7 for further discussion regarding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(property and equipment, and amortizable intangible assets) for impairment whenever events or circumstances indicate that the carrying amount of an asset group may not be recoverable. If the sum of the expected cash flows, undiscounted and without interest, is less than the carrying amount of the asset group, an impairment loss is recognized as the amount by which the carrying amount of the asset group exceeds its fair value. See Note 9 for further discussion regarding impairment tests of long-lived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established in connection with business combinations consist of trademarks. The annual indefinite-lived intangible asset impairment test allows for the option to first assess qualitative factors to determine whether it is more likely than not that the fair value is less than its carrying amount. If it is determined, on the basis of qualitative factors, that the fair value is, more likely than not, less than its carrying value, the quantitative impairment test is required. The quantitative impairment test consists of a comparison of the estimated fair value of the intangible asset with its carrying value. If the carrying value exceeds its fair value, an impairment loss is recognized in an amount equal to that excess.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9 for further discussion regarding impairment tests of goodwill and indefinite-lived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Carriage Fees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 (up to 6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13 for a further discussion of the Company's derivative financial instruments.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intangible low-taxed income (“GILTI”) tax is treated as a period expense. Interest and penalties, if any, associated with uncertain tax positions are included in income tax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16 for further discussion regarding commitments and contingencies.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2023, one customer accounted for 15% of accounts receivable (short and long-term). As of December 31, 2022, two customers accounted for 14% and 12%, respectively, of accounts receivable (short and long-term).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 at the greater of their initial carrying amount, increased or decreased for contributions, distributions and the noncontrolling interest's share of net income or loss, or an amount reflecting the accretion of changes in the redemption value to the earliest redemption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consolidated statements of income present basic and diluted net income per share ("EPS"). Basic EPS is based upon net income divided by the weighted average number of common shares outstanding during the period. Diluted EPS reflects the dilutive effects of AMC Networks outstanding equity-based awards.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between basic and diluted weighted average shares outstanding: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r>
      <w:tr>
        <w:trPr>
          <w:trHeight w:val="21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740" w:type="dxa"/>
            <w:vAlign w:val="bottom"/>
            <w:gridSpan w:val="3"/>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42,361</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2023, 2022 and 2021, 0.5 million, 0.8 million and 0.4 million, respectively, of restricted stock units and stock options have been excluded from diluted weighted average common shares outstanding, as their impact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 AMC Networks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AMC Networks Class B stockholders are parties to an agreement which has the effect of causing the voting power of these AMC Networks Class B stockholders to be cast as a block.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common stock (the "Stock Repurchase Program"). The Stock Repurchase Program has no pre-established closing date and may be suspended or discontinued at any time. For the years ended December 31, 2023 and 2022, the Company did not repurchase any shares of its Class A common stock. As of December 31, 2023, the Company had $135.3 million available for repurchase under the Stock Repurchase Program.</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common stock share activity for all years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1520" w:type="dxa"/>
            <w:vAlign w:val="bottom"/>
          </w:tcPr>
          <w:p>
            <w:pPr>
              <w:jc w:val="right"/>
              <w:ind w:right="432"/>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25"/>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Financial Accounting Standard Board (“FASB”) issued Accounting Standards Update (“ASU”) 2021-10, Government Assistance (Topic 832): </w:t>
      </w:r>
      <w:r>
        <w:rPr>
          <w:rFonts w:ascii="Times New Roman" w:cs="Times New Roman" w:eastAsia="Times New Roman" w:hAnsi="Times New Roman"/>
          <w:sz w:val="18"/>
          <w:szCs w:val="18"/>
          <w:i w:val="1"/>
          <w:iCs w:val="1"/>
          <w:color w:val="auto"/>
        </w:rPr>
        <w:t>Disclosures by Business Entities about Government Assistance</w:t>
      </w:r>
      <w:r>
        <w:rPr>
          <w:rFonts w:ascii="Times New Roman" w:cs="Times New Roman" w:eastAsia="Times New Roman" w:hAnsi="Times New Roman"/>
          <w:sz w:val="18"/>
          <w:szCs w:val="18"/>
          <w:color w:val="auto"/>
        </w:rPr>
        <w:t>, requiring annual disclosures about transactions with a government that are accounted for by analogizing to a grant or contribution accounting model. The guidance requires the disclosure of the nature of the transactions, the accounting policies used to account for the transactions, and the effect of the transactions on the financial statements. The Company adopted the new guidance prospectively for the year ended December 31, 2022, which impacts disclosures of tax incentives related to the production of content.</w:t>
      </w:r>
    </w:p>
    <w:p>
      <w:pPr>
        <w:spacing w:after="0" w:line="7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FASB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ASU 2019-12 removes certain exceptions to the general principles in Accounting Standards Codification (“ASC”) Topic 740 - Income Taxes. The adoption of the standard did not have a material effect on the Company's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ASU 2023-09 is intended to enhance the transparency and decision usefulness of income tax information through improvements to income tax disclosures primarily related to the rate reconciliation and income taxes paid information. The standard is effective for annual reporting periods beginning after December 15, 2024, with early adoption permitted. The Company is currently assessing the impact that the adoption will have on its consolidated financial statements.</w:t>
      </w:r>
    </w:p>
    <w:p>
      <w:pPr>
        <w:spacing w:after="0" w:line="72"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The standard is effective for annual reporting periods beginning after December 15, 2023, and interim periods within years beginning after December 15, 2024, with early adoption permitted. The Company is currently assessing the impact that the adoption will have on its consolidated financial statements.</w:t>
      </w:r>
    </w:p>
    <w:p>
      <w:pPr>
        <w:spacing w:after="0" w:line="7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The Pillar Two Model Rules will be implemented in a phased approach beginning January 1, 2024. The Company is currently assessing the rules in all jurisdictions but does not anticipate a material impact to its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primarily earns revenue from (i) the distribution of its programming services, through distributors and directly to consumers, and licensing of its programming and other content, (ii) advertising, and (iii) other services. The Company’s revenue recognition policies summarizing the nature, amount, timing and uncertainty associated with each major source of revenue from contracts with customers are described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majority of the Company’s distribution revenues relate to sales-based and usage-based royalties which are recognized on the later of (i) when the subsequent sale or usage occurs and (ii) satisfaction or partial satisfaction of the performance obligation to which some or all of the sales-based or usage-based royalty has been allocated to. Occasionally, the Company incurs costs to obtain a distribution contract and these costs are amortized over the period of the related distribution contract as a reduction of revenue.</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Subscription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6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Company's performance obligation in connection with its streaming services is a license of functional intellectual property that is satisfied as the Company provides its programming over the term of the agreement. Subscription fees for the Company's streaming services are typically based on a per subscriber fee and are generally paid by distributors and consumers on a monthly basis. The Company applies the sales-based or usage-based royalty guidance, and accordingly, recognizes revenue in the period of usage, based on the subscription fee earned during the period.</w:t>
      </w:r>
    </w:p>
    <w:p>
      <w:pPr>
        <w:spacing w:after="0" w:line="69"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Content licensing revenue: The Company licenses its original programming content to certain distributors, including under streaming and electronic sell-through ("EST") arrangements. For streaming licensing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at the later of the beginning of the license period, or when we provide the programming to the distributor.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 The Company adjusts the transaction price for the time value of money in cases where license fees are paid over several years. A contract asset is recognized for the difference between the revenue recognized and the amount we are permitted to invoice.</w:t>
      </w:r>
    </w:p>
    <w:p>
      <w:pPr>
        <w:spacing w:after="0" w:line="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EST license fee arrangements, the Company applies the sales-based or usage-based royalty guidance and recognizes revenue in the period of end-customer purchases, based on the fees earned during the period.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customer. Generally, payment terms mirror the term of the license agreement and may be in excess of one-year after satisfaction of the performance obligation.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Generally, payment terms are 30 days after revenue is earned.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earns revenue from production and transmission services. Such services are recognized as revenue as the services are performed.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guidance requires disclosure of the aggregate amount of transaction price that is allocated to performance obligations that have not yet been satisfied as of December 31, 2023.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other than contracts for which the Company has applied the practical expedients, the aggregate amount of transaction price allocated to remaining performance obligations was not material to our consolidated revenues.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contract assets and contract liabilities in the consolidated balance sheet.</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where the guaranteed viewer ratings are not met and content licensing arrangements, including payments received in connection with an AMC Studios produced series for a third party in 2022.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29"/>
        </w:trPr>
        <w:tc>
          <w:tcPr>
            <w:tcW w:w="7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1,003,505</w:t>
            </w:r>
          </w:p>
        </w:tc>
      </w:tr>
      <w:tr>
        <w:trPr>
          <w:trHeight w:val="229"/>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assets, short-term (included in Prepaid expenses and other current assets)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w:t>
            </w:r>
          </w:p>
        </w:tc>
      </w:tr>
      <w:tr>
        <w:trPr>
          <w:trHeight w:val="230"/>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134,883</w:t>
            </w:r>
          </w:p>
        </w:tc>
      </w:tr>
      <w:tr>
        <w:trPr>
          <w:trHeight w:val="229"/>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 long-term (Deferred revenue included in Other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December 31, 2023, 2022, and 2021, relating to the contract liabilities at the beginning of the respective periods was $111.4 million, $185.6 million, and $61.2 million, respectively.</w:t>
      </w:r>
    </w:p>
    <w:p>
      <w:pPr>
        <w:spacing w:after="0" w:line="5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In October 2023, the Company entered into an agreement enabling it to sell certain customer receivables to a financial institution on a recurring basis for cash. Any transferred receivables are fully guaranteed by a bankruptcy-remote entity and the financial institution that purchases the receivables has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December 31, 2023, the Company had not yet sold any customer receivables under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Impairment and Other Charges</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Impairment and other charges of $96.7 million for the year ended December 31, 2023 primarily consisted of $21.7 million of goodwill and $65.4 million of long-lived assets impairment charges for partially owned consolidated subsidiaries, 25/7 Media and BBCA.</w:t>
      </w:r>
    </w:p>
    <w:p>
      <w:pPr>
        <w:spacing w:after="0" w:line="54"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 June 2023, given the impact of market challenges at 25/7 Media, specifically relating to reduced demand for new content and series cancellations from third parties, the Company revised its outlook for the 25/7 Media business, resulting in lower expected future cash flows. As a result, the Company determined that sufficient indicators of potential impairment of long-lived assets and goodwill existed at 25/7 Media. The Company performed a recoverability test and determined that the carrying amount of the 25/7 Media asset group was not recoverable. The carrying value of the asset group exceeded its fair value, therefore an impairment charge of $24.9 million was recorded ($23.0 million for identifiable intangible assets and $1.9 million for goodwill), which is included in Impairment and other charges in the consolidated statement of income within the International and Other operating segment.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In December 2023, in connection with the preparation of our fourth quarter financial information, the Company performed its annual goodwill impairment test and concluded that the estimated fair value of the 25/7 Media reporting unit further declined from the interim assessment performed. The decrease in the estimated fair value reflected the continued decline in market conditions and business outlook and contemplation of concurrent negotiations with the noncontrolling interest holders for the sale of the Company's remaining interest. As a result, the Company recognized an impairment charge of $19.8 million, reflecting a write-down of substantially all of the goodwill associated with the 25/7 Media reporting unit. The remaining $2.4 million of goodwill was eliminated upon the sale of Company's remaining interest.</w:t>
      </w:r>
    </w:p>
    <w:p>
      <w:pPr>
        <w:spacing w:after="0" w:line="72"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the Company revised its outlook for its BBCA linear programming network, resulting in lower expected future cash flows. As a result, the Company determined that sufficient indicators of potential impairment of long-lived assets existed at BBCA. The Company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 which is included in Impairment and other charges in the consolidated statement of income within the Domestic Operations operating segment.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Impairment and other charges of $40.7 million for the year ended December 31, 2022 related to goodwill impairment charges at AMCNI.</w:t>
      </w:r>
    </w:p>
    <w:p>
      <w:pPr>
        <w:spacing w:after="0" w:line="10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In December 2022, in connection with the preparation of its fourth quarter financial information, the Company performed its annual goodwill impairment test and concluded that the estimated fair value of the AMCNI reporting unit declined to less than its carrying amount. The decrease in the estimated fair value was in response to current and expected trends across the international television broadcasting markets, as well as a decrease in the valuation multiples used to estimate the fair value using the market approach. As a result, the Company recognized an impairment charge of $40.7 million, reflecting a partial write-down of the goodwill associated with the AMCNI reporting unit.</w:t>
      </w:r>
    </w:p>
    <w:p>
      <w:pPr>
        <w:spacing w:after="0" w:line="6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Impairment and other charges of $159.6 million for the year ended December 31, 2021 related to a $143.0 million litigation settlement and the $16.6 million loss on disposal in connection with a divestiture.</w:t>
      </w:r>
    </w:p>
    <w:p>
      <w:pPr>
        <w:spacing w:after="0" w:line="54"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The consolidated cases were initially brought in 2013 and 2018 and the trial of the consolidated cases was scheduled to commence on April 4, 2022. The Settlement Agreement provided for a cash payment of $200 million (the “Settlement Payment”) to the Plaintiffs and future revenue sharing related to certain future streaming exhibition of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Fear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Walking Dead</w:t>
      </w:r>
      <w:r>
        <w:rPr>
          <w:rFonts w:ascii="Times New Roman" w:cs="Times New Roman" w:eastAsia="Times New Roman" w:hAnsi="Times New Roman"/>
          <w:sz w:val="18"/>
          <w:szCs w:val="18"/>
          <w:color w:val="auto"/>
        </w:rPr>
        <w:t>. With regard to the Settlement Payment, the Company recorded a charge of $143.0 million during the second quarter of 2021,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 and other charges, in consideration for the extinguishment of Plaintiffs’ rights to any compensation in connection with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any related programs and the dismissal of the actions with prejudice, which amount is net of $57.0 million of ordinary course accrued participations.</w:t>
      </w:r>
    </w:p>
    <w:p>
      <w:pPr>
        <w:spacing w:after="0" w:line="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$16.6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 and Other Related Charges</w:t>
      </w:r>
    </w:p>
    <w:p>
      <w:pPr>
        <w:spacing w:after="0" w:line="108" w:lineRule="exact"/>
        <w:rPr>
          <w:sz w:val="20"/>
          <w:szCs w:val="20"/>
          <w:color w:val="auto"/>
        </w:rPr>
      </w:pPr>
    </w:p>
    <w:p>
      <w:pPr>
        <w:jc w:val="both"/>
        <w:ind w:firstLine="445"/>
        <w:spacing w:after="0" w:line="237" w:lineRule="auto"/>
        <w:rPr>
          <w:sz w:val="20"/>
          <w:szCs w:val="20"/>
          <w:color w:val="auto"/>
        </w:rPr>
      </w:pPr>
      <w:r>
        <w:rPr>
          <w:rFonts w:ascii="Times New Roman" w:cs="Times New Roman" w:eastAsia="Times New Roman" w:hAnsi="Times New Roman"/>
          <w:sz w:val="18"/>
          <w:szCs w:val="18"/>
          <w:color w:val="auto"/>
        </w:rPr>
        <w:t>Restructuring and other related charges were $27.8 million and $449.0 million for the years ended December 31, 2023 and 2022, respectively, with the majority of such costs related to a restructuring plan (the "Plan") that commenced on November 28, 2022. The Plan was designed to achieve significant cost reductions in light of “cord cutting” and the related impacts being felt across the media industry as well as the broader economic outlook. The Plan encompassed initiatives that included, among other things, strategic programming assessments and organizational restructuring costs. The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will no longer be in active rotation on the Company’s linear or streaming platforms.</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as a result of the Plan, the Company recorded restructuring and other related charges of $449.0 million, consisting of content impairments of $403.8 million and severance and other personnel costs of $45.2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During the year ended December 31, 2023, the Company completed the Plan and recorded restructuring and other related charges of $27.8 million, consisting primarily of charges relating to severance and other personnel costs, and its third quarter exiting of a portion of office space at its corporate headquarters in New York and office space in Silver Spring, Maryland and Woodland Hills, California. In connection with exiting a portion of its New York office space, the Company recorded impairment charges of $11.6 million, consisting of $9.1 million for operating lease right-of use assets and $2.5 million for leasehold improvements. 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w:t>
      </w:r>
    </w:p>
    <w:p>
      <w:pPr>
        <w:spacing w:after="0" w:line="63"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Restructuring and other related charges were $10.4 million for the year ended December 31, 2021, including $6.1 million at AMCNI related to severance costs and the termination of distribution in certain international territories and $4.3 million of severance costs relating to a restructuring plan (the "2020 Plan") that commenced on November 18, 2020. The 2020 Plan was designed to streamline the Company’s operations through a reduction of its domestic workforce and improve the organizational design of the Company through the elimination of certain roles and centralization of certain functional areas of the Company.</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recognized by operating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1"/>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and 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 Inter-segment Eliminations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related charges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w:t>
            </w:r>
          </w:p>
        </w:tc>
      </w:tr>
      <w:tr>
        <w:trPr>
          <w:trHeight w:val="21"/>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5"/>
                <w:szCs w:val="15"/>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5"/>
                <w:szCs w:val="15"/>
                <w:color w:val="auto"/>
              </w:rPr>
            </w:pPr>
          </w:p>
        </w:tc>
        <w:tc>
          <w:tcPr>
            <w:tcW w:w="1420" w:type="dxa"/>
            <w:vAlign w:val="bottom"/>
            <w:vMerge w:val="restart"/>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(336,744)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74,724</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Accrued restructuring and other related costs of $12.1 million and $1.6 million are included in Accrued liabilities and Other liabilities, respectively, in the consolidated balance sheet at December 31, 2023. Accrued restructuring and other related costs of $108.0 million and $3.9 million are included in Accrued liabilities and Other liabilities, respectively, in the consolidated balance sheet at December 31, 2022.</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ind w:right="-1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Program Rights and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532,839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817,294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956,657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851,348</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1,810,533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1,802,653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1,810,533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322,248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339,184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876,928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888,353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896,818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1,773,746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1,762,939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1,773,746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Amortization, including write-offs, of owned and licensed program rights is as follows: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58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154,523</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282,954</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437,477</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465,519</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468,681</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 rights amortization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748,473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906,158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4"/>
            <w:vMerge w:val="continue"/>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Included in Technical and operating:</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37,935</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507,930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317,845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Included in Restructuring and other related charges: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0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expected amortization over each of the next three years of completed program rights on the consolidated balance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sheet as of December 31, 2023:</w:t>
            </w: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56,381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40,358</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r>
      <w:tr>
        <w:trPr>
          <w:trHeight w:val="230"/>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212,874</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177,484</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100,634</w:t>
            </w:r>
          </w:p>
        </w:tc>
      </w:tr>
      <w:tr>
        <w:trPr>
          <w:trHeight w:val="270"/>
        </w:trPr>
        <w:tc>
          <w:tcPr>
            <w:tcW w:w="46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Individually</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409,805</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225,101</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101,837</w:t>
            </w:r>
          </w:p>
        </w:tc>
      </w:tr>
    </w:tbl>
    <w:p>
      <w:pPr>
        <w:spacing w:after="0" w:line="184"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Program rights write-offs for programming that was substantively abandoned of $17.3 million were included in technical and operating expense for the year ended December 31, 2023. For the year ended December 31, 2022, there were $403.8 million of program write-offs recorded to restructuring and other related charges in connection with the Company’s strategic programming assessments. Refer to Note 5 to the consolidated financial statements for additional information. Program rights write-offs of $12.8 million were included in technical and operating expense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 Obligations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payable subsequent to December 31, 2023 related to program rights obligations included in the consolidated balance sheet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301,221</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98,536</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which are included in Other assets in the condensed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Equity method investments were $83.1 million and $79.6 million at December 31, 2023 and 2022, respectively.</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June 2021, the Company paid $23.8 million to acquire the remaining 50% interest in an equity method investment in which it previously owned a 50% interest and began consolidating that business from June 2021. In connection with the acquisition, the Company recorded a gain of $12.3 million, included in miscellaneous, net in the consolidated income statement related to the step-up to fair value of its previously held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consolidated statements of income.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investments in marketable equity securities at December 31, 2023 or December 31, 2022.</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April 2022, the Company sold its interest in a marketable equity security for $9.9 million, resulting in a $4.1 million gain recorded during the period.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January 2021, the Company sold the remaining portion of one of its marketable securities with a carrying value of $51.0 million as of December 31, 2020, resulting in a realized loss of $5.4 million included in miscellaneous, net in the consolidated statement of income.</w:t>
      </w:r>
    </w:p>
    <w:p>
      <w:pPr>
        <w:spacing w:after="0" w:line="40"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There were no realized or unrealized gains or losses on marketable equity securities for the year ended December 31, 2023. For the years ended December 31, 2022 and 2021, realized and unrealized gains (losses) on marketable equity securities were $4.1 million and $(11.1) million, respectively, included in miscellaneous, net in the consolidated statement of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Securities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Investments in non-marketable equity securities were $41.6 million at December 31, 2023 and $42.7 million at December 31, 2022. During the year ended December 31, 2023, the Company recognized impairment charges of $1.7 million on certain investments, which were included in miscellaneous, net in the consolidated statements of income.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(including equipment under finance leases)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314,234</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5 years</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8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149,996</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546,940</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(344,906)</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202,034</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on property and equipment (including equipment under finance leases) amounted to $66.9 million, $65.8 million and $54.8 million, for the years ended December 31, 2023, 2022 and 2021, respectively.</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exiting a portion of its New York office space, the Company recorded an impairment charge of $2.5 million for leasehold improvements. See Note 5 for further discussion of the impairment charges taken in connection with the Company's restructuring plan.</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gross amount of equipment and related accumulated amortization recorded under finance leases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r>
      <w:tr>
        <w:trPr>
          <w:trHeight w:val="23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40,051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7"/>
              </w:rPr>
              <w:t>(29,069)</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10,982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80" w:type="dxa"/>
            <w:vAlign w:val="bottom"/>
          </w:tcPr>
          <w:p>
            <w:pPr>
              <w:spacing w:after="0"/>
              <w:rPr>
                <w:sz w:val="16"/>
                <w:szCs w:val="16"/>
                <w:color w:val="auto"/>
              </w:rPr>
            </w:pPr>
          </w:p>
        </w:tc>
        <w:tc>
          <w:tcPr>
            <w:tcW w:w="128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709,344</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"second component" goodwill</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349,292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294,127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643,419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"second component" goodwill</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25/7 Media reporting unit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54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626,496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and 2022, accumulated impairment charges totaled $185.5 million and $163.8 million, respectively.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accounting adjustments of $2.8 million to the carrying amount of goodwill in Domestic Operations in 2022 relate to the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acquisition of Sentai Holdings, a global supplier of anime content, including its anime-focused HIDIVE subscription streaming service.</w:t>
      </w:r>
    </w:p>
    <w:p>
      <w:pPr>
        <w:spacing w:after="0" w:line="9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reduction of $0.6 million and $1.3 million in 2023 and 2022, respectively, in the carrying amount of goodwill for the Domestic Operations segment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 All remaining tax benefits were realized during the second quarter of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Goodwill</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determined that a triggering event had occurred with respect to the 25/7 Media reporting unit in the International and Other segment, which required an interim goodwill impairment test to be performed. Accordingly, the Company performed a quantitative assessment using an income approach, specifically a discounted cash flow model ("DCF"), and a market comparables approach. Based on the valuations performed, a $1.9 million goodwill impairment charge was recorded, which is included in impairment and other charges in the consolidated statement of income, within the International and Other operating segment.</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1, 2023 and 2022, the Company performed a quantitative assessment for all of its reporting units. The fair values were determined using a combination of an income approach, using a DCF, and a market comparables approach. The DCF model includes significant assumptions about revenue growth rates, long-term growth rates and enterprise specific discount rates. Additionally, the market comparables approach is determined using guideline company valuation multiples. Given the uncertainty in determining assumptions underlying the DCF approach, actual results may differ from those used in the valuations.</w:t>
      </w:r>
    </w:p>
    <w:p>
      <w:pPr>
        <w:spacing w:after="0" w:line="75"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For 2023, based on the valuations performed, the Company concluded that the estimated fair value of the 25/7 Media reporting unit further declined from the interim assessment performed. The decrease in the estimated fair value reflected the continued decline in market conditions and business outlook and contemplation of concurrent negotiations with the noncontrolling interest holders for the sale of the Company's remaining interest. As a result, the Company recognized an impairment charge of $19.8 million related to the 25/7 Media reporting unit, included in Impairment and other charges in the consolidated statement of income, within the International and Other operating segment. No impairment charges were required for any of the Company's other reporting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2022, based on the valuations performed, in response to current and expected trends across the international television broadcasting markets, as well as a decrease in the valuation multiples used to estimate the fair value using the market approach, the fair value of the Company's AMCNI reporting unit declined to less than its carrying amount. As a result, the Company recognized an impairment charge of $40.7 million related to the AMCNI reporting unit, included in Impairment and other charges in the consolidated statement of income. No impairment charges were required for any of the Company's other reporting units.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Changes to assumptions that would decrease the fair value of the reporting unit would result in corresponding increases to the impairment of goodwill at the reporting unit.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(421,968)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(507,536)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(373,240)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(450,844)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354,676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amortizable intangible assets for the years ended December 31, 2023, 2022 and 2021 was $40.5 million, $41.5 million and $39.1 million,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aggregate amortization expense for intangible assets subject to amortization for each of the following five years 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36,331</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32,666</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27,935</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Long-Lived Assets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the Company revised its outlook for its BBCA linear programming network, resulting in lower expected future cash flows. As a result, the Company determined that sufficient indicators of potential impairment of long-lived assets existed at BBCA. The Company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 which is included in Impairment and other charges in the consolidated statement of income within the Domestic Operations operating segment. Fair values used to determine the impairment charge were determined using an income approach, specifically a DCF model.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second quarter of 2023, given the impact of market challenges at 25/7 Media, specifically relating to reduced demand for new content and</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series cancellations from third parties, the Company revised its outlook for the 25/7 Media business, resulting in lower expected future cash flows. 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 of income within the International and Other operating segment. Fair values used to determine the impairment charge were determined using an income approach, specifically a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impairment charges for long-lived assets were required in 2022 or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Identifiable Indefinite-Lived Intangible Assets</w:t>
      </w:r>
    </w:p>
    <w:p>
      <w:pPr>
        <w:spacing w:after="0" w:line="108"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As of December 1, 2023, the Company performed a quantitative assessment for its indefinite-lived intangible assets. Based on the annual impairment test performed, no impairment charge was required. The Company's indefinite-lived intangible assets relate to SundanceTV trademarks, which were valued using a relief-from-royalty method in which the expected benefits are valued by discounting estimated royalty revenue relating to projected revenues covered by the trademarks.</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Significant judgments inherent in estimating the fair value of indefinite-lived intangible assets include the selection of appropriate discount and royalty rates, estimating the amount and timing of estimated future revenues and identification of appropriate continuing growth rate assumptions. The discount rates used in the analysis are intended to reflect the risk inherent in the projected future cash flows generated by the respective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385,838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Company's long-term debt consists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607,500</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5.00% Notes due April 2024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4.75% Notes due August 2025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774,729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4.25% Notes due February 2029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2,382,229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2,361,749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67,500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2,294,249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2,778,703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2023, the Company repaid a total of $33.7 million of the principal amount of the Term Loan A Facility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of the agreement. Additionally, in December 2023, the Company redeemed the remaining $400 million principal amount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Notes due April 2024 at 100% of the principal amount plus accrued interest to the date of redemption and repurchased $25.3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 Notes due August 2025 through open market repurchases.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21"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On February 8, 2021, AMC Networks entered into Amendment No. 1 (“Amendment No. 1”) to the Second Amended and Restated Credit Agreement, dated as of July 28, 2017 (as amended,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extended the maturity dates of the $675 million Term Loan A Facility and $500 million Revolving Facility (each as defined below) under the Credit Agreement to February 8, 2026, and made certain other amendments to the covenants and other provisions of the Credit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In April 2023, the Company entered into Amendment No. 2 ("Amendment No. 2") to the Credit Agreement. Amendment No. 2 (i) reduced the aggregate principal amount of the revolving loan commitments under the Credit Agreement from $500 million to $400 million, (ii) replaced the interest rate based on London Interbank Offered Rate with an interest rate based on the Secured Overnight Financing Rate ("SOFR"),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w:t>
      </w:r>
    </w:p>
    <w:p>
      <w:pPr>
        <w:spacing w:after="0" w:line="1" w:lineRule="exact"/>
        <w:rPr>
          <w:sz w:val="20"/>
          <w:szCs w:val="20"/>
          <w:color w:val="auto"/>
        </w:rPr>
      </w:pPr>
    </w:p>
    <w:p>
      <w:pPr>
        <w:jc w:val="both"/>
        <w:ind w:firstLine="8"/>
        <w:spacing w:after="0"/>
        <w:tabs>
          <w:tab w:leader="none" w:pos="3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other modifications to the Credit Agreement. In connection with the modification of the revolving loan commitments, the Company recorded $0.6 million to write-off a portion of the unamortized deferred financing costs, which is included in interest expense within the consolidated statements of income for the year ended December 31, 2023.</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Agreement provides the Initial Borrowers with senior secured credit facilities consisting of (a) a $675 million Term Loan A (the "Term Loan A Facility") and (b) a $400 million revolving credit facility (the "Revolving Facility" and, together with the Term Loan A Facility, the "Credit Facility").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SOFR rate plus an additional rate ranging from 1.25% to 2.25% per annum (determined based on a cash flow ratio) (the "SOFR Rate").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5.25:1 from January 1, 2021 through December 31, 2021 and decreasing to 5.00:1 on and after January 1, 2022, subject to increase (not to exceed 6.00:1) if AMC Networks consummates any leveraging acquisition; and (ii) a minimum ratio of annual operating cash flow to annual total interest expense (as defined in the Credit Agreement) of 2.50:1.</w:t>
      </w:r>
    </w:p>
    <w:p>
      <w:pPr>
        <w:spacing w:after="0" w:line="8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Revolving Facility was not drawn upon at December 31, 2023 or December 31, 2022. The total undrawn revolver commitment is available to be drawn for our general corporate purposes.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AMC Networks was in compliance with all of its financial covenants under the Credit Facility as of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Notes due 2029</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year ended December 31, 2021 of $22.1 million representing the redemption premium and the write-off of a portion of the unamortized discount and deferred financing costs.</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4.25% Notes due 2029 may be redeemed, at AMC Networks' option, in whole or in part, at any time on or after February 15, 2024, at a redemption price equal to 102.125% of the principal amount thereof (plus accrued and unpaid interest thereon, if any, to the date of such redemption), declining annually to 100% of the principal amount thereof (plus accrued and unpaid interest thereon, if any, to the date of such redemption) beginning on February 15,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4.75% Notes due 2025</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28, 2017, AMC Networks issued, and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7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 In December 2023, the Company repurchased $25.3 million of its outstanding 4.75% Notes due 2025 through open market repurchases, at a discount, and retired the repurchased notes.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Notes due 2024</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30, 2016, the Company issued and the Guarantors guaranteed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February 26, 2021, the Company redeemed $600 million principal amount of its 5.00% Notes due 2024 and in December 2023, the Company redeemed the remaining $400 million principal amount of its 5.00% Notes due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60" w:type="dxa"/>
            <w:vAlign w:val="bottom"/>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AMC NETWORKS INC. AND SUBSIDIARIES</w:t>
            </w:r>
          </w:p>
        </w:tc>
        <w:tc>
          <w:tcPr>
            <w:tcW w:w="1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tc>
        <w:tc>
          <w:tcPr>
            <w:tcW w:w="1200" w:type="dxa"/>
            <w:vAlign w:val="bottom"/>
          </w:tcPr>
          <w:p>
            <w:pPr>
              <w:spacing w:after="0"/>
              <w:rPr>
                <w:sz w:val="20"/>
                <w:szCs w:val="20"/>
                <w:color w:val="auto"/>
              </w:rPr>
            </w:pPr>
          </w:p>
        </w:tc>
      </w:tr>
      <w:tr>
        <w:trPr>
          <w:trHeight w:val="945"/>
        </w:trPr>
        <w:tc>
          <w:tcPr>
            <w:tcW w:w="20" w:type="dxa"/>
            <w:vAlign w:val="bottom"/>
          </w:tcPr>
          <w:p>
            <w:pPr>
              <w:spacing w:after="0"/>
              <w:rPr>
                <w:sz w:val="24"/>
                <w:szCs w:val="24"/>
                <w:color w:val="auto"/>
              </w:rPr>
            </w:pPr>
          </w:p>
        </w:tc>
        <w:tc>
          <w:tcPr>
            <w:tcW w:w="27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tc>
        <w:tc>
          <w:tcPr>
            <w:tcW w:w="6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0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amounts payable by the Company under its various debt obligations outstanding as of December 31, 2023 are as follows:</w:t>
            </w:r>
          </w:p>
        </w:tc>
        <w:tc>
          <w:tcPr>
            <w:tcW w:w="12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6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842,229</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9"/>
                <w:szCs w:val="19"/>
                <w:color w:val="auto"/>
              </w:rPr>
            </w:pPr>
          </w:p>
        </w:tc>
        <w:tc>
          <w:tcPr>
            <w:tcW w:w="6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CEEFF"/>
          </w:tcPr>
          <w:p>
            <w:pPr>
              <w:spacing w:after="0"/>
              <w:rPr>
                <w:sz w:val="19"/>
                <w:szCs w:val="19"/>
                <w:color w:val="auto"/>
              </w:rPr>
            </w:pPr>
          </w:p>
        </w:tc>
        <w:tc>
          <w:tcPr>
            <w:tcW w:w="6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7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III—Instruments whose significant value drivers are unobservable.</w:t>
      </w:r>
    </w:p>
    <w:p>
      <w:pPr>
        <w:spacing w:after="0" w:line="11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December 31, 2023 and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10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57"/>
        </w:trPr>
        <w:tc>
          <w:tcPr>
            <w:tcW w:w="5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4"/>
        </w:trPr>
        <w:tc>
          <w:tcPr>
            <w:tcW w:w="5100" w:type="dxa"/>
            <w:vAlign w:val="bottom"/>
            <w:tcBorders>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3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r>
    </w:tbl>
    <w:p>
      <w:pPr>
        <w:spacing w:after="0" w:line="200" w:lineRule="exact"/>
        <w:rPr>
          <w:sz w:val="20"/>
          <w:szCs w:val="20"/>
          <w:color w:val="auto"/>
        </w:rPr>
      </w:pPr>
    </w:p>
    <w:p>
      <w:pPr>
        <w:spacing w:after="0" w:line="3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and their fair values are determined based on a market approach valuation technique that uses readily observable market parameters and the consideration of counterparty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At December 31, 2023 or 2022, the Company does not have any material assets or liabilities measured at fair value on a recurring basis that would be considered Level III.</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consolidated balance sheets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6"/>
                <w:szCs w:val="16"/>
                <w:color w:val="auto"/>
              </w:rPr>
            </w:pPr>
          </w:p>
        </w:tc>
      </w:tr>
      <w:tr>
        <w:trPr>
          <w:trHeight w:val="21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r>
      <w:tr>
        <w:trPr>
          <w:trHeight w:val="211"/>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577,884</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4.75% Notes due August 2025</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745,677</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4.25% Notes due February 2029</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780,670</w:t>
            </w:r>
          </w:p>
        </w:tc>
        <w:tc>
          <w:tcPr>
            <w:tcW w:w="20" w:type="dxa"/>
            <w:vAlign w:val="bottom"/>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2,104,231</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8"/>
        </w:trPr>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6"/>
                <w:szCs w:val="16"/>
                <w:color w:val="auto"/>
              </w:rPr>
            </w:pPr>
          </w:p>
        </w:tc>
      </w:tr>
      <w:tr>
        <w:trPr>
          <w:trHeight w:val="214"/>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8"/>
                <w:szCs w:val="18"/>
                <w:color w:val="auto"/>
              </w:rPr>
            </w:pPr>
          </w:p>
        </w:tc>
      </w:tr>
      <w:tr>
        <w:trPr>
          <w:trHeight w:val="211"/>
        </w:trPr>
        <w:tc>
          <w:tcPr>
            <w:tcW w:w="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Notes due April 2024</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375,348</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4.75% Notes due August 2025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4.25% Notes due February 2029</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2,218,766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embedded foreign currency derivative element. Hedge accounting is not applied to the embedded foreign currency derivative element and changes in their fair values are included in miscellaneous, net in the consolidated statement of income.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consolidated balance sheets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20"/>
                <w:szCs w:val="20"/>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4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program rights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amount of gains and losses related to the Company's derivative financial instruments not designated as hedging instruments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360" w:type="dxa"/>
            <w:vAlign w:val="bottom"/>
          </w:tcPr>
          <w:p>
            <w:pPr>
              <w:spacing w:after="0"/>
              <w:rPr>
                <w:sz w:val="16"/>
                <w:szCs w:val="16"/>
                <w:color w:val="auto"/>
              </w:rPr>
            </w:pPr>
          </w:p>
        </w:tc>
        <w:tc>
          <w:tcPr>
            <w:tcW w:w="4520" w:type="dxa"/>
            <w:vAlign w:val="bottom"/>
            <w:gridSpan w:val="8"/>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Amount of Gain (Loss) Recognized in Earnings</w:t>
            </w:r>
          </w:p>
        </w:tc>
      </w:tr>
      <w:tr>
        <w:trPr>
          <w:trHeight w:val="214"/>
        </w:trPr>
        <w:tc>
          <w:tcPr>
            <w:tcW w:w="366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366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top w:val="single" w:sz="8" w:color="auto"/>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Miscellaneous,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lease office space and equipment under long-term non-cancelable lease agreements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consolidated balance sheets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108,229</w:t>
            </w: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w:t>
            </w:r>
          </w:p>
        </w:tc>
      </w:tr>
      <w:tr>
        <w:trPr>
          <w:trHeight w:val="210"/>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105,768</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19,031</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124,799</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consolidated statement of income: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6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costs</w:t>
            </w:r>
          </w:p>
        </w:tc>
        <w:tc>
          <w:tcPr>
            <w:tcW w:w="4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for operating and finance leases as of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35,277</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weighted average remaining lease term and discount rate for operating and finance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supplemental cash paid for amounts in the measurement of lease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(52,458)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292,364</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rPr>
              <w:t>22,506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81,868</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(29,952)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374,232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expense (benefit) attributable to continuing operations consists of the following components: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19,751</w:t>
            </w:r>
          </w:p>
        </w:tc>
      </w:tr>
      <w:tr>
        <w:trPr>
          <w:trHeight w:val="230"/>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r>
      <w:tr>
        <w:trPr>
          <w:trHeight w:val="229"/>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25,990</w:t>
            </w:r>
          </w:p>
        </w:tc>
      </w:tr>
      <w:tr>
        <w:trPr>
          <w:trHeight w:val="223"/>
        </w:trPr>
        <w:tc>
          <w:tcPr>
            <w:tcW w:w="6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56,101</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24,923</w:t>
            </w:r>
          </w:p>
        </w:tc>
      </w:tr>
      <w:tr>
        <w:trPr>
          <w:trHeight w:val="230"/>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29"/>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r>
      <w:tr>
        <w:trPr>
          <w:trHeight w:val="223"/>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34,010</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(benefit) relating to uncertain tax positions, including accrued interest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94,393</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326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r>
      <w:tr>
        <w:trPr>
          <w:trHeight w:val="236"/>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benefit (a)</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operations (b)</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compensation expenses (c)</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deficiencies related to share-based compensation</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the valuation allowance (d)</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176"/>
        </w:trPr>
        <w:tc>
          <w:tcPr>
            <w:tcW w:w="69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Tax expense relating to uncertain tax positions, including accrued interest, net of deferred</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benefits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Deferral of investment tax credit benefit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Deemed liquidation - controlled foreign corporation (a)</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490"/>
        <w:spacing w:after="0" w:line="329" w:lineRule="auto"/>
        <w:tabs>
          <w:tab w:leader="none" w:pos="6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the deemed liquidation – controlled foreign corporation is a result of a capital loss sustained related to a change in the entity classification of a wholly owned controlled foreign corporation. This also impacts state and local income taxes.</w:t>
      </w:r>
    </w:p>
    <w:p>
      <w:pPr>
        <w:spacing w:after="0" w:line="67" w:lineRule="exact"/>
        <w:rPr>
          <w:rFonts w:ascii="Times New Roman" w:cs="Times New Roman" w:eastAsia="Times New Roman" w:hAnsi="Times New Roman"/>
          <w:sz w:val="18"/>
          <w:szCs w:val="18"/>
          <w:color w:val="auto"/>
        </w:rPr>
      </w:pPr>
    </w:p>
    <w:p>
      <w:pPr>
        <w:ind w:left="660" w:hanging="490"/>
        <w:spacing w:after="0" w:line="282" w:lineRule="auto"/>
        <w:tabs>
          <w:tab w:leader="none" w:pos="5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ended December 31, 2023, 2022 and 2021, the effect of foreign operations relates to the income tax benefit or expense as a result of certain entities operating in foreign jurisdictions.</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5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 ended December 31, 2022, the increase in nondeductible compensation expense is primarily due to contractual severance as a result of employee separations.</w:t>
      </w:r>
    </w:p>
    <w:p>
      <w:pPr>
        <w:spacing w:after="0" w:line="94" w:lineRule="exact"/>
        <w:rPr>
          <w:rFonts w:ascii="Times New Roman" w:cs="Times New Roman" w:eastAsia="Times New Roman" w:hAnsi="Times New Roman"/>
          <w:sz w:val="18"/>
          <w:szCs w:val="18"/>
          <w:color w:val="auto"/>
        </w:rPr>
      </w:pPr>
    </w:p>
    <w:p>
      <w:pPr>
        <w:jc w:val="center"/>
        <w:ind w:left="660" w:right="300" w:hanging="490"/>
        <w:spacing w:after="0" w:line="290" w:lineRule="auto"/>
        <w:tabs>
          <w:tab w:leader="none" w:pos="56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year ended December 31, 2023, the increase in valuation allowance relates primarily to the generation of excess foreign tax credits. In the year ended December 31, 2022, the increase in valuation allowance relates primarily to the generation of excess capital losses and foreign tax</w:t>
      </w: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credits. In the year ended December 31, 2021, the increase in valuation allowance relates primarily to the generation of excess foreign tax credits and a reduction in the expected utilization of interest expense carryforwards as a result of a tax assessment.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deferred tax assets or liabilities at December 31, 2023 and 2022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Deferred Tax Asset (Liability)</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NOLs and tax credit carry-forwards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101,793</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 plans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35,678</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Unused capital losses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60,226</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21,618</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275,392</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(132,164)</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143,228</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(89,671)</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(128,434)</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(234,748)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At December 31, 2023, the Company had investment tax credit carry-forwards of approximately $80.0 million, expiring on various dates from 2032 through 2038 and foreign tax credit carryforwards of approximately $46.2 million, expiring on various dates from 2024 through 2033. The investment tax credits have been reduced by a valuation allowance of approximately $19.2 million and the foreign tax credit carryforwards have been reduced by a valuation allowance of $46.2 million as it is more likely than not that these carry forwards will not be realized. The Company had net operating loss carry forwards of approximately $328.7 million, related primarily to federal and state net operating losses acquired as a result of the purchase of the outstanding shares of RLJ Entertainment and Sentai Holdings of approximately $75.8 million and $3.8 million, respectively, as well as net operating loss carryforwards of our foreign subsidiaries. The deferred tax asset related to the federal and state net operating loss carryforward of approximately $20.0 million has expiration dates ranging from 2024 through 2043 (some are indefinite) and has been reduced by a valuation allowance of approximately $10.4 million, including $7.7 million that was recorded through goodwill as part of purchase accounting. Although the foreign net operating loss carry-forward periods range from 5 years to unlimited, the related deferred tax assets of approximately $34.8 million for these carry-forwards have been reduced by a valuation allowance of approximately $34.7 million as it is more likely than not that these carry-forwards will not be realized. The deferred tax asset related to unused capital losses and other related losses has been reduced by a valuation allowance of approximately $25.2 million as it is more likely than not that these losses will not be realized. The remainder of the valuation allowance at December 31, 2023 relates primarily to deferred tax assets attributable to temporary differences of certain foreign subsidiaries for which it is more likely than not that these deferred tax assets will not be realized.</w:t>
      </w:r>
    </w:p>
    <w:p>
      <w:pPr>
        <w:spacing w:after="0" w:line="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$0.4 million relating to amortization of tax deductible second component goodwill was realized as a reduction in tax liability (as determined on a 'with-and-without' approach).</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December 31, 2023, the liability for uncertain tax positions was $5.7 million, excluding accrued interest of $1.8 million and deferred tax assets of $1.6 million. All of such unrecognized tax benefits, if recognized, would reduce the Company's income tax expense and effective tax rate.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to ending amount of the liability for uncertain tax positions (excluding related accrued interest and deferred tax benefit)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9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29"/>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Decreases due to settlements/payments</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9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benefit (net of the related deferred tax) of $0.2 million was recognized during the year ended December 31, 2023 and is included in income tax expense in the consolidated statement of income. At December 31, 2023 and 2022, the liability for uncertain tax positions and accrued interest are included in accrued liabilities and other liabilities in the consolidated balance sheets.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2023, approximately $244.9 million of cash and cash equivalents, previously held by foreign subsidiaries, was repatriated to the United States. Our consolidated cash and cash equivalents balance of $570.6 million as of December 31, 2023 includes approximately $141.9 million held by foreign subsidiaries. Of this amount, approximately $20.0 million is expected to be repatriated to the United States with the remaining amount continuing to be reinvested in foreign operations. Tax expense related to the repatriated amount, as well as the expected remaining amount to be repatriated, has been accrued in the current period and the Company does not expect to incur any significant, additional taxes related to the remaining balance.</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currently being audited by the State and City of New York and various other states or jurisdictions, with most of the periods under examination relating to tax years 2015 and forward.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6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2 - 3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Purchase obligations consist primarily of program rights obligations, and transmission and marketing commitments.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and a final decision is not expected until later in 2024. While the ultimate outcome of this litigation is uncertain, we expect that the ultimate outcome is unlikely to have a material impact on the Company’s financial condition or results of operations.</w:t>
      </w:r>
    </w:p>
    <w:p>
      <w:pPr>
        <w:spacing w:after="0" w:line="8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(the “MFN Litigation”).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The motion has been fully briefed and awaiting decision. The court has scheduled a trial date of September 17, 2024.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7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actions and claims arising from alleged violations of the federal Video Privacy Protection Act (the “VPPA”) and analogous state laws. In addition to certain putative class actions currently pending, the Company is facing a series of arbitration claims managed by multiple plaintiffs’ law firms. The class action complaints and the arbitration claims all allege that the Company’s use of a Meta Platforms, Inc. pixel on the websites for certain of its subscription video services, including AMC+ and Shudder, violated the privacy protection provisions of the VPPA and its state law analogues. On October 27, 2023, the Company reached a settlement with multiple plaintiffs relating to their pending class actions alleging violations of the VPPA and analogous state laws. On January 10, 2024, the class action settlement was preliminarily approved by the United States District Court for the Southern District of New York. The Company has also reached settlements, or settlements in principle, to resolve the arbitration claims. All of the settlements reached by the Company in connection with these matters are expected to be reimbursed by the Company’s insurance carriers.</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Redeemable Noncontrolling Interests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2018 acquisition of RLJ Entertainment, the terms of the operating agreement provide the noncontrolling member with a right to put all of its noncontrolling interest to a subsidiary of the Company following the seventh anniversary of the agreement, or earlier upon a change of control. The put option is exercisable at the greater of the then fair market value or enterprise value of RLJ Entertainment, (but not lower than the fair value of the initial equity interest at the closing date of the agreement), in each case pursuant to the operating agreement and applied to the equity interest.</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2014, the Company, through a wholly-owned subsidiary, acquired 49.9% of the limited liability company interests of New Video Channel America L.L.C, that owns the cable channel BBC AMERICA. In connection with the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activity reflected within redeemable noncontrolling interests for the years ended December 31, 2023, 2022 and 2021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Redeemable Noncontrolling</w:t>
            </w:r>
          </w:p>
        </w:tc>
      </w:tr>
      <w:tr>
        <w:trPr>
          <w:trHeight w:val="214"/>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315,649</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related to spin-off transaction</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Transfer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283,849</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253,669</w:t>
            </w:r>
          </w:p>
        </w:tc>
      </w:tr>
      <w:tr>
        <w:trPr>
          <w:trHeight w:val="229"/>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9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(66,593)</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spin-off of the live comedy venue and talent management businesses of Levity Entertainment Group, LLC in 2021 (see Note 4), $8.2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consolidated balance sheet.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Equity and Long-Term Incentive Plans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June 11, 2020,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12,000,000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Awards issued to employees under the 2016 Employee Stock Plan will settle in shares of the Company's Class A Common Stock (either from treasury or with newly issued shares), or, at the option of the Compensation Committee, in cash. As of December 31, 2023, there are 6,659,834 share awards available for future grant under the 2016 Employee Stock Plan.</w:t>
      </w:r>
    </w:p>
    <w:p>
      <w:pPr>
        <w:spacing w:after="0" w:line="6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On June 11, 2020, the Company adopted the Amended and Restated 2011 Stock Plan for Non-Employee Directors (the "2011 Non-Employee Director Plan"). Under the 2011 Non-Employee Director Plan, the Company is authorized to grant non-qualified stock options, restricted stock units, restricted shares, stock appreciation rights and other equity-based awards. The Company may grant awards for up to 665,000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2023, there are 56,191 shares available for future grant under the 2011 Non-Employee Director Plan.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relating to Company employees who held AMC Networks restricted stock units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4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4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24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240" w:type="dxa"/>
            <w:vAlign w:val="bottom"/>
          </w:tcPr>
          <w:p>
            <w:pPr>
              <w:spacing w:after="0"/>
              <w:rPr>
                <w:sz w:val="18"/>
                <w:szCs w:val="18"/>
                <w:color w:val="auto"/>
              </w:rPr>
            </w:pPr>
          </w:p>
        </w:tc>
        <w:tc>
          <w:tcPr>
            <w:tcW w:w="16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2021</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1,189,665</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626,284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920,372</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(857,044)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(221,269)</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1,031,724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2,168,067</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(518,878)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(267,866)</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2,413,047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restricted stock units granted during the periods presented vest ratably over a three year period.</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target number of Performance Restricted Stock Units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activity relating to Non-employee Directors who held AMC Networks restricted stock units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40" w:type="dxa"/>
            <w:vAlign w:val="bottom"/>
          </w:tcPr>
          <w:p>
            <w:pPr>
              <w:spacing w:after="0"/>
              <w:rPr>
                <w:sz w:val="16"/>
                <w:szCs w:val="16"/>
                <w:color w:val="auto"/>
              </w:rPr>
            </w:pPr>
          </w:p>
        </w:tc>
        <w:tc>
          <w:tcPr>
            <w:tcW w:w="16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24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2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share-based compensation expenses of $25.9 million (including $0.2 million recorded as part of Restructuring and other related charges), $37.7 million (including $7.7 million recorded as part of Restructuring and other related charges) and $47.9 million, reduced for forfeitures, for the years ended December 31, 2023, 2022 and 2021, respectively. Forfeitures are estimated based on historical experience. To the extent actual results of forfeitures differ from those estimates, such amounts are recorded as an adjustment in the period the estimates are revised.</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are recognized in the consolidated statements of income as part of selling, general and administrative expenses. As of December 31, 2023, there was $30.3 million of total unrecognized share-based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costs related to Company employees who held unvested AMC Networks restricted stock units. The unrecognized compensation cost is expected to be recognized over a weighted-average remaining period of approximately 2.1 years. There were no costs related to share-based compensation that were capitalized.</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receives income tax deductions related to restricted stock units, stock options or other equity awards granted to its employees by the Company.</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deficiencies/(benefits) of $2.6 million, $1.4 million and $(4.6) million were recorded for the years ended December 31, 2023, 2022 and 2021, respectively.</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During 2023, 2022 and 2021, the Company granted long-term incentive cash awards.</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Long-term incentive compensation plan expense is recognized in the consolidated statements of income as part of selling, general and administrative expenses. The Company recorded long-term incentive compensation expense of $11.5 million, $8.0 million and $22.5 million for the years ended December 31, 2023, 2022 and 2021,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Benefit Plans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7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Total expense related to all benefit plans was $6.7 million, $4.3 million and $11.9 million for the years ended December 31, 2023, 2022 and 2021, respectively. The Company does not provide postretirement benefits for any of its employees.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Related Party Transactions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4% of the Company's outstanding Class A Common Stock. Such shares of the Company's Class A Common Stock and Class B Common Stock, collectively, represent approximately 79% of the aggregate voting power of the Company's outstanding common stock. Members of the Dolan Family are also the controlling stockholders of Sphere Entertainment Co. ("Sphere Entertainment"), Madison Square Garden Sports Corp. ("MSGS") and Madison Square Garden Entertainment Corp. ("MSGE"). The Company provides services to and receives services from Sphere Entertainment, MSGS and MSGE.</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605, LLC. James L. Dolan, the Non-Executive Chairman and a director of the Company, and his spouse, Kristin A. Dolan, the Chief Executive Officer of the Company and founder of 605, LLC, previously owned 100% of 605, LLC. Kristin A. Dolan also served as the Non-Executive Chairman of 605, LLC from February 2023 until September 2023,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 On September 13, 2023, 605,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was sold to iSpot.tv, and James L. Dolan and Kristin A. Dolan now hold a minority interest in iSpot.tv. As a result, from and after September 13, 2023, 605, LLC is no longer considered to be a related party.</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August 1, 2022, the Audit Committee authorized the Company to enter into a Statement of Work for Strategic Analytic Services (the “Statement of Work”) with 605, LLC under the Master Services Agreement. Under the Statement of Work, 605, LLC was engaged in a strategic, research, market, business and financial assessment of the Company and its business, partnering with the Company’s management team. The term of the Statement of Work ran from August 1, 2022 to June 30, 2023. The fees paid to 605, LLC by the Company for these services were $10.5 million.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 net</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and its related parties routinely enter into transactions with each other in the ordinary course of business. Revenues, net from related parties amounted to $5.2 million, $5.1 million and $5.0 million for the years ended December 31, 2023, 2022 and 2021, respectively.</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Amounts charged to the Company, included in selling, general and administrative expenses, pursuant to a transition services agreement and for other transactions with its related parties amounted to $7.9 million, $8.0 million and $2.2 million for the years ended December 31, 2023, 2022 and 2021,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has an arrangement with the Dolan Family Office, LLC ("DFO") for the sharing of certain expenses associated with executive office space which are available to Charles F. Dolan (the Chairman Emeritus and a director of the Company and a director of Sphere Entertainment, MSGS and MSGE), James L. Dolan (the Company's Chairman, a director of the Company and a director of Sphere Entertainment, MSGS and MSGE), and the DFO which is controlled by Charles F. Dolan. The Company's share of initial set-up costs and office expenses was not material.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114,528</w:t>
            </w:r>
          </w:p>
        </w:tc>
      </w:tr>
      <w:tr>
        <w:trPr>
          <w:trHeight w:val="234"/>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paid, net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59,850</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Accumulated Other Comprehensive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components of accumulated other comprehensive loss:</w:t>
      </w:r>
    </w:p>
    <w:p>
      <w:pPr>
        <w:spacing w:after="0" w:line="20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21590</wp:posOffset>
            </wp:positionV>
            <wp:extent cx="1954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current-period currency translation adjustment,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currency translation adjustment, net of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Information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3"/>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F-43</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1,618,541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606,154</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2,224,695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871,850</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2,675,142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738,402</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44,272</w:t>
            </w:r>
          </w:p>
        </w:tc>
        <w:tc>
          <w:tcPr>
            <w:tcW w:w="0" w:type="dxa"/>
            <w:vAlign w:val="bottom"/>
          </w:tcPr>
          <w:p>
            <w:pPr>
              <w:spacing w:after="0"/>
              <w:rPr>
                <w:sz w:val="1"/>
                <w:szCs w:val="1"/>
                <w:color w:val="auto"/>
              </w:rPr>
            </w:pPr>
          </w:p>
        </w:tc>
      </w:tr>
      <w:tr>
        <w:trPr>
          <w:trHeight w:val="483"/>
        </w:trPr>
        <w:tc>
          <w:tcPr>
            <w:tcW w:w="4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 / Inter-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13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1,568,576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558,378</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2,126,954</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950,654</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511,317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3,077,608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489,922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93,881</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816,070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approximately $565.6 million, $501.9 million and $370.8 million for the years ended December 31, 2023, 2022 and 2021 respectively.</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Corporate overhead costs not allocated to the segments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Inter-segment eliminations are primarily licensing revenues recognized between the Domestic Operations and International and Other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3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23"/>
        </w:trPr>
        <w:tc>
          <w:tcPr>
            <w:tcW w:w="63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13% and 10% of consolidated revenues, net for the years ended December 31, 2023 and 2022, respectively. For the year ended December 31, 2021, no customer accounted for more than 10% of consolidated revenues, net.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revenue based on customer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1"/>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2,210,253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2,462,210</w:t>
            </w:r>
          </w:p>
        </w:tc>
        <w:tc>
          <w:tcPr>
            <w:tcW w:w="40" w:type="dxa"/>
            <w:vAlign w:val="bottom"/>
          </w:tcPr>
          <w:p>
            <w:pPr>
              <w:spacing w:after="0"/>
              <w:rPr>
                <w:sz w:val="19"/>
                <w:szCs w:val="19"/>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432,682</w:t>
            </w:r>
          </w:p>
        </w:tc>
        <w:tc>
          <w:tcPr>
            <w:tcW w:w="40" w:type="dxa"/>
            <w:vAlign w:val="bottom"/>
            <w:shd w:val="clear" w:color="auto" w:fill="CCEEFF"/>
          </w:tcPr>
          <w:p>
            <w:pPr>
              <w:spacing w:after="0"/>
              <w:rPr>
                <w:sz w:val="19"/>
                <w:szCs w:val="19"/>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182,716</w:t>
            </w:r>
          </w:p>
        </w:tc>
        <w:tc>
          <w:tcPr>
            <w:tcW w:w="40" w:type="dxa"/>
            <w:vAlign w:val="bottom"/>
            <w:tcBorders>
              <w:bottom w:val="single" w:sz="8" w:color="auto"/>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3,096,545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3,077,608</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6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7"/>
          </w:tcPr>
          <w:p>
            <w:pPr>
              <w:ind w:left="5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146,314</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187,833</w:t>
            </w:r>
          </w:p>
        </w:tc>
        <w:tc>
          <w:tcPr>
            <w:tcW w:w="40" w:type="dxa"/>
            <w:vAlign w:val="bottom"/>
          </w:tcPr>
          <w:p>
            <w:pPr>
              <w:spacing w:after="0"/>
              <w:rPr>
                <w:sz w:val="19"/>
                <w:szCs w:val="19"/>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40" w:type="dxa"/>
            <w:vAlign w:val="bottom"/>
          </w:tcPr>
          <w:p>
            <w:pPr>
              <w:spacing w:after="0"/>
              <w:rPr>
                <w:sz w:val="19"/>
                <w:szCs w:val="19"/>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40" w:type="dxa"/>
            <w:vAlign w:val="bottom"/>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159,237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202,034</w:t>
            </w:r>
          </w:p>
        </w:tc>
        <w:tc>
          <w:tcPr>
            <w:tcW w:w="40" w:type="dxa"/>
            <w:vAlign w:val="bottom"/>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780"/>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170"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404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 Owned</w:t>
            </w:r>
          </w:p>
        </w:tc>
      </w:tr>
      <w:tr>
        <w:trPr>
          <w:trHeight w:val="23"/>
        </w:trPr>
        <w:tc>
          <w:tcPr>
            <w:tcW w:w="4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 Entertainment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49.9%</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5"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Exhibit 22</w:t>
            </w:r>
          </w:p>
        </w:tc>
      </w:tr>
      <w:tr>
        <w:trPr>
          <w:trHeight w:val="810"/>
        </w:trPr>
        <w:tc>
          <w:tcPr>
            <w:tcW w:w="922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Premiere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Anthem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Brockmire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Comic Scribe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Dispatches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 Families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IFC TV Studios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Infinite Frontiers,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Kindred Spirit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Kopus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Lodge Productions 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Premier Quills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Rectify Productions 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Rectify Productions IV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 Productions 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Sxion 23,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Unio Mystica Holding,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Louisiana</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 TV Holdings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416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416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116" w:name="page117"/>
    <w:bookmarkEnd w:id="116"/>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333-214083 and No. 333-250143) on Form S-8 of our reports dated February 9, 2024, with respect to the consolidated financial statements of AMC Networks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2024</w:t>
      </w:r>
    </w:p>
    <w:p>
      <w:pPr>
        <w:sectPr>
          <w:pgSz w:w="11900" w:h="16838" w:orient="portrait"/>
          <w:cols w:equalWidth="0" w:num="1">
            <w:col w:w="10740"/>
          </w:cols>
          <w:pgMar w:left="320" w:top="1400" w:right="8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62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62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4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180"/>
        </w:trPr>
        <w:tc>
          <w:tcPr>
            <w:tcW w:w="4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4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Annual Report on Form 10-K for the period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9, 2024</w:t>
            </w:r>
          </w:p>
        </w:tc>
        <w:tc>
          <w:tcPr>
            <w:tcW w:w="30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9, 2024</w:t>
            </w:r>
          </w:p>
        </w:tc>
        <w:tc>
          <w:tcPr>
            <w:tcW w:w="30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20" w:type="dxa"/>
            <w:vAlign w:val="bottom"/>
          </w:tcPr>
          <w:p>
            <w:pPr>
              <w:spacing w:after="0"/>
              <w:rPr>
                <w:sz w:val="18"/>
                <w:szCs w:val="18"/>
                <w:color w:val="auto"/>
              </w:rPr>
            </w:pPr>
          </w:p>
        </w:tc>
      </w:tr>
      <w:tr>
        <w:trPr>
          <w:trHeight w:val="180"/>
        </w:trPr>
        <w:tc>
          <w:tcPr>
            <w:tcW w:w="5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0" w:type="dxa"/>
            <w:vAlign w:val="bottom"/>
          </w:tcPr>
          <w:p>
            <w:pPr>
              <w:spacing w:after="0"/>
              <w:rPr>
                <w:sz w:val="15"/>
                <w:szCs w:val="15"/>
                <w:color w:val="auto"/>
              </w:rPr>
            </w:pPr>
          </w:p>
        </w:tc>
      </w:tr>
      <w:tr>
        <w:trPr>
          <w:trHeight w:val="234"/>
        </w:trPr>
        <w:tc>
          <w:tcPr>
            <w:tcW w:w="5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FINAL</w:t>
      </w:r>
    </w:p>
    <w:p>
      <w:pPr>
        <w:spacing w:after="0" w:line="172" w:lineRule="exact"/>
        <w:rPr>
          <w:sz w:val="20"/>
          <w:szCs w:val="20"/>
          <w:color w:val="auto"/>
        </w:rPr>
      </w:pPr>
    </w:p>
    <w:p>
      <w:pPr>
        <w:ind w:left="4660"/>
        <w:spacing w:after="0"/>
        <w:rPr>
          <w:sz w:val="20"/>
          <w:szCs w:val="20"/>
          <w:color w:val="auto"/>
        </w:rPr>
      </w:pPr>
      <w:r>
        <w:rPr>
          <w:rFonts w:ascii="Verdana" w:cs="Verdana" w:eastAsia="Verdana" w:hAnsi="Verdana"/>
          <w:sz w:val="18"/>
          <w:szCs w:val="18"/>
          <w:b w:val="1"/>
          <w:bCs w:val="1"/>
          <w:color w:val="auto"/>
        </w:rPr>
        <w:t>AMC Networks Inc.</w:t>
      </w:r>
    </w:p>
    <w:p>
      <w:pPr>
        <w:ind w:left="4640"/>
        <w:spacing w:after="0"/>
        <w:rPr>
          <w:sz w:val="20"/>
          <w:szCs w:val="20"/>
          <w:color w:val="auto"/>
        </w:rPr>
      </w:pPr>
      <w:r>
        <w:rPr>
          <w:rFonts w:ascii="Verdana" w:cs="Verdana" w:eastAsia="Verdana" w:hAnsi="Verdana"/>
          <w:sz w:val="18"/>
          <w:szCs w:val="18"/>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hanging="492"/>
        <w:spacing w:after="0"/>
        <w:tabs>
          <w:tab w:leader="none" w:pos="500" w:val="left"/>
        </w:tabs>
        <w:numPr>
          <w:ilvl w:val="0"/>
          <w:numId w:val="5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Intent</w:t>
      </w:r>
    </w:p>
    <w:p>
      <w:pPr>
        <w:spacing w:after="0" w:line="200" w:lineRule="exact"/>
        <w:rPr>
          <w:sz w:val="20"/>
          <w:szCs w:val="20"/>
          <w:color w:val="auto"/>
        </w:rPr>
      </w:pPr>
    </w:p>
    <w:p>
      <w:pPr>
        <w:jc w:val="both"/>
        <w:ind w:left="500" w:hanging="491"/>
        <w:spacing w:after="0" w:line="219" w:lineRule="auto"/>
        <w:tabs>
          <w:tab w:leader="none" w:pos="480" w:val="left"/>
        </w:tabs>
        <w:rPr>
          <w:sz w:val="20"/>
          <w:szCs w:val="20"/>
          <w:color w:val="auto"/>
        </w:rPr>
      </w:pPr>
      <w:r>
        <w:rPr>
          <w:rFonts w:ascii="Verdana" w:cs="Verdana" w:eastAsia="Verdana" w:hAnsi="Verdana"/>
          <w:sz w:val="18"/>
          <w:szCs w:val="18"/>
          <w:color w:val="auto"/>
        </w:rPr>
        <w:t>1.1</w:t>
        <w:tab/>
        <w:t>AMC Networks Inc. (the “Company”) has adopted this clawback policy (this “Policy”) to comply with, and to be interpreted to be consistent with, the requirements of the Nasdaq Stock Market (“Nasdaq”) Listing Rule 5608 (the “Listing Standard”). Except as otherwise noted, capitalized terms used in this Policy are defined in Section 7 below.</w:t>
      </w:r>
    </w:p>
    <w:p>
      <w:pPr>
        <w:spacing w:after="0" w:line="184" w:lineRule="exact"/>
        <w:rPr>
          <w:sz w:val="20"/>
          <w:szCs w:val="20"/>
          <w:color w:val="auto"/>
        </w:rPr>
      </w:pPr>
    </w:p>
    <w:p>
      <w:pPr>
        <w:jc w:val="both"/>
        <w:ind w:left="500"/>
        <w:spacing w:after="0" w:line="208" w:lineRule="auto"/>
        <w:rPr>
          <w:sz w:val="20"/>
          <w:szCs w:val="20"/>
          <w:color w:val="auto"/>
        </w:rPr>
      </w:pPr>
      <w:r>
        <w:rPr>
          <w:rFonts w:ascii="Verdana" w:cs="Verdana" w:eastAsia="Verdana" w:hAnsi="Verdana"/>
          <w:sz w:val="18"/>
          <w:szCs w:val="18"/>
          <w:color w:val="auto"/>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w:t>
      </w:r>
    </w:p>
    <w:p>
      <w:pPr>
        <w:spacing w:after="0" w:line="185" w:lineRule="exact"/>
        <w:rPr>
          <w:sz w:val="20"/>
          <w:szCs w:val="20"/>
          <w:color w:val="auto"/>
        </w:rPr>
      </w:pPr>
    </w:p>
    <w:p>
      <w:pPr>
        <w:jc w:val="both"/>
        <w:ind w:left="500"/>
        <w:spacing w:after="0" w:line="225" w:lineRule="auto"/>
        <w:rPr>
          <w:sz w:val="20"/>
          <w:szCs w:val="20"/>
          <w:color w:val="auto"/>
        </w:rPr>
      </w:pPr>
      <w:r>
        <w:rPr>
          <w:rFonts w:ascii="Verdana" w:cs="Verdana" w:eastAsia="Verdana" w:hAnsi="Verdana"/>
          <w:sz w:val="18"/>
          <w:szCs w:val="18"/>
          <w:color w:val="auto"/>
        </w:rPr>
        <w:t>In the event of a Restatement, the Company shall recover reasonably promptly the amount of erroneously-awarded Incentive-Based Compensation in compliance with this Policy except to the extent provided under Section 4 below.</w:t>
      </w:r>
    </w:p>
    <w:p>
      <w:pPr>
        <w:spacing w:after="0" w:line="197" w:lineRule="exact"/>
        <w:rPr>
          <w:sz w:val="20"/>
          <w:szCs w:val="20"/>
          <w:color w:val="auto"/>
        </w:rPr>
      </w:pPr>
    </w:p>
    <w:p>
      <w:pPr>
        <w:ind w:left="500" w:hanging="492"/>
        <w:spacing w:after="0"/>
        <w:tabs>
          <w:tab w:leader="none" w:pos="500" w:val="left"/>
        </w:tabs>
        <w:numPr>
          <w:ilvl w:val="0"/>
          <w:numId w:val="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Scope</w:t>
      </w:r>
    </w:p>
    <w:p>
      <w:pPr>
        <w:spacing w:after="0" w:line="200"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8"/>
          <w:szCs w:val="18"/>
          <w:i w:val="1"/>
          <w:iCs w:val="1"/>
          <w:color w:val="auto"/>
        </w:rPr>
        <w:t>2.1</w:t>
      </w:r>
      <w:r>
        <w:rPr>
          <w:sz w:val="20"/>
          <w:szCs w:val="20"/>
          <w:color w:val="auto"/>
        </w:rPr>
        <w:tab/>
      </w:r>
      <w:r>
        <w:rPr>
          <w:rFonts w:ascii="Verdana" w:cs="Verdana" w:eastAsia="Verdana" w:hAnsi="Verdana"/>
          <w:sz w:val="17"/>
          <w:szCs w:val="17"/>
          <w:i w:val="1"/>
          <w:iCs w:val="1"/>
          <w:color w:val="auto"/>
        </w:rPr>
        <w:t>Covered Persons and Recovery Period</w:t>
      </w:r>
      <w:r>
        <w:rPr>
          <w:rFonts w:ascii="Verdana" w:cs="Verdana" w:eastAsia="Verdana" w:hAnsi="Verdana"/>
          <w:sz w:val="17"/>
          <w:szCs w:val="17"/>
          <w:color w:val="auto"/>
        </w:rPr>
        <w:t>. This Policy applies to Incentive-Based Compensation received by a person:</w:t>
      </w:r>
    </w:p>
    <w:p>
      <w:pPr>
        <w:spacing w:after="0" w:line="200" w:lineRule="exact"/>
        <w:rPr>
          <w:sz w:val="20"/>
          <w:szCs w:val="20"/>
          <w:color w:val="auto"/>
        </w:rPr>
      </w:pPr>
    </w:p>
    <w:p>
      <w:pPr>
        <w:ind w:left="820" w:hanging="326"/>
        <w:spacing w:after="0"/>
        <w:tabs>
          <w:tab w:leader="none" w:pos="820" w:val="left"/>
        </w:tabs>
        <w:numPr>
          <w:ilvl w:val="0"/>
          <w:numId w:val="56"/>
        </w:numPr>
        <w:rPr>
          <w:rFonts w:ascii="Times New Roman" w:cs="Times New Roman" w:eastAsia="Times New Roman" w:hAnsi="Times New Roman"/>
          <w:sz w:val="18"/>
          <w:szCs w:val="18"/>
          <w:color w:val="auto"/>
        </w:rPr>
      </w:pPr>
      <w:r>
        <w:rPr>
          <w:rFonts w:ascii="Verdana" w:cs="Verdana" w:eastAsia="Verdana" w:hAnsi="Verdana"/>
          <w:sz w:val="18"/>
          <w:szCs w:val="18"/>
          <w:color w:val="auto"/>
        </w:rPr>
        <w:t>after beginning service as an Executive Officer,</w:t>
      </w:r>
    </w:p>
    <w:p>
      <w:pPr>
        <w:spacing w:after="0" w:line="212" w:lineRule="exact"/>
        <w:rPr>
          <w:rFonts w:ascii="Times New Roman" w:cs="Times New Roman" w:eastAsia="Times New Roman" w:hAnsi="Times New Roman"/>
          <w:sz w:val="18"/>
          <w:szCs w:val="18"/>
          <w:color w:val="auto"/>
        </w:rPr>
      </w:pPr>
    </w:p>
    <w:p>
      <w:pPr>
        <w:ind w:left="820" w:hanging="326"/>
        <w:spacing w:after="0" w:line="224" w:lineRule="auto"/>
        <w:tabs>
          <w:tab w:leader="none" w:pos="815" w:val="left"/>
        </w:tabs>
        <w:numPr>
          <w:ilvl w:val="0"/>
          <w:numId w:val="56"/>
        </w:numPr>
        <w:rPr>
          <w:rFonts w:ascii="Times New Roman" w:cs="Times New Roman" w:eastAsia="Times New Roman" w:hAnsi="Times New Roman"/>
          <w:sz w:val="18"/>
          <w:szCs w:val="18"/>
          <w:color w:val="auto"/>
        </w:rPr>
      </w:pPr>
      <w:r>
        <w:rPr>
          <w:rFonts w:ascii="Verdana" w:cs="Verdana" w:eastAsia="Verdana" w:hAnsi="Verdana"/>
          <w:sz w:val="18"/>
          <w:szCs w:val="18"/>
          <w:color w:val="auto"/>
        </w:rPr>
        <w:t>who served as an Executive Officer at any time during the performance period for that Incentive-Based Compensation,</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6"/>
        </w:numPr>
        <w:rPr>
          <w:rFonts w:ascii="Times New Roman" w:cs="Times New Roman" w:eastAsia="Times New Roman" w:hAnsi="Times New Roman"/>
          <w:sz w:val="18"/>
          <w:szCs w:val="18"/>
          <w:color w:val="auto"/>
        </w:rPr>
      </w:pPr>
      <w:r>
        <w:rPr>
          <w:rFonts w:ascii="Verdana" w:cs="Verdana" w:eastAsia="Verdana" w:hAnsi="Verdana"/>
          <w:sz w:val="18"/>
          <w:szCs w:val="18"/>
          <w:color w:val="auto"/>
        </w:rPr>
        <w:t>while the Company has a class of securities listed on a national securities exchange, and</w:t>
      </w:r>
    </w:p>
    <w:p>
      <w:pPr>
        <w:spacing w:after="0" w:line="212" w:lineRule="exact"/>
        <w:rPr>
          <w:rFonts w:ascii="Times New Roman" w:cs="Times New Roman" w:eastAsia="Times New Roman" w:hAnsi="Times New Roman"/>
          <w:sz w:val="18"/>
          <w:szCs w:val="18"/>
          <w:color w:val="auto"/>
        </w:rPr>
      </w:pPr>
    </w:p>
    <w:p>
      <w:pPr>
        <w:ind w:left="820" w:hanging="326"/>
        <w:spacing w:after="0" w:line="224" w:lineRule="auto"/>
        <w:tabs>
          <w:tab w:leader="none" w:pos="815" w:val="left"/>
        </w:tabs>
        <w:numPr>
          <w:ilvl w:val="0"/>
          <w:numId w:val="56"/>
        </w:numPr>
        <w:rPr>
          <w:rFonts w:ascii="Times New Roman" w:cs="Times New Roman" w:eastAsia="Times New Roman" w:hAnsi="Times New Roman"/>
          <w:sz w:val="18"/>
          <w:szCs w:val="18"/>
          <w:color w:val="auto"/>
        </w:rPr>
      </w:pPr>
      <w:r>
        <w:rPr>
          <w:rFonts w:ascii="Verdana" w:cs="Verdana" w:eastAsia="Verdana" w:hAnsi="Verdana"/>
          <w:sz w:val="18"/>
          <w:szCs w:val="18"/>
          <w:color w:val="auto"/>
        </w:rPr>
        <w:t>during the three completed fiscal years immediately preceding the date that the Company is required to prepare a Restatement (the “Recovery Period”).</w:t>
      </w:r>
    </w:p>
    <w:p>
      <w:pPr>
        <w:spacing w:after="0" w:line="185" w:lineRule="exact"/>
        <w:rPr>
          <w:sz w:val="20"/>
          <w:szCs w:val="20"/>
          <w:color w:val="auto"/>
        </w:rPr>
      </w:pPr>
    </w:p>
    <w:p>
      <w:pPr>
        <w:jc w:val="both"/>
        <w:ind w:left="500" w:right="20"/>
        <w:spacing w:after="0" w:line="232" w:lineRule="auto"/>
        <w:rPr>
          <w:sz w:val="20"/>
          <w:szCs w:val="20"/>
          <w:color w:val="auto"/>
        </w:rPr>
      </w:pPr>
      <w:r>
        <w:rPr>
          <w:rFonts w:ascii="Verdana" w:cs="Verdana" w:eastAsia="Verdana" w:hAnsi="Verdana"/>
          <w:sz w:val="18"/>
          <w:szCs w:val="18"/>
          <w:color w:val="auto"/>
        </w:rPr>
        <w:t>Notwithstanding this look-back requirement, the Company is only required to apply this Policy to Incentive-Based Compensation received on or after October 2, 2023.</w:t>
      </w:r>
    </w:p>
    <w:p>
      <w:pPr>
        <w:spacing w:after="0" w:line="185" w:lineRule="exact"/>
        <w:rPr>
          <w:sz w:val="20"/>
          <w:szCs w:val="20"/>
          <w:color w:val="auto"/>
        </w:rPr>
      </w:pPr>
    </w:p>
    <w:p>
      <w:pPr>
        <w:jc w:val="both"/>
        <w:ind w:left="500" w:right="20"/>
        <w:spacing w:after="0" w:line="219" w:lineRule="auto"/>
        <w:rPr>
          <w:sz w:val="20"/>
          <w:szCs w:val="20"/>
          <w:color w:val="auto"/>
        </w:rPr>
      </w:pPr>
      <w:r>
        <w:rPr>
          <w:rFonts w:ascii="Verdana" w:cs="Verdana" w:eastAsia="Verdana" w:hAnsi="Verdana"/>
          <w:sz w:val="18"/>
          <w:szCs w:val="18"/>
          <w:color w:val="auto"/>
        </w:rPr>
        <w:t>For purposes of this Policy,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84" w:lineRule="exact"/>
        <w:rPr>
          <w:sz w:val="20"/>
          <w:szCs w:val="20"/>
          <w:color w:val="auto"/>
        </w:rPr>
      </w:pPr>
    </w:p>
    <w:p>
      <w:pPr>
        <w:jc w:val="both"/>
        <w:ind w:left="500" w:hanging="485"/>
        <w:spacing w:after="0" w:line="212" w:lineRule="auto"/>
        <w:tabs>
          <w:tab w:leader="none" w:pos="480" w:val="left"/>
        </w:tabs>
        <w:rPr>
          <w:sz w:val="20"/>
          <w:szCs w:val="20"/>
          <w:color w:val="auto"/>
        </w:rPr>
      </w:pPr>
      <w:r>
        <w:rPr>
          <w:rFonts w:ascii="Verdana" w:cs="Verdana" w:eastAsia="Verdana" w:hAnsi="Verdana"/>
          <w:sz w:val="18"/>
          <w:szCs w:val="18"/>
          <w:i w:val="1"/>
          <w:iCs w:val="1"/>
          <w:color w:val="auto"/>
        </w:rPr>
        <w:t>2.2</w:t>
        <w:tab/>
        <w:t>Transition Period</w:t>
      </w:r>
      <w:r>
        <w:rPr>
          <w:rFonts w:ascii="Verdana" w:cs="Verdana" w:eastAsia="Verdana" w:hAnsi="Verdana"/>
          <w:sz w:val="18"/>
          <w:szCs w:val="18"/>
          <w:color w:val="auto"/>
        </w:rPr>
        <w:t>. In addition to the Recovery Period, this Policy applies to any transition period (that results from a</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change in the Company’s fiscal year) within or immediately following the Recovery Period (a “Transition Period”), provided that a Transition Period between the last day of the Company’s previous fiscal year end and the first day of the Company’s new fiscal year that comprises a period of nine to 12 months will be deemed a completed fiscal year.</w:t>
      </w:r>
    </w:p>
    <w:p>
      <w:pPr>
        <w:spacing w:after="0" w:line="186" w:lineRule="exact"/>
        <w:rPr>
          <w:sz w:val="20"/>
          <w:szCs w:val="20"/>
          <w:color w:val="auto"/>
        </w:rPr>
      </w:pPr>
    </w:p>
    <w:p>
      <w:pPr>
        <w:jc w:val="both"/>
        <w:ind w:left="500" w:hanging="485"/>
        <w:spacing w:after="0" w:line="225" w:lineRule="auto"/>
        <w:tabs>
          <w:tab w:leader="none" w:pos="480" w:val="left"/>
        </w:tabs>
        <w:rPr>
          <w:sz w:val="20"/>
          <w:szCs w:val="20"/>
          <w:color w:val="auto"/>
        </w:rPr>
      </w:pPr>
      <w:r>
        <w:rPr>
          <w:rFonts w:ascii="Verdana" w:cs="Verdana" w:eastAsia="Verdana" w:hAnsi="Verdana"/>
          <w:sz w:val="18"/>
          <w:szCs w:val="18"/>
          <w:i w:val="1"/>
          <w:iCs w:val="1"/>
          <w:color w:val="auto"/>
        </w:rPr>
        <w:t>2.3</w:t>
        <w:tab/>
        <w:t>Determining Recovery Period</w:t>
      </w:r>
      <w:r>
        <w:rPr>
          <w:rFonts w:ascii="Verdana" w:cs="Verdana" w:eastAsia="Verdana" w:hAnsi="Verdana"/>
          <w:sz w:val="18"/>
          <w:szCs w:val="18"/>
          <w:color w:val="auto"/>
        </w:rPr>
        <w:t>. For purposes of determining the relevant Recovery Period, the date that the Company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is required to prepare the Restatement is the earlier to occur of:</w:t>
      </w:r>
    </w:p>
    <w:p>
      <w:pPr>
        <w:spacing w:after="0" w:line="197" w:lineRule="exact"/>
        <w:rPr>
          <w:sz w:val="20"/>
          <w:szCs w:val="20"/>
          <w:color w:val="auto"/>
        </w:rPr>
      </w:pPr>
    </w:p>
    <w:p>
      <w:pPr>
        <w:jc w:val="both"/>
        <w:ind w:left="820" w:hanging="326"/>
        <w:spacing w:after="0" w:line="213" w:lineRule="auto"/>
        <w:tabs>
          <w:tab w:leader="none" w:pos="815" w:val="left"/>
        </w:tabs>
        <w:numPr>
          <w:ilvl w:val="0"/>
          <w:numId w:val="57"/>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date the board of directors of the Company (the “Board”), a committee of the Board, or the officer or officers of the Company authorized to take such action if Board action is not required, concludes, or reasonably should have concluded, that the Company is required to prepare a Restatement, and</w:t>
      </w:r>
    </w:p>
    <w:p>
      <w:pPr>
        <w:spacing w:after="0" w:line="19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7"/>
        </w:numPr>
        <w:rPr>
          <w:rFonts w:ascii="Times New Roman" w:cs="Times New Roman" w:eastAsia="Times New Roman" w:hAnsi="Times New Roman"/>
          <w:sz w:val="18"/>
          <w:szCs w:val="18"/>
          <w:color w:val="auto"/>
        </w:rPr>
      </w:pPr>
      <w:r>
        <w:rPr>
          <w:rFonts w:ascii="Verdana" w:cs="Verdana" w:eastAsia="Verdana" w:hAnsi="Verdana"/>
          <w:sz w:val="18"/>
          <w:szCs w:val="18"/>
          <w:color w:val="auto"/>
        </w:rPr>
        <w:t>the date a court, regulator, or other legally authorized body directs the Company to prepare a Restatement.</w:t>
      </w:r>
    </w:p>
    <w:p>
      <w:pPr>
        <w:spacing w:after="0" w:line="199" w:lineRule="exact"/>
        <w:rPr>
          <w:sz w:val="20"/>
          <w:szCs w:val="20"/>
          <w:color w:val="auto"/>
        </w:rPr>
      </w:pPr>
    </w:p>
    <w:p>
      <w:pPr>
        <w:ind w:left="500"/>
        <w:spacing w:after="0" w:line="225" w:lineRule="auto"/>
        <w:rPr>
          <w:sz w:val="20"/>
          <w:szCs w:val="20"/>
          <w:color w:val="auto"/>
        </w:rPr>
      </w:pPr>
      <w:r>
        <w:rPr>
          <w:rFonts w:ascii="Verdana" w:cs="Verdana" w:eastAsia="Verdana" w:hAnsi="Verdana"/>
          <w:sz w:val="18"/>
          <w:szCs w:val="18"/>
          <w:color w:val="auto"/>
        </w:rPr>
        <w:t>For clarity, the Company’s obligation to recover erroneously awarded Incentive-Based Compensation under this Policy is not dependent on if or when a Restatement is filed.</w:t>
      </w:r>
    </w:p>
    <w:p>
      <w:pPr>
        <w:sectPr>
          <w:pgSz w:w="11900" w:h="16838" w:orient="portrait"/>
          <w:cols w:equalWidth="0" w:num="1">
            <w:col w:w="11240"/>
          </w:cols>
          <w:pgMar w:left="320" w:top="98" w:right="339" w:bottom="1440" w:gutter="0" w:footer="0" w:header="0"/>
        </w:sectPr>
      </w:pPr>
    </w:p>
    <w:bookmarkStart w:id="121" w:name="page122"/>
    <w:bookmarkEnd w:id="121"/>
    <w:p>
      <w:pPr>
        <w:spacing w:after="0" w:line="328" w:lineRule="exact"/>
        <w:rPr>
          <w:sz w:val="20"/>
          <w:szCs w:val="20"/>
          <w:color w:val="auto"/>
        </w:rPr>
      </w:pPr>
    </w:p>
    <w:p>
      <w:pPr>
        <w:jc w:val="both"/>
        <w:ind w:left="492" w:hanging="485"/>
        <w:spacing w:after="0" w:line="212" w:lineRule="auto"/>
        <w:tabs>
          <w:tab w:leader="none" w:pos="472" w:val="left"/>
        </w:tabs>
        <w:rPr>
          <w:sz w:val="20"/>
          <w:szCs w:val="20"/>
          <w:color w:val="auto"/>
        </w:rPr>
      </w:pPr>
      <w:r>
        <w:rPr>
          <w:rFonts w:ascii="Verdana" w:cs="Verdana" w:eastAsia="Verdana" w:hAnsi="Verdana"/>
          <w:sz w:val="18"/>
          <w:szCs w:val="18"/>
          <w:i w:val="1"/>
          <w:iCs w:val="1"/>
          <w:color w:val="auto"/>
        </w:rPr>
        <w:t>2.4</w:t>
        <w:tab/>
        <w:t>Method of Recovery</w:t>
      </w:r>
      <w:r>
        <w:rPr>
          <w:rFonts w:ascii="Verdana" w:cs="Verdana" w:eastAsia="Verdana" w:hAnsi="Verdana"/>
          <w:sz w:val="18"/>
          <w:szCs w:val="18"/>
          <w:color w:val="auto"/>
        </w:rPr>
        <w:t>. Without limiting this Section 2, the Compensation Committee of the Company’s Board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“Committee”) will have discretion in determining how to accomplish recovery of erroneously awarded Incentive-Based Compensation under this Policy, recognizing that different means of recovery may be appropriate in different circumstances.</w:t>
      </w:r>
    </w:p>
    <w:p>
      <w:pPr>
        <w:spacing w:after="0" w:line="186" w:lineRule="exact"/>
        <w:rPr>
          <w:sz w:val="20"/>
          <w:szCs w:val="20"/>
          <w:color w:val="auto"/>
        </w:rPr>
      </w:pPr>
    </w:p>
    <w:p>
      <w:pPr>
        <w:ind w:left="492" w:hanging="492"/>
        <w:spacing w:after="0"/>
        <w:tabs>
          <w:tab w:leader="none" w:pos="492" w:val="left"/>
        </w:tabs>
        <w:numPr>
          <w:ilvl w:val="0"/>
          <w:numId w:val="5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Amount Subject to Recovery</w:t>
      </w:r>
    </w:p>
    <w:p>
      <w:pPr>
        <w:spacing w:after="0" w:line="200" w:lineRule="exact"/>
        <w:rPr>
          <w:sz w:val="20"/>
          <w:szCs w:val="20"/>
          <w:color w:val="auto"/>
        </w:rPr>
      </w:pPr>
    </w:p>
    <w:p>
      <w:pPr>
        <w:jc w:val="both"/>
        <w:ind w:left="492" w:hanging="485"/>
        <w:spacing w:after="0" w:line="211" w:lineRule="auto"/>
        <w:tabs>
          <w:tab w:leader="none" w:pos="472" w:val="left"/>
        </w:tabs>
        <w:rPr>
          <w:sz w:val="20"/>
          <w:szCs w:val="20"/>
          <w:color w:val="auto"/>
        </w:rPr>
      </w:pPr>
      <w:r>
        <w:rPr>
          <w:rFonts w:ascii="Verdana" w:cs="Verdana" w:eastAsia="Verdana" w:hAnsi="Verdana"/>
          <w:sz w:val="18"/>
          <w:szCs w:val="18"/>
          <w:i w:val="1"/>
          <w:iCs w:val="1"/>
          <w:color w:val="auto"/>
        </w:rPr>
        <w:t>3.1</w:t>
        <w:tab/>
        <w:t>Recoverable Amount</w:t>
      </w:r>
      <w:r>
        <w:rPr>
          <w:rFonts w:ascii="Verdana" w:cs="Verdana" w:eastAsia="Verdana" w:hAnsi="Verdana"/>
          <w:sz w:val="18"/>
          <w:szCs w:val="18"/>
          <w:color w:val="auto"/>
        </w:rPr>
        <w:t>. The amount of Incentive-Based Compensation subject to recovery under this Policy is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amount of Incentive-Based Compensation received that exceeds the amount of Incentive-Based Compensation that otherwise would have been received had it been determined based on the restated amounts, computed without regard to any taxes paid (e.g., the annual bonus amount or long term incentive payout would be recalculated using the corrected adjusted operating income (“AOI”) or revenue amount and the difference would be clawed back).</w:t>
      </w:r>
    </w:p>
    <w:p>
      <w:pPr>
        <w:spacing w:after="0" w:line="186" w:lineRule="exact"/>
        <w:rPr>
          <w:sz w:val="20"/>
          <w:szCs w:val="20"/>
          <w:color w:val="auto"/>
        </w:rPr>
      </w:pPr>
    </w:p>
    <w:p>
      <w:pPr>
        <w:jc w:val="both"/>
        <w:ind w:left="492" w:hanging="485"/>
        <w:spacing w:after="0" w:line="208" w:lineRule="auto"/>
        <w:tabs>
          <w:tab w:leader="none" w:pos="472" w:val="left"/>
        </w:tabs>
        <w:rPr>
          <w:sz w:val="20"/>
          <w:szCs w:val="20"/>
          <w:color w:val="auto"/>
        </w:rPr>
      </w:pPr>
      <w:r>
        <w:rPr>
          <w:rFonts w:ascii="Verdana" w:cs="Verdana" w:eastAsia="Verdana" w:hAnsi="Verdana"/>
          <w:sz w:val="18"/>
          <w:szCs w:val="18"/>
          <w:i w:val="1"/>
          <w:iCs w:val="1"/>
          <w:color w:val="auto"/>
        </w:rPr>
        <w:t>3.2</w:t>
        <w:tab/>
        <w:t>Covered Compensation Based on Stock Price or TSR</w:t>
      </w:r>
      <w:r>
        <w:rPr>
          <w:rFonts w:ascii="Verdana" w:cs="Verdana" w:eastAsia="Verdana" w:hAnsi="Verdana"/>
          <w:sz w:val="18"/>
          <w:szCs w:val="18"/>
          <w:color w:val="auto"/>
        </w:rPr>
        <w:t>. For Incentive-Based Compensation based on stock price or total</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shareholder return (“</w:t>
      </w:r>
      <w:r>
        <w:rPr>
          <w:rFonts w:ascii="Verdana" w:cs="Verdana" w:eastAsia="Verdana" w:hAnsi="Verdana"/>
          <w:sz w:val="18"/>
          <w:szCs w:val="18"/>
          <w:u w:val="single" w:color="auto"/>
          <w:color w:val="auto"/>
        </w:rPr>
        <w:t>TSR</w:t>
      </w:r>
      <w:r>
        <w:rPr>
          <w:rFonts w:ascii="Verdana" w:cs="Verdana" w:eastAsia="Verdana" w:hAnsi="Verdana"/>
          <w:sz w:val="18"/>
          <w:szCs w:val="18"/>
          <w:color w:val="auto"/>
        </w:rPr>
        <w:t>”), where the amount of erroneously awarded Incentive-Based Compensation is not subject to mathematical recalculation directly from the information in a Restatement, the recoverable amount shall be determined by the Committee based on a reasonable estimate of the effect of the Restatement on the stock price or TSR upon which the Incentive-Based Compensation was received. In such event, the Company shall maintain documentation of the determination of that reasonable estimate and provide such documentation to Nasdaq.</w:t>
      </w:r>
    </w:p>
    <w:p>
      <w:pPr>
        <w:spacing w:after="0" w:line="185" w:lineRule="exact"/>
        <w:rPr>
          <w:sz w:val="20"/>
          <w:szCs w:val="20"/>
          <w:color w:val="auto"/>
        </w:rPr>
      </w:pPr>
    </w:p>
    <w:p>
      <w:pPr>
        <w:ind w:left="492" w:hanging="492"/>
        <w:spacing w:after="0"/>
        <w:tabs>
          <w:tab w:leader="none" w:pos="492" w:val="left"/>
        </w:tabs>
        <w:numPr>
          <w:ilvl w:val="0"/>
          <w:numId w:val="5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Exceptions</w:t>
      </w:r>
    </w:p>
    <w:p>
      <w:pPr>
        <w:spacing w:after="0" w:line="200" w:lineRule="exact"/>
        <w:rPr>
          <w:sz w:val="20"/>
          <w:szCs w:val="20"/>
          <w:color w:val="auto"/>
        </w:rPr>
      </w:pPr>
    </w:p>
    <w:p>
      <w:pPr>
        <w:jc w:val="both"/>
        <w:ind w:left="492" w:hanging="485"/>
        <w:spacing w:after="0" w:line="211" w:lineRule="auto"/>
        <w:tabs>
          <w:tab w:leader="none" w:pos="472" w:val="left"/>
        </w:tabs>
        <w:rPr>
          <w:sz w:val="20"/>
          <w:szCs w:val="20"/>
          <w:color w:val="auto"/>
        </w:rPr>
      </w:pPr>
      <w:r>
        <w:rPr>
          <w:rFonts w:ascii="Verdana" w:cs="Verdana" w:eastAsia="Verdana" w:hAnsi="Verdana"/>
          <w:sz w:val="18"/>
          <w:szCs w:val="18"/>
          <w:color w:val="auto"/>
        </w:rPr>
        <w:t>4.1</w:t>
        <w:tab/>
        <w:t>The Company shall recover erroneously awarded Incentive-Based Compensation in compliance with this Policy except to the extent that the conditions set out below are met and the Committee has made a determination that recovery would be impracticable. For the avoidance of doubt, Incentive-Based Compensation does not include restricted stock units that are granted, earned and vested solely (1) upon completion of a specified employment period, or (2) upon attaining one or more non-Financial Reporting Measure</w:t>
      </w:r>
    </w:p>
    <w:p>
      <w:pPr>
        <w:spacing w:after="0" w:line="186" w:lineRule="exact"/>
        <w:rPr>
          <w:sz w:val="20"/>
          <w:szCs w:val="20"/>
          <w:color w:val="auto"/>
        </w:rPr>
      </w:pPr>
    </w:p>
    <w:p>
      <w:pPr>
        <w:jc w:val="both"/>
        <w:ind w:left="812" w:hanging="326"/>
        <w:spacing w:after="0" w:line="205" w:lineRule="auto"/>
        <w:tabs>
          <w:tab w:leader="none" w:pos="811" w:val="left"/>
        </w:tabs>
        <w:numPr>
          <w:ilvl w:val="1"/>
          <w:numId w:val="60"/>
        </w:numPr>
        <w:rPr>
          <w:rFonts w:ascii="Verdana" w:cs="Verdana" w:eastAsia="Verdana" w:hAnsi="Verdana"/>
          <w:sz w:val="18"/>
          <w:szCs w:val="18"/>
          <w:color w:val="auto"/>
        </w:rPr>
      </w:pPr>
      <w:r>
        <w:rPr>
          <w:rFonts w:ascii="Verdana" w:cs="Verdana" w:eastAsia="Verdana" w:hAnsi="Verdana"/>
          <w:sz w:val="18"/>
          <w:szCs w:val="18"/>
          <w:i w:val="1"/>
          <w:iCs w:val="1"/>
          <w:color w:val="auto"/>
        </w:rPr>
        <w:t>Direct Expense Exceeds Recoverable Amount</w:t>
      </w:r>
      <w:r>
        <w:rPr>
          <w:rFonts w:ascii="Verdana" w:cs="Verdana" w:eastAsia="Verdana" w:hAnsi="Verdana"/>
          <w:sz w:val="18"/>
          <w:szCs w:val="18"/>
          <w:color w:val="auto"/>
        </w:rPr>
        <w:t>. The direct expense paid to a third party to assist in enforcing this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Policy would exceed the amount to be recovered; provided, however, that before concluding it would be impracticable to recover any amount of erroneously awarded Incentive-Based Compensation based on expense of enforcement, the Company shall make a reasonable attempt to recover such erroneously awarded Incentive-Based Compensation on its own, document such reasonable attempt(s) to recover, and provide that documentation to Nasdaq.</w:t>
      </w:r>
    </w:p>
    <w:p>
      <w:pPr>
        <w:spacing w:after="0" w:line="201" w:lineRule="exact"/>
        <w:rPr>
          <w:rFonts w:ascii="Verdana" w:cs="Verdana" w:eastAsia="Verdana" w:hAnsi="Verdana"/>
          <w:sz w:val="18"/>
          <w:szCs w:val="18"/>
          <w:color w:val="auto"/>
        </w:rPr>
      </w:pPr>
    </w:p>
    <w:p>
      <w:pPr>
        <w:jc w:val="both"/>
        <w:ind w:left="812" w:hanging="326"/>
        <w:spacing w:after="0" w:line="214" w:lineRule="auto"/>
        <w:tabs>
          <w:tab w:leader="none" w:pos="810" w:val="left"/>
        </w:tabs>
        <w:numPr>
          <w:ilvl w:val="1"/>
          <w:numId w:val="60"/>
        </w:numPr>
        <w:rPr>
          <w:rFonts w:ascii="Verdana" w:cs="Verdana" w:eastAsia="Verdana" w:hAnsi="Verdana"/>
          <w:sz w:val="18"/>
          <w:szCs w:val="18"/>
          <w:color w:val="auto"/>
        </w:rPr>
      </w:pPr>
      <w:r>
        <w:rPr>
          <w:rFonts w:ascii="Verdana" w:cs="Verdana" w:eastAsia="Verdana" w:hAnsi="Verdana"/>
          <w:sz w:val="18"/>
          <w:szCs w:val="18"/>
          <w:i w:val="1"/>
          <w:iCs w:val="1"/>
          <w:color w:val="auto"/>
        </w:rPr>
        <w:t>Recovery from Certain Tax-Qualified Retirement Plans</w:t>
      </w:r>
      <w:r>
        <w:rPr>
          <w:rFonts w:ascii="Verdana" w:cs="Verdana" w:eastAsia="Verdana" w:hAnsi="Verdana"/>
          <w:sz w:val="18"/>
          <w:szCs w:val="18"/>
          <w:color w:val="auto"/>
        </w:rPr>
        <w:t>. Recovery would likely cause an otherwise tax-qualified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retirement plan, under which benefits are broadly available to employees of the Company, to fail to meet the requirements of 26 U.S.C. 401(a)(13) or 26 U.S.C. 411(a) and regulations thereunder.</w:t>
      </w:r>
    </w:p>
    <w:p>
      <w:pPr>
        <w:spacing w:after="0" w:line="197" w:lineRule="exact"/>
        <w:rPr>
          <w:rFonts w:ascii="Verdana" w:cs="Verdana" w:eastAsia="Verdana" w:hAnsi="Verdana"/>
          <w:sz w:val="18"/>
          <w:szCs w:val="18"/>
          <w:color w:val="auto"/>
        </w:rPr>
      </w:pPr>
    </w:p>
    <w:p>
      <w:pPr>
        <w:jc w:val="both"/>
        <w:ind w:left="812" w:hanging="326"/>
        <w:spacing w:after="0" w:line="208" w:lineRule="auto"/>
        <w:tabs>
          <w:tab w:leader="none" w:pos="800" w:val="left"/>
        </w:tabs>
        <w:numPr>
          <w:ilvl w:val="1"/>
          <w:numId w:val="60"/>
        </w:numPr>
        <w:rPr>
          <w:rFonts w:ascii="Verdana" w:cs="Verdana" w:eastAsia="Verdana" w:hAnsi="Verdana"/>
          <w:sz w:val="18"/>
          <w:szCs w:val="18"/>
          <w:color w:val="auto"/>
        </w:rPr>
      </w:pPr>
      <w:r>
        <w:rPr>
          <w:rFonts w:ascii="Verdana" w:cs="Verdana" w:eastAsia="Verdana" w:hAnsi="Verdana"/>
          <w:sz w:val="18"/>
          <w:szCs w:val="18"/>
          <w:i w:val="1"/>
          <w:iCs w:val="1"/>
          <w:color w:val="auto"/>
        </w:rPr>
        <w:t>Violation of Home Country Law</w:t>
      </w:r>
      <w:r>
        <w:rPr>
          <w:rFonts w:ascii="Verdana" w:cs="Verdana" w:eastAsia="Verdana" w:hAnsi="Verdana"/>
          <w:sz w:val="18"/>
          <w:szCs w:val="18"/>
          <w:color w:val="auto"/>
        </w:rPr>
        <w:t>. Recovery would violate home country law where that law was adopted prior to</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November 28, 2022; provided, however, that before concluding that it would be impracticable to recover any amount of erroneously awarded Incentive-Based Compensation based on violation of home country law, the Company shall obtain an opinion of home country counsel, acceptable to Nasdaq, that recovery would result in such a violation, and must provide such opinion to Nasdaq.</w:t>
      </w:r>
    </w:p>
    <w:p>
      <w:pPr>
        <w:spacing w:after="0" w:line="186" w:lineRule="exact"/>
        <w:rPr>
          <w:rFonts w:ascii="Verdana" w:cs="Verdana" w:eastAsia="Verdana" w:hAnsi="Verdana"/>
          <w:sz w:val="18"/>
          <w:szCs w:val="18"/>
          <w:color w:val="auto"/>
        </w:rPr>
      </w:pPr>
    </w:p>
    <w:p>
      <w:pPr>
        <w:ind w:left="492" w:hanging="492"/>
        <w:spacing w:after="0"/>
        <w:tabs>
          <w:tab w:leader="none" w:pos="492" w:val="left"/>
        </w:tabs>
        <w:numPr>
          <w:ilvl w:val="0"/>
          <w:numId w:val="6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Indemnification</w:t>
      </w:r>
    </w:p>
    <w:p>
      <w:pPr>
        <w:spacing w:after="0" w:line="213" w:lineRule="exact"/>
        <w:rPr>
          <w:sz w:val="20"/>
          <w:szCs w:val="20"/>
          <w:color w:val="auto"/>
        </w:rPr>
      </w:pPr>
    </w:p>
    <w:p>
      <w:pPr>
        <w:jc w:val="both"/>
        <w:ind w:left="492" w:hanging="485"/>
        <w:spacing w:after="0" w:line="208" w:lineRule="auto"/>
        <w:tabs>
          <w:tab w:leader="none" w:pos="472" w:val="left"/>
        </w:tabs>
        <w:rPr>
          <w:sz w:val="20"/>
          <w:szCs w:val="20"/>
          <w:color w:val="auto"/>
        </w:rPr>
      </w:pPr>
      <w:r>
        <w:rPr>
          <w:rFonts w:ascii="Verdana" w:cs="Verdana" w:eastAsia="Verdana" w:hAnsi="Verdana"/>
          <w:sz w:val="18"/>
          <w:szCs w:val="18"/>
          <w:i w:val="1"/>
          <w:iCs w:val="1"/>
          <w:color w:val="auto"/>
        </w:rPr>
        <w:t>5.1</w:t>
        <w:tab/>
        <w:t>Prohibition on Indemnification</w:t>
      </w:r>
      <w:r>
        <w:rPr>
          <w:rFonts w:ascii="Verdana" w:cs="Verdana" w:eastAsia="Verdana" w:hAnsi="Verdana"/>
          <w:sz w:val="18"/>
          <w:szCs w:val="18"/>
          <w:color w:val="auto"/>
        </w:rPr>
        <w:t>. Notwithstanding the terms of any indemnification arrangement or insurance policy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with any individual covered by this Policy, the Company shall not indemnify any Executive Officer or former Executive Officer against the loss of erroneously awarded Incentive- Based Compensation, including any payment or reimbursement for the cost of insurance obtained by any such covered individual to fund amounts recoverable under this Policy.</w:t>
      </w:r>
    </w:p>
    <w:p>
      <w:pPr>
        <w:spacing w:after="0" w:line="186" w:lineRule="exact"/>
        <w:rPr>
          <w:sz w:val="20"/>
          <w:szCs w:val="20"/>
          <w:color w:val="auto"/>
        </w:rPr>
      </w:pPr>
    </w:p>
    <w:p>
      <w:pPr>
        <w:jc w:val="both"/>
        <w:ind w:left="492" w:hanging="485"/>
        <w:spacing w:after="0" w:line="211" w:lineRule="auto"/>
        <w:tabs>
          <w:tab w:leader="none" w:pos="472" w:val="left"/>
        </w:tabs>
        <w:rPr>
          <w:sz w:val="20"/>
          <w:szCs w:val="20"/>
          <w:color w:val="auto"/>
        </w:rPr>
      </w:pPr>
      <w:r>
        <w:rPr>
          <w:rFonts w:ascii="Verdana" w:cs="Verdana" w:eastAsia="Verdana" w:hAnsi="Verdana"/>
          <w:sz w:val="18"/>
          <w:szCs w:val="18"/>
          <w:i w:val="1"/>
          <w:iCs w:val="1"/>
          <w:color w:val="auto"/>
        </w:rPr>
        <w:t>5.2</w:t>
        <w:tab/>
        <w:t>Covered Indemnitees</w:t>
      </w:r>
      <w:r>
        <w:rPr>
          <w:rFonts w:ascii="Verdana" w:cs="Verdana" w:eastAsia="Verdana" w:hAnsi="Verdana"/>
          <w:sz w:val="18"/>
          <w:szCs w:val="18"/>
          <w:color w:val="auto"/>
        </w:rPr>
        <w:t>. No member of the Board, the Committee, or any employee of the Company or any of its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subsidiaries or affiliates (each such person a “Covered Indemnitee”) shall have any liability to any person (including, without limitation, any person subject to this Policy) for any action taken or omitted to be taken, or any determination made, in good faith with respect to this Policy. Each Covered Indemnitee shall be indemnified and held harmless by the Company against and from any</w:t>
      </w:r>
    </w:p>
    <w:p>
      <w:pPr>
        <w:sectPr>
          <w:pgSz w:w="11900" w:h="16838" w:orient="portrait"/>
          <w:cols w:equalWidth="0" w:num="1">
            <w:col w:w="11232"/>
          </w:cols>
          <w:pgMar w:left="328" w:top="1440" w:right="339" w:bottom="1440" w:gutter="0" w:footer="0" w:header="0"/>
        </w:sectPr>
      </w:pPr>
    </w:p>
    <w:bookmarkStart w:id="122" w:name="page123"/>
    <w:bookmarkEnd w:id="122"/>
    <w:p>
      <w:pPr>
        <w:spacing w:after="0" w:line="328" w:lineRule="exact"/>
        <w:rPr>
          <w:sz w:val="20"/>
          <w:szCs w:val="20"/>
          <w:color w:val="auto"/>
        </w:rPr>
      </w:pPr>
    </w:p>
    <w:p>
      <w:pPr>
        <w:jc w:val="both"/>
        <w:ind w:left="492"/>
        <w:spacing w:after="0" w:line="201" w:lineRule="auto"/>
        <w:rPr>
          <w:sz w:val="20"/>
          <w:szCs w:val="20"/>
          <w:color w:val="auto"/>
        </w:rPr>
      </w:pPr>
      <w:r>
        <w:rPr>
          <w:rFonts w:ascii="Verdana" w:cs="Verdana" w:eastAsia="Verdana" w:hAnsi="Verdana"/>
          <w:sz w:val="18"/>
          <w:szCs w:val="18"/>
          <w:color w:val="auto"/>
        </w:rPr>
        <w:t>loss, cost, liability or expense (including attorneys’ fees) that may be imposed upon or incurred by such Covered Indemnitee in connection with or resulting from any action, suit or proceeding to which such Covered Indemnitee may be a party or in which such Covered Indemnitee may be involved by reason of any action, determination or interpretation made or omitted to be made with respect to this Policy and against and from any and all amounts paid by such Covered Indemnitee, with the Company’s approval, in settlement thereof, or paid by such Covered Indemnitee in satisfaction of any judgment in any such action, suit or proceeding against such Covered Indemnitee;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Indemnitee to the extent that a court of competent jurisdiction in a final judgment or other final adjudication, in either case, not subject to further appeal, determines that the acts, determinations, interpretations or omissions of such Covered Indemnitee giving rise to the indemnification claim resulted from such Covered Indemnitee’s bad faith, fraud or willful criminal act or omission. The foregoing right of indemnification shall not be exclusive of any other rights of indemnification to which Covered Indemnitee may be entitled under the Company’s Certificate of Incorporation or by-laws, as a matter of law, by agreement or otherwise, or any other power that the Company may have to indemnify such persons or hold them harmless.</w:t>
      </w:r>
    </w:p>
    <w:p>
      <w:pPr>
        <w:spacing w:after="0" w:line="187" w:lineRule="exact"/>
        <w:rPr>
          <w:sz w:val="20"/>
          <w:szCs w:val="20"/>
          <w:color w:val="auto"/>
        </w:rPr>
      </w:pPr>
    </w:p>
    <w:p>
      <w:pPr>
        <w:ind w:left="492" w:hanging="492"/>
        <w:spacing w:after="0"/>
        <w:tabs>
          <w:tab w:leader="none" w:pos="492" w:val="left"/>
        </w:tabs>
        <w:numPr>
          <w:ilvl w:val="0"/>
          <w:numId w:val="6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Disclosure</w:t>
      </w:r>
    </w:p>
    <w:p>
      <w:pPr>
        <w:spacing w:after="0" w:line="200" w:lineRule="exact"/>
        <w:rPr>
          <w:sz w:val="20"/>
          <w:szCs w:val="20"/>
          <w:color w:val="auto"/>
        </w:rPr>
      </w:pPr>
    </w:p>
    <w:p>
      <w:pPr>
        <w:jc w:val="both"/>
        <w:ind w:left="492" w:hanging="485"/>
        <w:spacing w:after="0" w:line="219" w:lineRule="auto"/>
        <w:tabs>
          <w:tab w:leader="none" w:pos="472" w:val="left"/>
        </w:tabs>
        <w:rPr>
          <w:sz w:val="20"/>
          <w:szCs w:val="20"/>
          <w:color w:val="auto"/>
        </w:rPr>
      </w:pPr>
      <w:r>
        <w:rPr>
          <w:rFonts w:ascii="Verdana" w:cs="Verdana" w:eastAsia="Verdana" w:hAnsi="Verdana"/>
          <w:sz w:val="18"/>
          <w:szCs w:val="18"/>
          <w:color w:val="auto"/>
        </w:rPr>
        <w:t>6.1</w:t>
        <w:tab/>
        <w:t>The Company shall file all disclosures with respect to this Policy and recoveries under this Policy in accordance with the requirements of the U.S. Federal securities laws, including the disclosure required by the applicable Securities and Exchange Commission (“SEC”) filings.</w:t>
      </w:r>
    </w:p>
    <w:p>
      <w:pPr>
        <w:spacing w:after="0" w:line="184" w:lineRule="exact"/>
        <w:rPr>
          <w:sz w:val="20"/>
          <w:szCs w:val="20"/>
          <w:color w:val="auto"/>
        </w:rPr>
      </w:pPr>
    </w:p>
    <w:p>
      <w:pPr>
        <w:ind w:left="492" w:hanging="492"/>
        <w:spacing w:after="0"/>
        <w:tabs>
          <w:tab w:leader="none" w:pos="492" w:val="left"/>
        </w:tabs>
        <w:numPr>
          <w:ilvl w:val="0"/>
          <w:numId w:val="6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Definitions</w:t>
      </w:r>
    </w:p>
    <w:p>
      <w:pPr>
        <w:spacing w:after="0" w:line="213" w:lineRule="exact"/>
        <w:rPr>
          <w:sz w:val="20"/>
          <w:szCs w:val="20"/>
          <w:color w:val="auto"/>
        </w:rPr>
      </w:pPr>
    </w:p>
    <w:p>
      <w:pPr>
        <w:ind w:left="492"/>
        <w:spacing w:after="0"/>
        <w:rPr>
          <w:sz w:val="20"/>
          <w:szCs w:val="20"/>
          <w:color w:val="auto"/>
        </w:rPr>
      </w:pPr>
      <w:r>
        <w:rPr>
          <w:rFonts w:ascii="Verdana" w:cs="Verdana" w:eastAsia="Verdana" w:hAnsi="Verdana"/>
          <w:sz w:val="18"/>
          <w:szCs w:val="18"/>
          <w:color w:val="auto"/>
        </w:rPr>
        <w:t>Unless the context otherwise requires, the following definitions apply for purposes of this Policy:</w:t>
      </w:r>
    </w:p>
    <w:p>
      <w:pPr>
        <w:spacing w:after="0" w:line="200" w:lineRule="exact"/>
        <w:rPr>
          <w:sz w:val="20"/>
          <w:szCs w:val="20"/>
          <w:color w:val="auto"/>
        </w:rPr>
      </w:pPr>
    </w:p>
    <w:p>
      <w:pPr>
        <w:jc w:val="both"/>
        <w:ind w:left="492" w:hanging="485"/>
        <w:spacing w:after="0" w:line="206" w:lineRule="auto"/>
        <w:tabs>
          <w:tab w:leader="none" w:pos="472" w:val="left"/>
        </w:tabs>
        <w:rPr>
          <w:sz w:val="20"/>
          <w:szCs w:val="20"/>
          <w:color w:val="auto"/>
        </w:rPr>
      </w:pPr>
      <w:r>
        <w:rPr>
          <w:rFonts w:ascii="Verdana" w:cs="Verdana" w:eastAsia="Verdana" w:hAnsi="Verdana"/>
          <w:sz w:val="18"/>
          <w:szCs w:val="18"/>
          <w:color w:val="auto"/>
        </w:rPr>
        <w:t>7.1</w:t>
        <w:tab/>
        <w:t>“Executive Officer” means the Company’s president, principal executive officer,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as applicable, are deemed Executive Officers of the Company if they perform such policy making functions for the Company. Policy-making function is not intended to include policymaking functions that are not significant.</w:t>
      </w:r>
    </w:p>
    <w:p>
      <w:pPr>
        <w:spacing w:after="0" w:line="184" w:lineRule="exact"/>
        <w:rPr>
          <w:sz w:val="20"/>
          <w:szCs w:val="20"/>
          <w:color w:val="auto"/>
        </w:rPr>
      </w:pPr>
    </w:p>
    <w:p>
      <w:pPr>
        <w:jc w:val="both"/>
        <w:ind w:left="492" w:hanging="485"/>
        <w:spacing w:after="0" w:line="208" w:lineRule="auto"/>
        <w:tabs>
          <w:tab w:leader="none" w:pos="472" w:val="left"/>
        </w:tabs>
        <w:rPr>
          <w:sz w:val="20"/>
          <w:szCs w:val="20"/>
          <w:color w:val="auto"/>
        </w:rPr>
      </w:pPr>
      <w:r>
        <w:rPr>
          <w:rFonts w:ascii="Verdana" w:cs="Verdana" w:eastAsia="Verdana" w:hAnsi="Verdana"/>
          <w:sz w:val="18"/>
          <w:szCs w:val="18"/>
          <w:color w:val="auto"/>
        </w:rPr>
        <w:t>7.2</w:t>
        <w:tab/>
        <w:t>“Financial Reporting Measures” means any of the following: (i) measures that are determined and presented in accordance with the accounting principles used in preparing the Company’s financial statements, and any measures that are derived wholly or in part from such measures (i.e., revenue and adjusted operating income AOI), (ii) stock price and (iii) TSR. A Financial Reporting Measure need not be presented within the Company’s financial statements or included in a filing with the SEC.</w:t>
      </w:r>
    </w:p>
    <w:p>
      <w:pPr>
        <w:spacing w:after="0" w:line="200" w:lineRule="exact"/>
        <w:rPr>
          <w:sz w:val="20"/>
          <w:szCs w:val="20"/>
          <w:color w:val="auto"/>
        </w:rPr>
      </w:pPr>
    </w:p>
    <w:p>
      <w:pPr>
        <w:jc w:val="both"/>
        <w:ind w:left="492" w:hanging="485"/>
        <w:spacing w:after="0" w:line="225" w:lineRule="auto"/>
        <w:tabs>
          <w:tab w:leader="none" w:pos="472" w:val="left"/>
        </w:tabs>
        <w:rPr>
          <w:sz w:val="20"/>
          <w:szCs w:val="20"/>
          <w:color w:val="auto"/>
        </w:rPr>
      </w:pPr>
      <w:r>
        <w:rPr>
          <w:rFonts w:ascii="Verdana" w:cs="Verdana" w:eastAsia="Verdana" w:hAnsi="Verdana"/>
          <w:sz w:val="18"/>
          <w:szCs w:val="18"/>
          <w:color w:val="auto"/>
        </w:rPr>
        <w:t>7.3</w:t>
        <w:tab/>
        <w:t>“Incentive-Based Compensation” means any compensation that is granted, earned, or vested based wholly or in part upon the attainment of a Financial Reporting Measure.</w:t>
      </w:r>
    </w:p>
    <w:p>
      <w:pPr>
        <w:spacing w:after="0" w:line="184" w:lineRule="exact"/>
        <w:rPr>
          <w:sz w:val="20"/>
          <w:szCs w:val="20"/>
          <w:color w:val="auto"/>
        </w:rPr>
      </w:pPr>
    </w:p>
    <w:p>
      <w:pPr>
        <w:ind w:left="492" w:hanging="492"/>
        <w:spacing w:after="0"/>
        <w:tabs>
          <w:tab w:leader="none" w:pos="492" w:val="left"/>
        </w:tabs>
        <w:numPr>
          <w:ilvl w:val="0"/>
          <w:numId w:val="6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Administration; Amendment; Termination</w:t>
      </w:r>
    </w:p>
    <w:p>
      <w:pPr>
        <w:spacing w:after="0" w:line="213" w:lineRule="exact"/>
        <w:rPr>
          <w:sz w:val="20"/>
          <w:szCs w:val="20"/>
          <w:color w:val="auto"/>
        </w:rPr>
      </w:pPr>
    </w:p>
    <w:p>
      <w:pPr>
        <w:jc w:val="both"/>
        <w:ind w:left="492" w:hanging="485"/>
        <w:spacing w:after="0" w:line="214" w:lineRule="auto"/>
        <w:tabs>
          <w:tab w:leader="none" w:pos="472" w:val="left"/>
        </w:tabs>
        <w:rPr>
          <w:sz w:val="20"/>
          <w:szCs w:val="20"/>
          <w:color w:val="auto"/>
        </w:rPr>
      </w:pPr>
      <w:r>
        <w:rPr>
          <w:rFonts w:ascii="Verdana" w:cs="Verdana" w:eastAsia="Verdana" w:hAnsi="Verdana"/>
          <w:sz w:val="18"/>
          <w:szCs w:val="18"/>
          <w:color w:val="auto"/>
        </w:rPr>
        <w:t>8.1</w:t>
        <w:tab/>
        <w:t>All determinations under this Policy will be made by the Committee, including determinations regarding how any recovery under this Policy is effected. Any determinations of the Committee will be final, binding and conclusive and need not be uniform with respect to each individual covered by this Policy.</w:t>
      </w:r>
    </w:p>
    <w:p>
      <w:pPr>
        <w:spacing w:after="0" w:line="198" w:lineRule="exact"/>
        <w:rPr>
          <w:sz w:val="20"/>
          <w:szCs w:val="20"/>
          <w:color w:val="auto"/>
        </w:rPr>
      </w:pPr>
    </w:p>
    <w:p>
      <w:pPr>
        <w:jc w:val="both"/>
        <w:ind w:left="492" w:right="20" w:hanging="485"/>
        <w:spacing w:after="0" w:line="225" w:lineRule="auto"/>
        <w:tabs>
          <w:tab w:leader="none" w:pos="472" w:val="left"/>
        </w:tabs>
        <w:rPr>
          <w:sz w:val="20"/>
          <w:szCs w:val="20"/>
          <w:color w:val="auto"/>
        </w:rPr>
      </w:pPr>
      <w:r>
        <w:rPr>
          <w:rFonts w:ascii="Verdana" w:cs="Verdana" w:eastAsia="Verdana" w:hAnsi="Verdana"/>
          <w:sz w:val="18"/>
          <w:szCs w:val="18"/>
          <w:color w:val="auto"/>
        </w:rPr>
        <w:t>8.2</w:t>
        <w:tab/>
        <w:t>The Committee may amend this Policy from time to time and may terminate this Policy at any time, in each case in its sole discretion.</w:t>
      </w:r>
    </w:p>
    <w:p>
      <w:pPr>
        <w:spacing w:after="0" w:line="184" w:lineRule="exact"/>
        <w:rPr>
          <w:sz w:val="20"/>
          <w:szCs w:val="20"/>
          <w:color w:val="auto"/>
        </w:rPr>
      </w:pPr>
    </w:p>
    <w:p>
      <w:pPr>
        <w:ind w:left="492" w:hanging="492"/>
        <w:spacing w:after="0"/>
        <w:tabs>
          <w:tab w:leader="none" w:pos="492" w:val="left"/>
        </w:tabs>
        <w:numPr>
          <w:ilvl w:val="0"/>
          <w:numId w:val="6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Effectiveness; Other Recoupment Rights</w:t>
      </w:r>
    </w:p>
    <w:p>
      <w:pPr>
        <w:spacing w:after="0" w:line="213" w:lineRule="exact"/>
        <w:rPr>
          <w:sz w:val="20"/>
          <w:szCs w:val="20"/>
          <w:color w:val="auto"/>
        </w:rPr>
      </w:pPr>
    </w:p>
    <w:p>
      <w:pPr>
        <w:jc w:val="both"/>
        <w:ind w:left="492" w:hanging="485"/>
        <w:spacing w:after="0" w:line="214" w:lineRule="auto"/>
        <w:tabs>
          <w:tab w:leader="none" w:pos="472" w:val="left"/>
        </w:tabs>
        <w:rPr>
          <w:sz w:val="20"/>
          <w:szCs w:val="20"/>
          <w:color w:val="auto"/>
        </w:rPr>
      </w:pPr>
      <w:r>
        <w:rPr>
          <w:rFonts w:ascii="Verdana" w:cs="Verdana" w:eastAsia="Verdana" w:hAnsi="Verdana"/>
          <w:sz w:val="18"/>
          <w:szCs w:val="18"/>
          <w:color w:val="auto"/>
        </w:rPr>
        <w:t>9.1</w:t>
        <w:tab/>
        <w:t>This Policy shall be effective as of December 1, 2023. Any right of recoupment under this Policy is in addition to, and not in lieu of, any other remedies or rights of recoupment that may be available to the Company and its subsidiaries and affiliates under applicable law or pursuant to the terms of any</w:t>
      </w:r>
    </w:p>
    <w:p>
      <w:pPr>
        <w:sectPr>
          <w:pgSz w:w="11900" w:h="16838" w:orient="portrait"/>
          <w:cols w:equalWidth="0" w:num="1">
            <w:col w:w="11232"/>
          </w:cols>
          <w:pgMar w:left="328" w:top="1440" w:right="339" w:bottom="1440" w:gutter="0" w:footer="0" w:header="0"/>
        </w:sectPr>
      </w:pPr>
    </w:p>
    <w:bookmarkStart w:id="123" w:name="page124"/>
    <w:bookmarkEnd w:id="123"/>
    <w:p>
      <w:pPr>
        <w:spacing w:after="0" w:line="328" w:lineRule="exact"/>
        <w:rPr>
          <w:sz w:val="20"/>
          <w:szCs w:val="20"/>
          <w:color w:val="auto"/>
        </w:rPr>
      </w:pPr>
    </w:p>
    <w:p>
      <w:pPr>
        <w:spacing w:after="0"/>
        <w:rPr>
          <w:sz w:val="20"/>
          <w:szCs w:val="20"/>
          <w:color w:val="auto"/>
        </w:rPr>
      </w:pPr>
      <w:r>
        <w:rPr>
          <w:rFonts w:ascii="Verdana" w:cs="Verdana" w:eastAsia="Verdana" w:hAnsi="Verdana"/>
          <w:sz w:val="17"/>
          <w:szCs w:val="17"/>
          <w:color w:val="auto"/>
        </w:rPr>
        <w:t>similar policy or similar provision in any employment agreement, equity award agreement or similar agreement.</w:t>
      </w:r>
    </w:p>
    <w:sectPr>
      <w:pgSz w:w="11900" w:h="16838" w:orient="portrait"/>
      <w:cols w:equalWidth="0" w:num="1">
        <w:col w:w="10180"/>
      </w:cols>
      <w:pgMar w:left="82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lvl w:ilvl="1">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lvl w:ilvl="1">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endash "/>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lvl w:ilvl="1">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2"/>
      <w:numFmt w:val="bullet"/>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Roman"/>
      <w:start w:val="2"/>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21"/>
    </w:lvl>
  </w:abstractNum>
  <w:abstractNum w:abstractNumId="43">
    <w:nsid w:val="4F4EF005"/>
    <w:multiLevelType w:val="hybridMultilevel"/>
    <w:lvl w:ilvl="0">
      <w:lvlJc w:val="left"/>
      <w:lvlText w:val="%1"/>
      <w:numFmt w:val="decimal"/>
      <w:start w:val="97"/>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3"/>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Roman"/>
      <w:start w:val="4"/>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decimal"/>
      <w:start w:val="1"/>
    </w:lvl>
    <w:lvl w:ilvl="1">
      <w:lvlJc w:val="left"/>
      <w:lvlText w:val="%2)"/>
      <w:numFmt w:val="lowerLetter"/>
      <w:start w:val="1"/>
    </w:lvl>
  </w:abstractNum>
  <w:abstractNum w:abstractNumId="52">
    <w:nsid w:val="354FE9F9"/>
    <w:multiLevelType w:val="hybridMultilevel"/>
    <w:lvl w:ilvl="0">
      <w:lvlJc w:val="left"/>
      <w:lvlText w:val="%1."/>
      <w:numFmt w:val="decimal"/>
      <w:start w:val="1"/>
    </w:lvl>
    <w:lvl w:ilvl="1">
      <w:lvlJc w:val="left"/>
      <w:lvlText w:val="%2)"/>
      <w:numFmt w:val="lowerLetter"/>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3"/>
    </w:lvl>
  </w:abstractNum>
  <w:abstractNum w:abstractNumId="58">
    <w:nsid w:val="61574095"/>
    <w:multiLevelType w:val="hybridMultilevel"/>
    <w:lvl w:ilvl="0">
      <w:lvlJc w:val="left"/>
      <w:lvlText w:val="%1."/>
      <w:numFmt w:val="decimal"/>
      <w:start w:val="4"/>
    </w:lvl>
  </w:abstractNum>
  <w:abstractNum w:abstractNumId="59">
    <w:nsid w:val="7E0C57B1"/>
    <w:multiLevelType w:val="hybridMultilevel"/>
    <w:lvl w:ilvl="0">
      <w:lvlJc w:val="left"/>
      <w:lvlText w:val="%1"/>
      <w:numFmt w:val="decimal"/>
      <w:start w:val="1"/>
    </w:lvl>
    <w:lvl w:ilvl="1">
      <w:lvlJc w:val="left"/>
      <w:lvlText w:val="%2."/>
      <w:numFmt w:val="upperLetter"/>
      <w:start w:val="1"/>
    </w:lvl>
  </w:abstractNum>
  <w:abstractNum w:abstractNumId="60">
    <w:nsid w:val="77AE35EB"/>
    <w:multiLevelType w:val="hybridMultilevel"/>
    <w:lvl w:ilvl="0">
      <w:lvlJc w:val="left"/>
      <w:lvlText w:val="%1."/>
      <w:numFmt w:val="decimal"/>
      <w:start w:val="5"/>
    </w:lvl>
    <w:lvl w:ilvl="1">
      <w:lvlJc w:val="left"/>
      <w:lvlText w:val="%2"/>
      <w:numFmt w:val="upperLetter"/>
      <w:start w:val="1"/>
    </w:lvl>
  </w:abstractNum>
  <w:abstractNum w:abstractNumId="61">
    <w:nsid w:val="579BE4F1"/>
    <w:multiLevelType w:val="hybridMultilevel"/>
    <w:lvl w:ilvl="0">
      <w:lvlJc w:val="left"/>
      <w:lvlText w:val="%1."/>
      <w:numFmt w:val="decimal"/>
      <w:start w:val="6"/>
    </w:lvl>
  </w:abstractNum>
  <w:abstractNum w:abstractNumId="62">
    <w:nsid w:val="310C50B3"/>
    <w:multiLevelType w:val="hybridMultilevel"/>
    <w:lvl w:ilvl="0">
      <w:lvlJc w:val="left"/>
      <w:lvlText w:val="%1."/>
      <w:numFmt w:val="decimal"/>
      <w:start w:val="7"/>
    </w:lvl>
  </w:abstractNum>
  <w:abstractNum w:abstractNumId="63">
    <w:nsid w:val="5FF87E05"/>
    <w:multiLevelType w:val="hybridMultilevel"/>
    <w:lvl w:ilvl="0">
      <w:lvlJc w:val="left"/>
      <w:lvlText w:val="%1."/>
      <w:numFmt w:val="decimal"/>
      <w:start w:val="8"/>
    </w:lvl>
  </w:abstractNum>
  <w:abstractNum w:abstractNumId="64">
    <w:nsid w:val="2F305DEF"/>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0" Type="http://schemas.openxmlformats.org/officeDocument/2006/relationships/image" Target="media/image89.png"/><Relationship Id="rId130"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96" Type="http://schemas.openxmlformats.org/officeDocument/2006/relationships/hyperlink" Target="http://www.sec.gov/Archives/edgar/data/1514991/000119312518230456/d586184dex21.htm" TargetMode="External"/><Relationship Id="rId97" Type="http://schemas.openxmlformats.org/officeDocument/2006/relationships/hyperlink" Target="http://www.sec.gov/Archives/edgar/data/1514991/000095012311063740/y91900exv99w4.htm" TargetMode="External"/><Relationship Id="rId98" Type="http://schemas.openxmlformats.org/officeDocument/2006/relationships/hyperlink" Target="http://www.sec.gov/Archives/edgar/data/1514991/000095012311063740/y91900exv99w5.htm" TargetMode="External"/><Relationship Id="rId99" Type="http://schemas.openxmlformats.org/officeDocument/2006/relationships/hyperlink" Target="http://www.sec.gov/Archives/edgar/data/1514991/000095012311056616/y91125a5exv3w5.htm" TargetMode="External"/><Relationship Id="rId100" Type="http://schemas.openxmlformats.org/officeDocument/2006/relationships/hyperlink" Target="http://www.sec.gov/Archives/edgar/data/1514991/000095012311056616/y91125a5exv3w6.htm" TargetMode="External"/><Relationship Id="rId101" Type="http://schemas.openxmlformats.org/officeDocument/2006/relationships/hyperlink" Target="http://www.sec.gov/Archives/edgar/data/1514991/000095012311063740/y91900exv99w2.htm" TargetMode="External"/><Relationship Id="rId102" Type="http://schemas.openxmlformats.org/officeDocument/2006/relationships/hyperlink" Target="http://www.sec.gov/Archives/edgar/data/1514991/000119312517240565/d435389dex41.htm" TargetMode="External"/><Relationship Id="rId103" Type="http://schemas.openxmlformats.org/officeDocument/2006/relationships/hyperlink" Target="http://www.sec.gov/Archives/edgar/data/1514991/000119312516523870/d144606dex41.htm" TargetMode="External"/><Relationship Id="rId104" Type="http://schemas.openxmlformats.org/officeDocument/2006/relationships/hyperlink" Target="http://www.sec.gov/Archives/edgar/data/1514991/000119312517240565/d435389dex42.htm" TargetMode="External"/><Relationship Id="rId105" Type="http://schemas.openxmlformats.org/officeDocument/2006/relationships/hyperlink" Target="https://www.sec.gov/Archives/edgar/data/1514991/000119312521032506/d78130dex42.htm" TargetMode="External"/><Relationship Id="rId106" Type="http://schemas.openxmlformats.org/officeDocument/2006/relationships/hyperlink" Target="https://www.sec.gov/Archives/edgar/data/1514991/000151499121000014/amcx-123120xex410.htm" TargetMode="External"/><Relationship Id="rId107" Type="http://schemas.openxmlformats.org/officeDocument/2006/relationships/hyperlink" Target="http://www.sec.gov/Archives/edgar/data/1514991/000095012311056616/y91125a5exv10w5.htm" TargetMode="External"/><Relationship Id="rId108" Type="http://schemas.openxmlformats.org/officeDocument/2006/relationships/hyperlink" Target="http://www.sec.gov/Archives/edgar/data/1514991/000119312517240565/d435389dex101.htm" TargetMode="External"/><Relationship Id="rId109" Type="http://schemas.openxmlformats.org/officeDocument/2006/relationships/hyperlink" Target="https://www.sec.gov/Archives/edgar/data/1514991/000119312521032506/d78130dex101.htm" TargetMode="External"/><Relationship Id="rId111" Type="http://schemas.openxmlformats.org/officeDocument/2006/relationships/hyperlink" Target="https://www.sec.gov/Archives/edgar/data/1514991/000151499120000033/amcx-6302020xex102.htm" TargetMode="External"/><Relationship Id="rId112" Type="http://schemas.openxmlformats.org/officeDocument/2006/relationships/hyperlink" Target="http://www.sec.gov/Archives/edgar/data/1514991/000095012311056616/y91125a5exv10w13.htm" TargetMode="External"/><Relationship Id="rId113" Type="http://schemas.openxmlformats.org/officeDocument/2006/relationships/hyperlink" Target="https://www.sec.gov/Archives/edgar/data/1514991/000119312520246295/d899294dex101.htm" TargetMode="External"/><Relationship Id="rId114" Type="http://schemas.openxmlformats.org/officeDocument/2006/relationships/hyperlink" Target="https://www.sec.gov/Archives/edgar/data/1514991/000151499121000014/amcx-123120xex109.htm" TargetMode="External"/><Relationship Id="rId115" Type="http://schemas.openxmlformats.org/officeDocument/2006/relationships/hyperlink" Target="https://www.sec.gov/Archives/edgar/data/1514991/000151499121000061/exhibit101.htm" TargetMode="External"/><Relationship Id="rId116" Type="http://schemas.openxmlformats.org/officeDocument/2006/relationships/hyperlink" Target="https://www.sec.gov/Archives/edgar/data/1514991/000151499122000043/amcx-9302022xex101.htm" TargetMode="External"/><Relationship Id="rId117" Type="http://schemas.openxmlformats.org/officeDocument/2006/relationships/hyperlink" Target="https://www.sec.gov/Archives/edgar/data/1514991/000151499122000043/amcx-9302022xex102.htm" TargetMode="External"/><Relationship Id="rId118" Type="http://schemas.openxmlformats.org/officeDocument/2006/relationships/hyperlink" Target="https://www.sec.gov/Archives/edgar/data/1514991/000151499121000061/exhibit102.htm" TargetMode="External"/><Relationship Id="rId119" Type="http://schemas.openxmlformats.org/officeDocument/2006/relationships/hyperlink" Target="https://www.sec.gov/Archives/edgar/data/1514991/000151499122000043/amcx-9302022xex103.htm" TargetMode="External"/><Relationship Id="rId120" Type="http://schemas.openxmlformats.org/officeDocument/2006/relationships/hyperlink" Target="http://www.sec.gov/Archives/edgar/data/1514991/000095012311056616/y91125a5exv10w22.htm" TargetMode="External"/><Relationship Id="rId121" Type="http://schemas.openxmlformats.org/officeDocument/2006/relationships/hyperlink" Target="http://www.sec.gov/Archives/edgar/data/1514991/000119312512347653/d392047dex104.htm" TargetMode="External"/><Relationship Id="rId122" Type="http://schemas.openxmlformats.org/officeDocument/2006/relationships/hyperlink" Target="https://www.sec.gov/Archives/edgar/data/1514991/000151499120000033/amcx-6302020xex101.htm" TargetMode="External"/><Relationship Id="rId123" Type="http://schemas.openxmlformats.org/officeDocument/2006/relationships/hyperlink" Target="http://www.sec.gov/Archives/edgar/data/1514991/000151499116000061/amcx-6302016xex101.htm" TargetMode="External"/><Relationship Id="rId124" Type="http://schemas.openxmlformats.org/officeDocument/2006/relationships/hyperlink" Target="http://www.sec.gov/Archives/edgar/data/1514991/000151499118000004/amcx-12312017xex1021.htm" TargetMode="External"/><Relationship Id="rId125" Type="http://schemas.openxmlformats.org/officeDocument/2006/relationships/hyperlink" Target="http://www.sec.gov/Archives/edgar/data/1514991/000151499118000004/amcx-12312017xex1022.htm" TargetMode="External"/><Relationship Id="rId126" Type="http://schemas.openxmlformats.org/officeDocument/2006/relationships/hyperlink" Target="https://www.sec.gov/Archives/edgar/data/1514991/000151499120000018/amcx-3312020xex101.htm" TargetMode="External"/><Relationship Id="rId127" Type="http://schemas.openxmlformats.org/officeDocument/2006/relationships/hyperlink" Target="https://www.sec.gov/Archives/edgar/data/1514991/000151499122000007/amcx-12312021xex1027.htm" TargetMode="External"/><Relationship Id="rId128" Type="http://schemas.openxmlformats.org/officeDocument/2006/relationships/hyperlink" Target="http://www.sec.gov/Archives/edgar/data/1514991/000151499119000014/amcx-3312019xex101.htm" TargetMode="External"/><Relationship Id="rId129" Type="http://schemas.openxmlformats.org/officeDocument/2006/relationships/hyperlink" Target="https://www.sec.gov/Archives/edgar/data/1514991/000151499122000028/amcx-6302022xex101.htm" TargetMode="External"/><Relationship Id="rId131" Type="http://schemas.openxmlformats.org/officeDocument/2006/relationships/hyperlink" Target="https://www.sec.gov/Archives/edgar/data/1514991/000151499122000007/amcx-12312021xex1029.htm" TargetMode="External"/><Relationship Id="rId132" Type="http://schemas.openxmlformats.org/officeDocument/2006/relationships/hyperlink" Target="https://www.sec.gov/Archives/edgar/data/1514991/000151499123000023/amcx-3312023xex101.htm" TargetMode="External"/><Relationship Id="rId133" Type="http://schemas.openxmlformats.org/officeDocument/2006/relationships/hyperlink" Target="https://www.sec.gov/Archives/edgar/data/1514991/000151499123000017/amc-amendmentno2.htm" TargetMode="External"/><Relationship Id="rId134" Type="http://schemas.openxmlformats.org/officeDocument/2006/relationships/hyperlink" Target="https://www.sec.gov/Archives/edgar/data/1514991/000151499123000033/amcx-6302023xex102.htm" TargetMode="External"/><Relationship Id="rId135" Type="http://schemas.openxmlformats.org/officeDocument/2006/relationships/hyperlink" Target="https://www.sec.gov/Archives/edgar/data/1514991/000151499123000044/amcx-9302023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2024-02-09T16:27:20Z</dcterms:created>
  <dcterms:modified xsi:type="dcterms:W3CDTF">2024-02-09T16:27:20Z</dcterms:modified>
</cp:coreProperties>
</file>