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Cohen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PENN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AMC Global Media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 Global Media Inc. 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40,206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 Global Media Inc. 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40,206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AMC Global Media Inc. 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was granted under the AMC Global Media Inc. 2011 Amended and Restated Stock Plan for Non-Employee Directors and represents a right to receive one share of Class A Common Stock or the cash equivalent thereof. The settlement of these RSUs in cash is reported on this Form 4 as a disposition of the RSUs being settled in exchange for the acquisition of the underlying shares of Class A Common Stock, and a simultaneous disposition of the shares of Class A Common Stock to the Company for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Per share value is based on the market closing price of the Class A Common Stock for September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are fully vested on the date of the grant and will be settled in cash or in stock on the first business day 90 days after a separation from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G. Kelly, Attorney-in-Fact for Joseph M. Cohen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146" TargetMode="External"/><Relationship Id="rId5" Type="http://schemas.openxmlformats.org/officeDocument/2006/relationships/hyperlink" Target="http://www.sec.gov/cgi-bin/browse-edgar?action=getcompany&amp;CIK=0001514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3908</Characters>
  <CharactersWithSpaces>4576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