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203200</wp:posOffset>
            </wp:positionV>
            <wp:extent cx="2855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131445</wp:posOffset>
            </wp:positionV>
            <wp:extent cx="2855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3980" w:right="3280" w:hanging="3101"/>
        <w:spacing w:after="0" w:line="278" w:lineRule="auto"/>
        <w:tabs>
          <w:tab w:leader="none" w:pos="1425"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193" w:lineRule="exact"/>
        <w:rPr>
          <w:sz w:val="24"/>
          <w:szCs w:val="24"/>
          <w:color w:val="auto"/>
        </w:rPr>
      </w:pPr>
    </w:p>
    <w:p>
      <w:pPr>
        <w:ind w:left="4380" w:right="3260" w:hanging="3501"/>
        <w:spacing w:after="0" w:line="298" w:lineRule="auto"/>
        <w:tabs>
          <w:tab w:leader="none" w:pos="1423"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to 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166370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AMC Networks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132080</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tbl>
      <w:tblPr>
        <w:tblLayout w:type="fixed"/>
        <w:tblInd w:w="2100" w:type="dxa"/>
        <w:tblCellMar>
          <w:top w:w="0" w:type="dxa"/>
          <w:left w:w="0" w:type="dxa"/>
          <w:bottom w:w="0" w:type="dxa"/>
          <w:right w:w="0" w:type="dxa"/>
        </w:tblCellMar>
      </w:tblPr>
      <w:tr>
        <w:trPr>
          <w:trHeight w:val="234"/>
        </w:trPr>
        <w:tc>
          <w:tcPr>
            <w:tcW w:w="2720" w:type="dxa"/>
            <w:vAlign w:val="bottom"/>
          </w:tcPr>
          <w:p>
            <w:pPr>
              <w:jc w:val="center"/>
              <w:ind w:right="279"/>
              <w:spacing w:after="0"/>
              <w:rPr>
                <w:sz w:val="20"/>
                <w:szCs w:val="20"/>
                <w:color w:val="auto"/>
              </w:rPr>
            </w:pPr>
            <w:r>
              <w:rPr>
                <w:rFonts w:ascii="Arial" w:cs="Arial" w:eastAsia="Arial" w:hAnsi="Arial"/>
                <w:sz w:val="18"/>
                <w:szCs w:val="18"/>
                <w:b w:val="1"/>
                <w:bCs w:val="1"/>
                <w:color w:val="auto"/>
                <w:w w:val="91"/>
              </w:rPr>
              <w:t>Delaware</w:t>
            </w:r>
          </w:p>
        </w:tc>
        <w:tc>
          <w:tcPr>
            <w:tcW w:w="3880" w:type="dxa"/>
            <w:vAlign w:val="bottom"/>
          </w:tcPr>
          <w:p>
            <w:pPr>
              <w:jc w:val="right"/>
              <w:ind w:right="39"/>
              <w:spacing w:after="0"/>
              <w:rPr>
                <w:sz w:val="20"/>
                <w:szCs w:val="20"/>
                <w:color w:val="auto"/>
              </w:rPr>
            </w:pPr>
            <w:r>
              <w:rPr>
                <w:rFonts w:ascii="Arial" w:cs="Arial" w:eastAsia="Arial" w:hAnsi="Arial"/>
                <w:sz w:val="18"/>
                <w:szCs w:val="18"/>
                <w:b w:val="1"/>
                <w:bCs w:val="1"/>
                <w:color w:val="auto"/>
              </w:rPr>
              <w:t>27-5403694</w:t>
            </w:r>
          </w:p>
        </w:tc>
      </w:tr>
      <w:tr>
        <w:trPr>
          <w:trHeight w:val="180"/>
        </w:trPr>
        <w:tc>
          <w:tcPr>
            <w:tcW w:w="2720" w:type="dxa"/>
            <w:vAlign w:val="bottom"/>
          </w:tcPr>
          <w:p>
            <w:pPr>
              <w:jc w:val="center"/>
              <w:ind w:right="279"/>
              <w:spacing w:after="0"/>
              <w:rPr>
                <w:sz w:val="20"/>
                <w:szCs w:val="20"/>
                <w:color w:val="auto"/>
              </w:rPr>
            </w:pPr>
            <w:r>
              <w:rPr>
                <w:rFonts w:ascii="Arial" w:cs="Arial" w:eastAsia="Arial" w:hAnsi="Arial"/>
                <w:sz w:val="14"/>
                <w:szCs w:val="14"/>
                <w:b w:val="1"/>
                <w:bCs w:val="1"/>
                <w:color w:val="auto"/>
                <w:w w:val="93"/>
              </w:rPr>
              <w:t>(State or other jurisdiction of</w:t>
            </w:r>
          </w:p>
        </w:tc>
        <w:tc>
          <w:tcPr>
            <w:tcW w:w="3880" w:type="dxa"/>
            <w:vAlign w:val="bottom"/>
          </w:tcPr>
          <w:p>
            <w:pPr>
              <w:jc w:val="center"/>
              <w:ind w:left="267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20" w:type="dxa"/>
            <w:vAlign w:val="bottom"/>
          </w:tcPr>
          <w:p>
            <w:pPr>
              <w:jc w:val="center"/>
              <w:ind w:right="279"/>
              <w:spacing w:after="0"/>
              <w:rPr>
                <w:sz w:val="20"/>
                <w:szCs w:val="20"/>
                <w:color w:val="auto"/>
              </w:rPr>
            </w:pPr>
            <w:r>
              <w:rPr>
                <w:rFonts w:ascii="Arial" w:cs="Arial" w:eastAsia="Arial" w:hAnsi="Arial"/>
                <w:sz w:val="14"/>
                <w:szCs w:val="14"/>
                <w:b w:val="1"/>
                <w:bCs w:val="1"/>
                <w:color w:val="auto"/>
                <w:w w:val="94"/>
              </w:rPr>
              <w:t>incorporation or organization)</w:t>
            </w:r>
          </w:p>
        </w:tc>
        <w:tc>
          <w:tcPr>
            <w:tcW w:w="3880" w:type="dxa"/>
            <w:vAlign w:val="bottom"/>
          </w:tcPr>
          <w:p>
            <w:pPr>
              <w:jc w:val="center"/>
              <w:ind w:left="267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2720" w:type="dxa"/>
            <w:vAlign w:val="bottom"/>
          </w:tcPr>
          <w:p>
            <w:pPr>
              <w:jc w:val="center"/>
              <w:ind w:right="279"/>
              <w:spacing w:after="0"/>
              <w:rPr>
                <w:sz w:val="20"/>
                <w:szCs w:val="20"/>
                <w:color w:val="auto"/>
              </w:rPr>
            </w:pPr>
            <w:r>
              <w:rPr>
                <w:rFonts w:ascii="Arial" w:cs="Arial" w:eastAsia="Arial" w:hAnsi="Arial"/>
                <w:sz w:val="18"/>
                <w:szCs w:val="18"/>
                <w:b w:val="1"/>
                <w:bCs w:val="1"/>
                <w:color w:val="auto"/>
                <w:w w:val="89"/>
              </w:rPr>
              <w:t>11 Penn Plaza,</w:t>
            </w:r>
          </w:p>
        </w:tc>
        <w:tc>
          <w:tcPr>
            <w:tcW w:w="3880" w:type="dxa"/>
            <w:vAlign w:val="bottom"/>
          </w:tcPr>
          <w:p>
            <w:pPr>
              <w:spacing w:after="0"/>
              <w:rPr>
                <w:sz w:val="24"/>
                <w:szCs w:val="24"/>
                <w:color w:val="auto"/>
              </w:rPr>
            </w:pPr>
          </w:p>
        </w:tc>
      </w:tr>
      <w:tr>
        <w:trPr>
          <w:trHeight w:val="270"/>
        </w:trPr>
        <w:tc>
          <w:tcPr>
            <w:tcW w:w="2720" w:type="dxa"/>
            <w:vAlign w:val="bottom"/>
          </w:tcPr>
          <w:p>
            <w:pPr>
              <w:ind w:left="340"/>
              <w:spacing w:after="0"/>
              <w:rPr>
                <w:sz w:val="20"/>
                <w:szCs w:val="20"/>
                <w:color w:val="auto"/>
              </w:rPr>
            </w:pPr>
            <w:r>
              <w:rPr>
                <w:rFonts w:ascii="Arial" w:cs="Arial" w:eastAsia="Arial" w:hAnsi="Arial"/>
                <w:sz w:val="18"/>
                <w:szCs w:val="18"/>
                <w:b w:val="1"/>
                <w:bCs w:val="1"/>
                <w:color w:val="auto"/>
              </w:rPr>
              <w:t>New York, NY</w:t>
            </w:r>
          </w:p>
        </w:tc>
        <w:tc>
          <w:tcPr>
            <w:tcW w:w="3880" w:type="dxa"/>
            <w:vAlign w:val="bottom"/>
          </w:tcPr>
          <w:p>
            <w:pPr>
              <w:jc w:val="right"/>
              <w:ind w:right="239"/>
              <w:spacing w:after="0"/>
              <w:rPr>
                <w:sz w:val="20"/>
                <w:szCs w:val="20"/>
                <w:color w:val="auto"/>
              </w:rPr>
            </w:pPr>
            <w:r>
              <w:rPr>
                <w:rFonts w:ascii="Arial" w:cs="Arial" w:eastAsia="Arial" w:hAnsi="Arial"/>
                <w:sz w:val="18"/>
                <w:szCs w:val="18"/>
                <w:b w:val="1"/>
                <w:bCs w:val="1"/>
                <w:color w:val="auto"/>
              </w:rPr>
              <w:t>10001</w:t>
            </w:r>
          </w:p>
        </w:tc>
      </w:tr>
      <w:tr>
        <w:trPr>
          <w:trHeight w:val="218"/>
        </w:trPr>
        <w:tc>
          <w:tcPr>
            <w:tcW w:w="2720" w:type="dxa"/>
            <w:vAlign w:val="bottom"/>
          </w:tcPr>
          <w:p>
            <w:pPr>
              <w:jc w:val="center"/>
              <w:ind w:right="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80" w:type="dxa"/>
            <w:vAlign w:val="bottom"/>
          </w:tcPr>
          <w:p>
            <w:pPr>
              <w:jc w:val="center"/>
              <w:ind w:left="2699"/>
              <w:spacing w:after="0"/>
              <w:rPr>
                <w:sz w:val="20"/>
                <w:szCs w:val="20"/>
                <w:color w:val="auto"/>
              </w:rPr>
            </w:pPr>
            <w:r>
              <w:rPr>
                <w:rFonts w:ascii="Arial" w:cs="Arial" w:eastAsia="Arial" w:hAnsi="Arial"/>
                <w:sz w:val="14"/>
                <w:szCs w:val="14"/>
                <w:b w:val="1"/>
                <w:bCs w:val="1"/>
                <w:color w:val="auto"/>
                <w:w w:val="95"/>
              </w:rPr>
              <w:t>(Zip Code)</w:t>
            </w:r>
          </w:p>
        </w:tc>
      </w:tr>
      <w:tr>
        <w:trPr>
          <w:trHeight w:val="275"/>
        </w:trPr>
        <w:tc>
          <w:tcPr>
            <w:tcW w:w="2720" w:type="dxa"/>
            <w:vAlign w:val="bottom"/>
          </w:tcPr>
          <w:p>
            <w:pPr>
              <w:spacing w:after="0"/>
              <w:rPr>
                <w:sz w:val="23"/>
                <w:szCs w:val="23"/>
                <w:color w:val="auto"/>
              </w:rPr>
            </w:pPr>
          </w:p>
        </w:tc>
        <w:tc>
          <w:tcPr>
            <w:tcW w:w="3880" w:type="dxa"/>
            <w:vAlign w:val="bottom"/>
          </w:tcPr>
          <w:p>
            <w:pPr>
              <w:jc w:val="right"/>
              <w:ind w:right="2339"/>
              <w:spacing w:after="0"/>
              <w:rPr>
                <w:sz w:val="20"/>
                <w:szCs w:val="20"/>
                <w:color w:val="auto"/>
              </w:rPr>
            </w:pPr>
            <w:r>
              <w:rPr>
                <w:rFonts w:ascii="Arial" w:cs="Arial" w:eastAsia="Arial" w:hAnsi="Arial"/>
                <w:sz w:val="18"/>
                <w:szCs w:val="18"/>
                <w:b w:val="1"/>
                <w:bCs w:val="1"/>
                <w:color w:val="auto"/>
              </w:rPr>
              <w:t>(212) 324-8500</w:t>
            </w: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56" w:lineRule="exact"/>
        <w:rPr>
          <w:sz w:val="24"/>
          <w:szCs w:val="24"/>
          <w:color w:val="auto"/>
        </w:rPr>
      </w:pPr>
    </w:p>
    <w:tbl>
      <w:tblPr>
        <w:tblLayout w:type="fixed"/>
        <w:tblInd w:w="540" w:type="dxa"/>
        <w:tblCellMar>
          <w:top w:w="0" w:type="dxa"/>
          <w:left w:w="0" w:type="dxa"/>
          <w:bottom w:w="0" w:type="dxa"/>
          <w:right w:w="0" w:type="dxa"/>
        </w:tblCellMar>
      </w:tblPr>
      <w:tr>
        <w:trPr>
          <w:trHeight w:val="210"/>
        </w:trPr>
        <w:tc>
          <w:tcPr>
            <w:tcW w:w="36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Title of each class</w:t>
            </w:r>
          </w:p>
        </w:tc>
        <w:tc>
          <w:tcPr>
            <w:tcW w:w="2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Trading Symbol(s)</w:t>
            </w:r>
          </w:p>
        </w:tc>
        <w:tc>
          <w:tcPr>
            <w:tcW w:w="3700" w:type="dxa"/>
            <w:vAlign w:val="bottom"/>
            <w:gridSpan w:val="2"/>
          </w:tcPr>
          <w:p>
            <w:pPr>
              <w:ind w:left="68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57"/>
        </w:trPr>
        <w:tc>
          <w:tcPr>
            <w:tcW w:w="3680" w:type="dxa"/>
            <w:vAlign w:val="bottom"/>
            <w:gridSpan w:val="2"/>
          </w:tcPr>
          <w:p>
            <w:pPr>
              <w:jc w:val="center"/>
              <w:ind w:right="400"/>
              <w:spacing w:after="0"/>
              <w:rPr>
                <w:sz w:val="20"/>
                <w:szCs w:val="20"/>
                <w:color w:val="auto"/>
              </w:rPr>
            </w:pPr>
            <w:r>
              <w:rPr>
                <w:rFonts w:ascii="Arial" w:cs="Arial" w:eastAsia="Arial" w:hAnsi="Arial"/>
                <w:sz w:val="16"/>
                <w:szCs w:val="16"/>
                <w:color w:val="auto"/>
                <w:w w:val="91"/>
              </w:rPr>
              <w:t>Class A Common Stock, par value $0.01 per share</w:t>
            </w:r>
          </w:p>
        </w:tc>
        <w:tc>
          <w:tcPr>
            <w:tcW w:w="2400" w:type="dxa"/>
            <w:vAlign w:val="bottom"/>
          </w:tcPr>
          <w:p>
            <w:pPr>
              <w:jc w:val="center"/>
              <w:ind w:right="199"/>
              <w:spacing w:after="0"/>
              <w:rPr>
                <w:sz w:val="20"/>
                <w:szCs w:val="20"/>
                <w:color w:val="auto"/>
              </w:rPr>
            </w:pPr>
            <w:r>
              <w:rPr>
                <w:rFonts w:ascii="Arial" w:cs="Arial" w:eastAsia="Arial" w:hAnsi="Arial"/>
                <w:sz w:val="16"/>
                <w:szCs w:val="16"/>
                <w:color w:val="auto"/>
              </w:rPr>
              <w:t>AMCX</w:t>
            </w:r>
          </w:p>
        </w:tc>
        <w:tc>
          <w:tcPr>
            <w:tcW w:w="3700" w:type="dxa"/>
            <w:vAlign w:val="bottom"/>
            <w:gridSpan w:val="2"/>
          </w:tcPr>
          <w:p>
            <w:pPr>
              <w:ind w:left="880"/>
              <w:spacing w:after="0"/>
              <w:rPr>
                <w:sz w:val="20"/>
                <w:szCs w:val="20"/>
                <w:color w:val="auto"/>
              </w:rPr>
            </w:pPr>
            <w:r>
              <w:rPr>
                <w:rFonts w:ascii="Arial" w:cs="Arial" w:eastAsia="Arial" w:hAnsi="Arial"/>
                <w:sz w:val="16"/>
                <w:szCs w:val="16"/>
                <w:color w:val="auto"/>
              </w:rPr>
              <w:t>The  NASDAQ  Stock Market LLC</w:t>
            </w:r>
          </w:p>
        </w:tc>
      </w:tr>
      <w:tr>
        <w:trPr>
          <w:trHeight w:val="168"/>
        </w:trPr>
        <w:tc>
          <w:tcPr>
            <w:tcW w:w="29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360" w:type="dxa"/>
            <w:vAlign w:val="bottom"/>
          </w:tcPr>
          <w:p>
            <w:pPr>
              <w:spacing w:after="0"/>
              <w:rPr>
                <w:sz w:val="14"/>
                <w:szCs w:val="14"/>
                <w:color w:val="auto"/>
              </w:rPr>
            </w:pPr>
          </w:p>
        </w:tc>
      </w:tr>
    </w:tbl>
    <w:p>
      <w:pPr>
        <w:spacing w:after="0" w:line="27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w:t>
      </w:r>
    </w:p>
    <w:tbl>
      <w:tblPr>
        <w:tblLayout w:type="fixed"/>
        <w:tblInd w:w="0" w:type="dxa"/>
        <w:tblCellMar>
          <w:top w:w="0" w:type="dxa"/>
          <w:left w:w="0" w:type="dxa"/>
          <w:bottom w:w="0" w:type="dxa"/>
          <w:right w:w="0" w:type="dxa"/>
        </w:tblCellMar>
      </w:tblPr>
      <w:tr>
        <w:trPr>
          <w:trHeight w:val="176"/>
        </w:trPr>
        <w:tc>
          <w:tcPr>
            <w:tcW w:w="800" w:type="dxa"/>
            <w:vAlign w:val="bottom"/>
          </w:tcPr>
          <w:p>
            <w:pPr>
              <w:spacing w:after="0" w:line="176" w:lineRule="exact"/>
              <w:rPr>
                <w:sz w:val="20"/>
                <w:szCs w:val="20"/>
                <w:color w:val="auto"/>
              </w:rPr>
            </w:pPr>
            <w:r>
              <w:rPr>
                <w:rFonts w:ascii="Arial" w:cs="Arial" w:eastAsia="Arial" w:hAnsi="Arial"/>
                <w:sz w:val="16"/>
                <w:szCs w:val="16"/>
                <w:color w:val="auto"/>
              </w:rPr>
              <w:t>12 months</w:t>
            </w:r>
          </w:p>
        </w:tc>
        <w:tc>
          <w:tcPr>
            <w:tcW w:w="280" w:type="dxa"/>
            <w:vAlign w:val="bottom"/>
          </w:tcPr>
          <w:p>
            <w:pPr>
              <w:jc w:val="center"/>
              <w:spacing w:after="0" w:line="176" w:lineRule="exact"/>
              <w:rPr>
                <w:sz w:val="20"/>
                <w:szCs w:val="20"/>
                <w:color w:val="auto"/>
              </w:rPr>
            </w:pPr>
            <w:r>
              <w:rPr>
                <w:rFonts w:ascii="Arial" w:cs="Arial" w:eastAsia="Arial" w:hAnsi="Arial"/>
                <w:sz w:val="16"/>
                <w:szCs w:val="16"/>
                <w:color w:val="auto"/>
                <w:w w:val="91"/>
              </w:rPr>
              <w:t>(or</w:t>
            </w:r>
          </w:p>
        </w:tc>
        <w:tc>
          <w:tcPr>
            <w:tcW w:w="240" w:type="dxa"/>
            <w:vAlign w:val="bottom"/>
          </w:tcPr>
          <w:p>
            <w:pPr>
              <w:ind w:left="40"/>
              <w:spacing w:after="0" w:line="176" w:lineRule="exact"/>
              <w:rPr>
                <w:sz w:val="20"/>
                <w:szCs w:val="20"/>
                <w:color w:val="auto"/>
              </w:rPr>
            </w:pPr>
            <w:r>
              <w:rPr>
                <w:rFonts w:ascii="Arial" w:cs="Arial" w:eastAsia="Arial" w:hAnsi="Arial"/>
                <w:sz w:val="16"/>
                <w:szCs w:val="16"/>
                <w:color w:val="auto"/>
                <w:w w:val="96"/>
              </w:rPr>
              <w:t>for</w:t>
            </w:r>
          </w:p>
        </w:tc>
        <w:tc>
          <w:tcPr>
            <w:tcW w:w="4320" w:type="dxa"/>
            <w:vAlign w:val="bottom"/>
          </w:tcPr>
          <w:p>
            <w:pPr>
              <w:ind w:left="80"/>
              <w:spacing w:after="0" w:line="176" w:lineRule="exact"/>
              <w:rPr>
                <w:sz w:val="20"/>
                <w:szCs w:val="20"/>
                <w:color w:val="auto"/>
              </w:rPr>
            </w:pPr>
            <w:r>
              <w:rPr>
                <w:rFonts w:ascii="Arial" w:cs="Arial" w:eastAsia="Arial" w:hAnsi="Arial"/>
                <w:sz w:val="16"/>
                <w:szCs w:val="16"/>
                <w:color w:val="auto"/>
              </w:rPr>
              <w:t>such shorter period that the registrant was required to file</w:t>
            </w:r>
          </w:p>
        </w:tc>
        <w:tc>
          <w:tcPr>
            <w:tcW w:w="1680" w:type="dxa"/>
            <w:vAlign w:val="bottom"/>
          </w:tcPr>
          <w:p>
            <w:pPr>
              <w:ind w:left="40"/>
              <w:spacing w:after="0" w:line="176" w:lineRule="exact"/>
              <w:rPr>
                <w:sz w:val="20"/>
                <w:szCs w:val="20"/>
                <w:color w:val="auto"/>
              </w:rPr>
            </w:pPr>
            <w:r>
              <w:rPr>
                <w:rFonts w:ascii="Arial" w:cs="Arial" w:eastAsia="Arial" w:hAnsi="Arial"/>
                <w:sz w:val="16"/>
                <w:szCs w:val="16"/>
                <w:color w:val="auto"/>
              </w:rPr>
              <w:t>such reports), and (2)</w:t>
            </w:r>
          </w:p>
        </w:tc>
        <w:tc>
          <w:tcPr>
            <w:tcW w:w="660" w:type="dxa"/>
            <w:vAlign w:val="bottom"/>
          </w:tcPr>
          <w:p>
            <w:pPr>
              <w:spacing w:after="0" w:line="176" w:lineRule="exact"/>
              <w:rPr>
                <w:sz w:val="20"/>
                <w:szCs w:val="20"/>
                <w:color w:val="auto"/>
              </w:rPr>
            </w:pPr>
            <w:r>
              <w:rPr>
                <w:rFonts w:ascii="Arial" w:cs="Arial" w:eastAsia="Arial" w:hAnsi="Arial"/>
                <w:sz w:val="16"/>
                <w:szCs w:val="16"/>
                <w:color w:val="auto"/>
                <w:w w:val="97"/>
              </w:rPr>
              <w:t>has been</w:t>
            </w:r>
          </w:p>
        </w:tc>
        <w:tc>
          <w:tcPr>
            <w:tcW w:w="740" w:type="dxa"/>
            <w:vAlign w:val="bottom"/>
          </w:tcPr>
          <w:p>
            <w:pPr>
              <w:ind w:left="60"/>
              <w:spacing w:after="0" w:line="176" w:lineRule="exact"/>
              <w:rPr>
                <w:sz w:val="20"/>
                <w:szCs w:val="20"/>
                <w:color w:val="auto"/>
              </w:rPr>
            </w:pPr>
            <w:r>
              <w:rPr>
                <w:rFonts w:ascii="Arial" w:cs="Arial" w:eastAsia="Arial" w:hAnsi="Arial"/>
                <w:sz w:val="16"/>
                <w:szCs w:val="16"/>
                <w:color w:val="auto"/>
                <w:w w:val="96"/>
              </w:rPr>
              <w:t>subject to</w:t>
            </w:r>
          </w:p>
        </w:tc>
        <w:tc>
          <w:tcPr>
            <w:tcW w:w="900" w:type="dxa"/>
            <w:vAlign w:val="bottom"/>
          </w:tcPr>
          <w:p>
            <w:pPr>
              <w:jc w:val="center"/>
              <w:spacing w:after="0" w:line="176" w:lineRule="exact"/>
              <w:rPr>
                <w:sz w:val="20"/>
                <w:szCs w:val="20"/>
                <w:color w:val="auto"/>
              </w:rPr>
            </w:pPr>
            <w:r>
              <w:rPr>
                <w:rFonts w:ascii="Arial" w:cs="Arial" w:eastAsia="Arial" w:hAnsi="Arial"/>
                <w:sz w:val="16"/>
                <w:szCs w:val="16"/>
                <w:color w:val="auto"/>
              </w:rPr>
              <w:t>such filing</w:t>
            </w:r>
          </w:p>
        </w:tc>
        <w:tc>
          <w:tcPr>
            <w:tcW w:w="920" w:type="dxa"/>
            <w:vAlign w:val="bottom"/>
          </w:tcPr>
          <w:p>
            <w:pPr>
              <w:ind w:left="20"/>
              <w:spacing w:after="0" w:line="176" w:lineRule="exact"/>
              <w:rPr>
                <w:sz w:val="20"/>
                <w:szCs w:val="20"/>
                <w:color w:val="auto"/>
              </w:rPr>
            </w:pPr>
            <w:r>
              <w:rPr>
                <w:rFonts w:ascii="Arial" w:cs="Arial" w:eastAsia="Arial" w:hAnsi="Arial"/>
                <w:sz w:val="16"/>
                <w:szCs w:val="16"/>
                <w:color w:val="auto"/>
                <w:w w:val="94"/>
              </w:rPr>
              <w:t>requirements</w:t>
            </w:r>
          </w:p>
        </w:tc>
        <w:tc>
          <w:tcPr>
            <w:tcW w:w="540" w:type="dxa"/>
            <w:vAlign w:val="bottom"/>
          </w:tcPr>
          <w:p>
            <w:pPr>
              <w:ind w:left="40"/>
              <w:spacing w:after="0" w:line="176" w:lineRule="exact"/>
              <w:rPr>
                <w:sz w:val="20"/>
                <w:szCs w:val="20"/>
                <w:color w:val="auto"/>
              </w:rPr>
            </w:pPr>
            <w:r>
              <w:rPr>
                <w:rFonts w:ascii="Arial" w:cs="Arial" w:eastAsia="Arial" w:hAnsi="Arial"/>
                <w:sz w:val="16"/>
                <w:szCs w:val="16"/>
                <w:color w:val="auto"/>
              </w:rPr>
              <w:t>for the</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past</w:t>
            </w:r>
          </w:p>
        </w:tc>
      </w:tr>
      <w:tr>
        <w:trPr>
          <w:trHeight w:val="254"/>
        </w:trPr>
        <w:tc>
          <w:tcPr>
            <w:tcW w:w="1320" w:type="dxa"/>
            <w:vAlign w:val="bottom"/>
            <w:gridSpan w:val="3"/>
          </w:tcPr>
          <w:p>
            <w:pPr>
              <w:spacing w:after="0" w:line="184" w:lineRule="exact"/>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p>
        </w:tc>
        <w:tc>
          <w:tcPr>
            <w:tcW w:w="432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1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316"/>
        </w:trPr>
        <w:tc>
          <w:tcPr>
            <w:tcW w:w="10540" w:type="dxa"/>
            <w:vAlign w:val="bottom"/>
            <w:gridSpan w:val="9"/>
          </w:tcPr>
          <w:p>
            <w:pPr>
              <w:spacing w:after="0"/>
              <w:rPr>
                <w:sz w:val="20"/>
                <w:szCs w:val="20"/>
                <w:color w:val="auto"/>
              </w:rPr>
            </w:pPr>
            <w:r>
              <w:rPr>
                <w:rFonts w:ascii="Arial" w:cs="Arial" w:eastAsia="Arial" w:hAnsi="Arial"/>
                <w:sz w:val="16"/>
                <w:szCs w:val="16"/>
                <w:color w:val="auto"/>
                <w:w w:val="99"/>
              </w:rPr>
              <w:t>Indicate by check mark whether the registrant has submitted electronically every Interactive Data File required to be submitted and posted pursuant to</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Rule 405 of</w:t>
            </w:r>
          </w:p>
        </w:tc>
      </w:tr>
      <w:tr>
        <w:trPr>
          <w:trHeight w:val="159"/>
        </w:trPr>
        <w:tc>
          <w:tcPr>
            <w:tcW w:w="800" w:type="dxa"/>
            <w:vAlign w:val="bottom"/>
          </w:tcPr>
          <w:p>
            <w:pPr>
              <w:spacing w:after="0" w:line="159" w:lineRule="exact"/>
              <w:rPr>
                <w:sz w:val="20"/>
                <w:szCs w:val="20"/>
                <w:color w:val="auto"/>
              </w:rPr>
            </w:pPr>
            <w:r>
              <w:rPr>
                <w:rFonts w:ascii="Arial" w:cs="Arial" w:eastAsia="Arial" w:hAnsi="Arial"/>
                <w:sz w:val="16"/>
                <w:szCs w:val="16"/>
                <w:color w:val="auto"/>
              </w:rPr>
              <w:t>Regulation</w:t>
            </w:r>
          </w:p>
        </w:tc>
        <w:tc>
          <w:tcPr>
            <w:tcW w:w="280" w:type="dxa"/>
            <w:vAlign w:val="bottom"/>
          </w:tcPr>
          <w:p>
            <w:pPr>
              <w:jc w:val="center"/>
              <w:spacing w:after="0" w:line="159" w:lineRule="exact"/>
              <w:rPr>
                <w:sz w:val="20"/>
                <w:szCs w:val="20"/>
                <w:color w:val="auto"/>
              </w:rPr>
            </w:pPr>
            <w:r>
              <w:rPr>
                <w:rFonts w:ascii="Arial" w:cs="Arial" w:eastAsia="Arial" w:hAnsi="Arial"/>
                <w:sz w:val="16"/>
                <w:szCs w:val="16"/>
                <w:color w:val="auto"/>
              </w:rPr>
              <w:t>S-T</w:t>
            </w:r>
          </w:p>
        </w:tc>
        <w:tc>
          <w:tcPr>
            <w:tcW w:w="4560" w:type="dxa"/>
            <w:vAlign w:val="bottom"/>
            <w:gridSpan w:val="2"/>
          </w:tcPr>
          <w:p>
            <w:pPr>
              <w:ind w:left="60"/>
              <w:spacing w:after="0" w:line="159" w:lineRule="exact"/>
              <w:rPr>
                <w:sz w:val="20"/>
                <w:szCs w:val="20"/>
                <w:color w:val="auto"/>
              </w:rPr>
            </w:pPr>
            <w:r>
              <w:rPr>
                <w:rFonts w:ascii="Arial" w:cs="Arial" w:eastAsia="Arial" w:hAnsi="Arial"/>
                <w:sz w:val="16"/>
                <w:szCs w:val="16"/>
                <w:color w:val="auto"/>
              </w:rPr>
              <w:t>(§232.405 of this chapter) during the preceding 12 months (or</w:t>
            </w:r>
          </w:p>
        </w:tc>
        <w:tc>
          <w:tcPr>
            <w:tcW w:w="1680" w:type="dxa"/>
            <w:vAlign w:val="bottom"/>
          </w:tcPr>
          <w:p>
            <w:pPr>
              <w:ind w:left="40"/>
              <w:spacing w:after="0" w:line="159" w:lineRule="exact"/>
              <w:rPr>
                <w:sz w:val="20"/>
                <w:szCs w:val="20"/>
                <w:color w:val="auto"/>
              </w:rPr>
            </w:pPr>
            <w:r>
              <w:rPr>
                <w:rFonts w:ascii="Arial" w:cs="Arial" w:eastAsia="Arial" w:hAnsi="Arial"/>
                <w:sz w:val="16"/>
                <w:szCs w:val="16"/>
                <w:color w:val="auto"/>
              </w:rPr>
              <w:t>for such shorter period</w:t>
            </w:r>
          </w:p>
        </w:tc>
        <w:tc>
          <w:tcPr>
            <w:tcW w:w="660" w:type="dxa"/>
            <w:vAlign w:val="bottom"/>
          </w:tcPr>
          <w:p>
            <w:pPr>
              <w:ind w:left="80"/>
              <w:spacing w:after="0" w:line="159" w:lineRule="exact"/>
              <w:rPr>
                <w:sz w:val="20"/>
                <w:szCs w:val="20"/>
                <w:color w:val="auto"/>
              </w:rPr>
            </w:pPr>
            <w:r>
              <w:rPr>
                <w:rFonts w:ascii="Arial" w:cs="Arial" w:eastAsia="Arial" w:hAnsi="Arial"/>
                <w:sz w:val="16"/>
                <w:szCs w:val="16"/>
                <w:color w:val="auto"/>
              </w:rPr>
              <w:t>that the</w:t>
            </w:r>
          </w:p>
        </w:tc>
        <w:tc>
          <w:tcPr>
            <w:tcW w:w="740" w:type="dxa"/>
            <w:vAlign w:val="bottom"/>
          </w:tcPr>
          <w:p>
            <w:pPr>
              <w:ind w:left="40"/>
              <w:spacing w:after="0" w:line="159" w:lineRule="exact"/>
              <w:rPr>
                <w:sz w:val="20"/>
                <w:szCs w:val="20"/>
                <w:color w:val="auto"/>
              </w:rPr>
            </w:pPr>
            <w:r>
              <w:rPr>
                <w:rFonts w:ascii="Arial" w:cs="Arial" w:eastAsia="Arial" w:hAnsi="Arial"/>
                <w:sz w:val="16"/>
                <w:szCs w:val="16"/>
                <w:color w:val="auto"/>
              </w:rPr>
              <w:t>registrant</w:t>
            </w:r>
          </w:p>
        </w:tc>
        <w:tc>
          <w:tcPr>
            <w:tcW w:w="900" w:type="dxa"/>
            <w:vAlign w:val="bottom"/>
          </w:tcPr>
          <w:p>
            <w:pPr>
              <w:jc w:val="center"/>
              <w:spacing w:after="0" w:line="159" w:lineRule="exact"/>
              <w:rPr>
                <w:sz w:val="20"/>
                <w:szCs w:val="20"/>
                <w:color w:val="auto"/>
              </w:rPr>
            </w:pPr>
            <w:r>
              <w:rPr>
                <w:rFonts w:ascii="Arial" w:cs="Arial" w:eastAsia="Arial" w:hAnsi="Arial"/>
                <w:sz w:val="16"/>
                <w:szCs w:val="16"/>
                <w:color w:val="auto"/>
                <w:w w:val="96"/>
              </w:rPr>
              <w:t>was required</w:t>
            </w:r>
          </w:p>
        </w:tc>
        <w:tc>
          <w:tcPr>
            <w:tcW w:w="1460" w:type="dxa"/>
            <w:vAlign w:val="bottom"/>
            <w:gridSpan w:val="2"/>
          </w:tcPr>
          <w:p>
            <w:pPr>
              <w:ind w:left="80"/>
              <w:spacing w:after="0" w:line="159" w:lineRule="exact"/>
              <w:rPr>
                <w:sz w:val="20"/>
                <w:szCs w:val="20"/>
                <w:color w:val="auto"/>
              </w:rPr>
            </w:pPr>
            <w:r>
              <w:rPr>
                <w:rFonts w:ascii="Arial" w:cs="Arial" w:eastAsia="Arial" w:hAnsi="Arial"/>
                <w:sz w:val="16"/>
                <w:szCs w:val="16"/>
                <w:color w:val="auto"/>
              </w:rPr>
              <w:t>to submit and post</w:t>
            </w:r>
          </w:p>
        </w:tc>
        <w:tc>
          <w:tcPr>
            <w:tcW w:w="340" w:type="dxa"/>
            <w:vAlign w:val="bottom"/>
          </w:tcPr>
          <w:p>
            <w:pPr>
              <w:jc w:val="right"/>
              <w:spacing w:after="0" w:line="159" w:lineRule="exact"/>
              <w:rPr>
                <w:sz w:val="20"/>
                <w:szCs w:val="20"/>
                <w:color w:val="auto"/>
              </w:rPr>
            </w:pPr>
            <w:r>
              <w:rPr>
                <w:rFonts w:ascii="Arial" w:cs="Arial" w:eastAsia="Arial" w:hAnsi="Arial"/>
                <w:sz w:val="16"/>
                <w:szCs w:val="16"/>
                <w:color w:val="auto"/>
                <w:w w:val="94"/>
              </w:rPr>
              <w:t>such</w:t>
            </w:r>
          </w:p>
        </w:tc>
      </w:tr>
      <w:tr>
        <w:trPr>
          <w:trHeight w:val="254"/>
        </w:trPr>
        <w:tc>
          <w:tcPr>
            <w:tcW w:w="800" w:type="dxa"/>
            <w:vAlign w:val="bottom"/>
          </w:tcPr>
          <w:p>
            <w:pPr>
              <w:spacing w:after="0"/>
              <w:rPr>
                <w:sz w:val="20"/>
                <w:szCs w:val="20"/>
                <w:color w:val="auto"/>
              </w:rPr>
            </w:pPr>
            <w:r>
              <w:rPr>
                <w:rFonts w:ascii="Arial" w:cs="Arial" w:eastAsia="Arial" w:hAnsi="Arial"/>
                <w:sz w:val="16"/>
                <w:szCs w:val="16"/>
                <w:color w:val="auto"/>
              </w:rPr>
              <w:t>files).  Yes</w:t>
            </w:r>
          </w:p>
        </w:tc>
        <w:tc>
          <w:tcPr>
            <w:tcW w:w="2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4560" w:type="dxa"/>
            <w:vAlign w:val="bottom"/>
            <w:gridSpan w:val="2"/>
          </w:tcPr>
          <w:p>
            <w:pPr>
              <w:ind w:left="10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1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r>
    </w:tbl>
    <w:p>
      <w:pPr>
        <w:spacing w:after="0" w:line="127"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14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78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3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78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419"/>
        </w:trPr>
        <w:tc>
          <w:tcPr>
            <w:tcW w:w="19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20" w:type="dxa"/>
            <w:vAlign w:val="bottom"/>
          </w:tcPr>
          <w:p>
            <w:pPr>
              <w:ind w:left="278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310"/>
        </w:trPr>
        <w:tc>
          <w:tcPr>
            <w:tcW w:w="7440" w:type="dxa"/>
            <w:vAlign w:val="bottom"/>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1720" w:type="dxa"/>
            <w:vAlign w:val="bottom"/>
          </w:tcPr>
          <w:p>
            <w:pPr>
              <w:jc w:val="right"/>
              <w:ind w:right="479"/>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346"/>
        </w:trPr>
        <w:tc>
          <w:tcPr>
            <w:tcW w:w="744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July 26, 2019:</w:t>
            </w:r>
          </w:p>
        </w:tc>
        <w:tc>
          <w:tcPr>
            <w:tcW w:w="1720" w:type="dxa"/>
            <w:vAlign w:val="bottom"/>
          </w:tcPr>
          <w:p>
            <w:pPr>
              <w:spacing w:after="0"/>
              <w:rPr>
                <w:sz w:val="24"/>
                <w:szCs w:val="24"/>
                <w:color w:val="auto"/>
              </w:rPr>
            </w:pPr>
          </w:p>
        </w:tc>
      </w:tr>
      <w:tr>
        <w:trPr>
          <w:trHeight w:val="405"/>
        </w:trPr>
        <w:tc>
          <w:tcPr>
            <w:tcW w:w="7440" w:type="dxa"/>
            <w:vAlign w:val="bottom"/>
          </w:tcPr>
          <w:p>
            <w:pPr>
              <w:ind w:left="1480"/>
              <w:spacing w:after="0"/>
              <w:rPr>
                <w:sz w:val="20"/>
                <w:szCs w:val="20"/>
                <w:color w:val="auto"/>
              </w:rPr>
            </w:pPr>
            <w:r>
              <w:rPr>
                <w:rFonts w:ascii="Arial" w:cs="Arial" w:eastAsia="Arial" w:hAnsi="Arial"/>
                <w:sz w:val="16"/>
                <w:szCs w:val="16"/>
                <w:color w:val="auto"/>
              </w:rPr>
              <w:t>Class A Common Stock par value $0.01 per share</w:t>
            </w:r>
          </w:p>
        </w:tc>
        <w:tc>
          <w:tcPr>
            <w:tcW w:w="1720" w:type="dxa"/>
            <w:vAlign w:val="bottom"/>
          </w:tcPr>
          <w:p>
            <w:pPr>
              <w:jc w:val="right"/>
              <w:spacing w:after="0"/>
              <w:rPr>
                <w:sz w:val="20"/>
                <w:szCs w:val="20"/>
                <w:color w:val="auto"/>
              </w:rPr>
            </w:pPr>
            <w:r>
              <w:rPr>
                <w:rFonts w:ascii="Arial" w:cs="Arial" w:eastAsia="Arial" w:hAnsi="Arial"/>
                <w:sz w:val="16"/>
                <w:szCs w:val="16"/>
                <w:color w:val="auto"/>
              </w:rPr>
              <w:t>44,159,318</w:t>
            </w:r>
          </w:p>
        </w:tc>
      </w:tr>
      <w:tr>
        <w:trPr>
          <w:trHeight w:val="257"/>
        </w:trPr>
        <w:tc>
          <w:tcPr>
            <w:tcW w:w="7440" w:type="dxa"/>
            <w:vAlign w:val="bottom"/>
          </w:tcPr>
          <w:p>
            <w:pPr>
              <w:ind w:left="1480"/>
              <w:spacing w:after="0"/>
              <w:rPr>
                <w:sz w:val="20"/>
                <w:szCs w:val="20"/>
                <w:color w:val="auto"/>
              </w:rPr>
            </w:pPr>
            <w:r>
              <w:rPr>
                <w:rFonts w:ascii="Arial" w:cs="Arial" w:eastAsia="Arial" w:hAnsi="Arial"/>
                <w:sz w:val="16"/>
                <w:szCs w:val="16"/>
                <w:color w:val="auto"/>
              </w:rPr>
              <w:t>Class B Common Stock par value $0.01 per share</w:t>
            </w:r>
          </w:p>
        </w:tc>
        <w:tc>
          <w:tcPr>
            <w:tcW w:w="1720" w:type="dxa"/>
            <w:vAlign w:val="bottom"/>
          </w:tcPr>
          <w:p>
            <w:pPr>
              <w:jc w:val="right"/>
              <w:spacing w:after="0"/>
              <w:rPr>
                <w:sz w:val="20"/>
                <w:szCs w:val="20"/>
                <w:color w:val="auto"/>
              </w:rPr>
            </w:pPr>
            <w:r>
              <w:rPr>
                <w:rFonts w:ascii="Arial" w:cs="Arial" w:eastAsia="Arial" w:hAnsi="Arial"/>
                <w:sz w:val="16"/>
                <w:szCs w:val="16"/>
                <w:color w:val="auto"/>
              </w:rPr>
              <w:t>11,484,408</w:t>
            </w:r>
          </w:p>
        </w:tc>
      </w:tr>
    </w:tbl>
    <w:p>
      <w:pPr>
        <w:sectPr>
          <w:pgSz w:w="11900" w:h="16838" w:orient="portrait"/>
          <w:cols w:equalWidth="0" w:num="1">
            <w:col w:w="11420"/>
          </w:cols>
          <w:pgMar w:left="240" w:top="283"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AMC NETWORKS INC. AND SUBSIDIARIES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580" w:type="dxa"/>
            <w:vAlign w:val="bottom"/>
            <w:gridSpan w:val="18"/>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(unaudited)</w:t>
              </w:r>
            </w:hyperlink>
          </w:p>
        </w:tc>
        <w:tc>
          <w:tcPr>
            <w:tcW w:w="7400" w:type="dxa"/>
            <w:vAlign w:val="bottom"/>
            <w:gridSpan w:val="8"/>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7080" w:type="dxa"/>
            <w:vAlign w:val="bottom"/>
            <w:gridSpan w:val="7"/>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w:t>
              </w:r>
            </w:hyperlink>
          </w:p>
        </w:tc>
        <w:tc>
          <w:tcPr>
            <w:tcW w:w="660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w:t>
              </w:r>
            </w:hyperlink>
          </w:p>
        </w:tc>
        <w:tc>
          <w:tcPr>
            <w:tcW w:w="544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w:t>
              </w:r>
            </w:hyperlink>
          </w:p>
        </w:tc>
        <w:tc>
          <w:tcPr>
            <w:tcW w:w="640" w:type="dxa"/>
            <w:vAlign w:val="bottom"/>
            <w:tcBorders>
              <w:top w:val="single" w:sz="8" w:color="0000EE"/>
            </w:tcBorders>
            <w:gridSpan w:val="2"/>
          </w:tcPr>
          <w:p>
            <w:pPr>
              <w:spacing w:after="0"/>
              <w:rPr>
                <w:sz w:val="21"/>
                <w:szCs w:val="21"/>
                <w:color w:val="auto"/>
              </w:rPr>
            </w:pPr>
          </w:p>
        </w:tc>
        <w:tc>
          <w:tcPr>
            <w:tcW w:w="566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EE"/>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6020" w:type="dxa"/>
            <w:vAlign w:val="bottom"/>
            <w:gridSpan w:val="4"/>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7020" w:type="dxa"/>
            <w:vAlign w:val="bottom"/>
            <w:gridSpan w:val="16"/>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Item 2. Management’s Discussion and Analysis of Financial Condition and Results of Operations</w:t>
              </w:r>
            </w:hyperlink>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8"/>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900" w:type="dxa"/>
            <w:vAlign w:val="bottom"/>
            <w:gridSpan w:val="15"/>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Item 3. Quantitative and Qualitative Disclosures About Market Risk</w:t>
              </w:r>
            </w:hyperlink>
          </w:p>
        </w:tc>
        <w:tc>
          <w:tcPr>
            <w:tcW w:w="21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8"/>
            <w:shd w:val="clear" w:color="auto" w:fill="0000EE"/>
          </w:tcPr>
          <w:p>
            <w:pPr>
              <w:spacing w:after="0" w:line="20" w:lineRule="exact"/>
              <w:rPr>
                <w:sz w:val="1"/>
                <w:szCs w:val="1"/>
                <w:color w:val="auto"/>
              </w:rPr>
            </w:pPr>
          </w:p>
        </w:tc>
        <w:tc>
          <w:tcPr>
            <w:tcW w:w="544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Item 4.</w:t>
              </w:r>
            </w:hyperlink>
          </w:p>
        </w:tc>
        <w:tc>
          <w:tcPr>
            <w:tcW w:w="4360" w:type="dxa"/>
            <w:vAlign w:val="bottom"/>
            <w:gridSpan w:val="13"/>
          </w:tcPr>
          <w:p>
            <w:pPr>
              <w:ind w:left="20"/>
              <w:spacing w:after="0"/>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54</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8"/>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580" w:type="dxa"/>
            <w:vAlign w:val="bottom"/>
            <w:gridSpan w:val="18"/>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 OTHER INFORMATION</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1.</w:t>
              </w:r>
            </w:hyperlink>
          </w:p>
        </w:tc>
        <w:tc>
          <w:tcPr>
            <w:tcW w:w="198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7820" w:type="dxa"/>
            <w:vAlign w:val="bottom"/>
            <w:gridSpan w:val="10"/>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2.</w:t>
              </w:r>
            </w:hyperlink>
          </w:p>
        </w:tc>
        <w:tc>
          <w:tcPr>
            <w:tcW w:w="9800" w:type="dxa"/>
            <w:vAlign w:val="bottom"/>
            <w:gridSpan w:val="15"/>
          </w:tcPr>
          <w:p>
            <w:pPr>
              <w:ind w:left="20"/>
              <w:spacing w:after="0"/>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6.</w:t>
              </w:r>
            </w:hyperlink>
          </w:p>
        </w:tc>
        <w:tc>
          <w:tcPr>
            <w:tcW w:w="620" w:type="dxa"/>
            <w:vAlign w:val="bottom"/>
            <w:gridSpan w:val="2"/>
          </w:tcPr>
          <w:p>
            <w:pPr>
              <w:ind w:left="20"/>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Exhibits</w:t>
              </w:r>
            </w:hyperlink>
          </w:p>
        </w:tc>
        <w:tc>
          <w:tcPr>
            <w:tcW w:w="3740" w:type="dxa"/>
            <w:vAlign w:val="bottom"/>
            <w:gridSpan w:val="11"/>
          </w:tcPr>
          <w:p>
            <w:pPr>
              <w:spacing w:after="0"/>
              <w:rPr>
                <w:sz w:val="21"/>
                <w:szCs w:val="21"/>
                <w:color w:val="auto"/>
              </w:rPr>
            </w:pPr>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18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EE"/>
                <w:w w:val="96"/>
              </w:rPr>
            </w:pPr>
            <w:hyperlink w:anchor="page58">
              <w:r>
                <w:rPr>
                  <w:rFonts w:ascii="Arial" w:cs="Arial" w:eastAsia="Arial" w:hAnsi="Arial"/>
                  <w:sz w:val="18"/>
                  <w:szCs w:val="18"/>
                  <w:b w:val="1"/>
                  <w:bCs w:val="1"/>
                  <w:color w:val="0000EE"/>
                  <w:w w:val="96"/>
                </w:rPr>
                <w:t>SIGNATURES</w:t>
              </w:r>
            </w:hyperlink>
          </w:p>
        </w:tc>
        <w:tc>
          <w:tcPr>
            <w:tcW w:w="942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63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rPr>
          <w:sz w:val="20"/>
          <w:szCs w:val="20"/>
          <w:color w:val="auto"/>
        </w:rPr>
      </w:pPr>
      <w:r>
        <w:rPr>
          <w:rFonts w:ascii="Arial" w:cs="Arial" w:eastAsia="Arial" w:hAnsi="Arial"/>
          <w:sz w:val="18"/>
          <w:szCs w:val="18"/>
          <w:b w:val="1"/>
          <w:bCs w:val="1"/>
          <w:color w:val="auto"/>
        </w:rPr>
        <w:t>Item 1. Financial Statements.</w:t>
      </w:r>
    </w:p>
    <w:p>
      <w:pPr>
        <w:ind w:left="4040"/>
        <w:spacing w:after="0"/>
        <w:rPr>
          <w:sz w:val="20"/>
          <w:szCs w:val="20"/>
          <w:color w:val="auto"/>
        </w:rPr>
      </w:pPr>
      <w:r>
        <w:rPr>
          <w:rFonts w:ascii="Arial" w:cs="Arial" w:eastAsia="Arial" w:hAnsi="Arial"/>
          <w:sz w:val="16"/>
          <w:szCs w:val="16"/>
          <w:b w:val="1"/>
          <w:bCs w:val="1"/>
          <w:color w:val="auto"/>
        </w:rPr>
        <w:t>AMC NETWORKS INC. AND SUBSIDIARIES</w:t>
      </w:r>
    </w:p>
    <w:p>
      <w:pPr>
        <w:ind w:left="378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spacing w:after="0" w:line="212" w:lineRule="auto"/>
        <w:rPr>
          <w:sz w:val="20"/>
          <w:szCs w:val="20"/>
          <w:color w:val="auto"/>
        </w:rPr>
      </w:pPr>
      <w:r>
        <w:rPr>
          <w:rFonts w:ascii="Arial" w:cs="Arial" w:eastAsia="Arial" w:hAnsi="Arial"/>
          <w:sz w:val="16"/>
          <w:szCs w:val="16"/>
          <w:b w:val="1"/>
          <w:bCs w:val="1"/>
          <w:color w:val="auto"/>
        </w:rPr>
        <w:t>(in thousands, except per share amounts)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18"/>
                <w:szCs w:val="18"/>
                <w:color w:val="auto"/>
              </w:rPr>
            </w:pPr>
          </w:p>
        </w:tc>
        <w:tc>
          <w:tcPr>
            <w:tcW w:w="164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December 31, 2018</w:t>
            </w:r>
          </w:p>
        </w:tc>
        <w:tc>
          <w:tcPr>
            <w:tcW w:w="0" w:type="dxa"/>
            <w:vAlign w:val="bottom"/>
          </w:tcPr>
          <w:p>
            <w:pPr>
              <w:spacing w:after="0"/>
              <w:rPr>
                <w:sz w:val="1"/>
                <w:szCs w:val="1"/>
                <w:color w:val="auto"/>
              </w:rPr>
            </w:pPr>
          </w:p>
        </w:tc>
      </w:tr>
      <w:tr>
        <w:trPr>
          <w:trHeight w:val="33"/>
        </w:trPr>
        <w:tc>
          <w:tcPr>
            <w:tcW w:w="7660" w:type="dxa"/>
            <w:vAlign w:val="bottom"/>
            <w:vMerge w:val="restart"/>
          </w:tcPr>
          <w:p>
            <w:pPr>
              <w:ind w:left="35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706,342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554,886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trade (less allowance for doubtful accounts of $9,029 and $10,788)</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838,287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835,977</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program rights, net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433,769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440,739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166,181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131,809</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2,144,579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1,963,411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 of accumulated depreciation of $321,719 and $293,918</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264,616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246,262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Program rights, net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1,114,038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1,214,051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carriage fees, net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16,831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557,371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578,907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792,083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798,037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tax asset, net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48,998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19,272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441,052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441,792</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5,561,734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5,278,563</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105,353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107,066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231,859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264,918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program rights obligations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345,799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343,589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55,424</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37,500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21,334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lease obligations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5,090</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808,533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797,421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Program rights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289,728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373,249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3,073,419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3,088,221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21,427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tax liability, net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135,001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145,443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160,417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208,036</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4,690,433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4,633,797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Redeemable noncontrolling interests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302,788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299,558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660" w:type="dxa"/>
            <w:vAlign w:val="bottom"/>
          </w:tcPr>
          <w:p>
            <w:pPr>
              <w:ind w:left="40"/>
              <w:spacing w:after="0"/>
              <w:rPr>
                <w:sz w:val="20"/>
                <w:szCs w:val="20"/>
                <w:color w:val="auto"/>
              </w:rPr>
            </w:pPr>
            <w:r>
              <w:rPr>
                <w:rFonts w:ascii="Arial" w:cs="Arial" w:eastAsia="Arial" w:hAnsi="Arial"/>
                <w:sz w:val="16"/>
                <w:szCs w:val="16"/>
                <w:color w:val="auto"/>
                <w:w w:val="93"/>
              </w:rPr>
              <w:t>Class A Common Stock, $0.01 par value, 360,000 shares authorized, 63,851 and 63,255 shares issued and 44,275</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60"/>
              <w:spacing w:after="0"/>
              <w:rPr>
                <w:sz w:val="20"/>
                <w:szCs w:val="20"/>
                <w:color w:val="auto"/>
              </w:rPr>
            </w:pPr>
            <w:r>
              <w:rPr>
                <w:rFonts w:ascii="Arial" w:cs="Arial" w:eastAsia="Arial" w:hAnsi="Arial"/>
                <w:sz w:val="16"/>
                <w:szCs w:val="16"/>
                <w:color w:val="auto"/>
              </w:rPr>
              <w:t>and 44,749 shares outstanding, respectively</w:t>
            </w:r>
          </w:p>
        </w:tc>
        <w:tc>
          <w:tcPr>
            <w:tcW w:w="28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B Common Stock, $0.01 par value, 90,000 shares authorized, 11,484 shares issued and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2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239,767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Accumulated earnings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1,501,082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1,228,942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at cost (19,577 and 18,507 shares Class A Common Stock,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(1,051,022)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(992,583)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(167,144)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(160,194)</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AMC Networks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541,820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316,680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Non-redeemable noncontrolling interests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26,693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28,528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345,208</w:t>
            </w:r>
          </w:p>
        </w:tc>
        <w:tc>
          <w:tcPr>
            <w:tcW w:w="0" w:type="dxa"/>
            <w:vAlign w:val="bottom"/>
          </w:tcPr>
          <w:p>
            <w:pPr>
              <w:spacing w:after="0"/>
              <w:rPr>
                <w:sz w:val="1"/>
                <w:szCs w:val="1"/>
                <w:color w:val="auto"/>
              </w:rPr>
            </w:pPr>
          </w:p>
        </w:tc>
      </w:tr>
      <w:tr>
        <w:trPr>
          <w:trHeight w:val="244"/>
        </w:trPr>
        <w:tc>
          <w:tcPr>
            <w:tcW w:w="766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5,561,734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5,278,563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364" w:right="239" w:bottom="962"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962" w:gutter="0" w:footer="0" w:header="0"/>
          <w:type w:val="continuous"/>
        </w:sectPr>
      </w:pPr>
    </w:p>
    <w:bookmarkStart w:id="3" w:name="page4"/>
    <w:bookmarkEnd w:id="3"/>
    <w:p>
      <w:pPr>
        <w:ind w:left="404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CONDENSED CONSOLIDATED STATEMENTS OF INCOME</w:t>
      </w:r>
    </w:p>
    <w:p>
      <w:pPr>
        <w:ind w:left="43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772,299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761,385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1,556,520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1,502,208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Technical and operating (excluding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385,623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376,809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725,771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697,174</w:t>
            </w: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173,364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171,376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345,876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337,825</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42,023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19,804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602,042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569,854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1,141,400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1,077,022</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170,257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191,531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415,120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425,186</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(77,470)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Miscellaneous, net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2,227</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(64,892)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132,589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142,879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329,222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360,294</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(89,426)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133,985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110,332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284,142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270,868</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(7,817)</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AMC Networks' stockholders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128,743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106,181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272,140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263,051</w:t>
            </w:r>
          </w:p>
        </w:tc>
      </w:tr>
      <w:tr>
        <w:trPr>
          <w:trHeight w:val="217"/>
        </w:trPr>
        <w:tc>
          <w:tcPr>
            <w:tcW w:w="5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per share attributable to AMC Networks' stockholders: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4.38</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59,354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57,335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58,387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57,529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60,044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133,985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110,332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284,142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270,868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(26,955)</w:t>
            </w: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Unrealized loss on interest rate swaps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(26,955)</w:t>
            </w: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net of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133,287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64,573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277,192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243,913</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(6,736)</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attributable to AMC Networks' stockholders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128,254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62,400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265,361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237,177</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5" w:name="page6"/>
    <w:bookmarkEnd w:id="5"/>
    <w:p>
      <w:pPr>
        <w:jc w:val="center"/>
        <w:ind w:left="260" w:right="2760"/>
        <w:spacing w:after="0" w:line="271" w:lineRule="auto"/>
        <w:rPr>
          <w:sz w:val="20"/>
          <w:szCs w:val="20"/>
          <w:color w:val="auto"/>
        </w:rPr>
      </w:pPr>
      <w:r>
        <w:rPr>
          <w:rFonts w:ascii="Arial" w:cs="Arial" w:eastAsia="Arial" w:hAnsi="Arial"/>
          <w:sz w:val="16"/>
          <w:szCs w:val="16"/>
          <w:b w:val="1"/>
          <w:bCs w:val="1"/>
          <w:color w:val="auto"/>
        </w:rPr>
        <w:t>AMC NETWORKS INC. AND SUBSIDIARIES CONDENSED CONSOLIDATED STATEMENTS OF STOCKHOLDERS' EQUITY (in thousands)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72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Class A</w:t>
            </w:r>
          </w:p>
        </w:tc>
        <w:tc>
          <w:tcPr>
            <w:tcW w:w="7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B</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5"/>
                <w:szCs w:val="5"/>
                <w:color w:val="auto"/>
              </w:rPr>
            </w:pPr>
          </w:p>
        </w:tc>
        <w:tc>
          <w:tcPr>
            <w:tcW w:w="8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Networks</w:t>
            </w: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12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7"/>
                <w:szCs w:val="7"/>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72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Common</w:t>
            </w:r>
          </w:p>
        </w:tc>
        <w:tc>
          <w:tcPr>
            <w:tcW w:w="74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Common</w:t>
            </w:r>
          </w:p>
        </w:tc>
        <w:tc>
          <w:tcPr>
            <w:tcW w:w="78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2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Comprehensive</w:t>
            </w:r>
          </w:p>
        </w:tc>
        <w:tc>
          <w:tcPr>
            <w:tcW w:w="100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Stockholders’</w:t>
            </w:r>
          </w:p>
        </w:tc>
        <w:tc>
          <w:tcPr>
            <w:tcW w:w="108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2"/>
                <w:szCs w:val="12"/>
                <w:color w:val="auto"/>
              </w:rPr>
            </w:pPr>
          </w:p>
        </w:tc>
        <w:tc>
          <w:tcPr>
            <w:tcW w:w="7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48"/>
        </w:trPr>
        <w:tc>
          <w:tcPr>
            <w:tcW w:w="3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3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$242,322</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1,372,339</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(993,574)</w:t>
            </w: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(166,446)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455,390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29,147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484,537</w:t>
            </w:r>
          </w:p>
        </w:tc>
        <w:tc>
          <w:tcPr>
            <w:tcW w:w="0" w:type="dxa"/>
            <w:vAlign w:val="bottom"/>
          </w:tcPr>
          <w:p>
            <w:pPr>
              <w:spacing w:after="0"/>
              <w:rPr>
                <w:sz w:val="1"/>
                <w:szCs w:val="1"/>
                <w:color w:val="auto"/>
              </w:rPr>
            </w:pPr>
          </w:p>
        </w:tc>
      </w:tr>
      <w:tr>
        <w:trPr>
          <w:trHeight w:val="143"/>
        </w:trPr>
        <w:tc>
          <w:tcPr>
            <w:tcW w:w="31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Net income attributable to AMC Networks’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128,743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128,743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128,743</w:t>
            </w:r>
          </w:p>
        </w:tc>
        <w:tc>
          <w:tcPr>
            <w:tcW w:w="0" w:type="dxa"/>
            <w:vAlign w:val="bottom"/>
          </w:tcPr>
          <w:p>
            <w:pPr>
              <w:spacing w:after="0"/>
              <w:rPr>
                <w:sz w:val="1"/>
                <w:szCs w:val="1"/>
                <w:color w:val="auto"/>
              </w:rPr>
            </w:pPr>
          </w:p>
        </w:tc>
      </w:tr>
      <w:tr>
        <w:trPr>
          <w:trHeight w:val="157"/>
        </w:trPr>
        <w:tc>
          <w:tcPr>
            <w:tcW w:w="3120" w:type="dxa"/>
            <w:vAlign w:val="bottom"/>
          </w:tcPr>
          <w:p>
            <w:pPr>
              <w:ind w:left="40"/>
              <w:spacing w:after="0" w:line="157" w:lineRule="exact"/>
              <w:rPr>
                <w:sz w:val="20"/>
                <w:szCs w:val="20"/>
                <w:color w:val="auto"/>
              </w:rPr>
            </w:pPr>
            <w:r>
              <w:rPr>
                <w:rFonts w:ascii="Arial" w:cs="Arial" w:eastAsia="Arial" w:hAnsi="Arial"/>
                <w:sz w:val="14"/>
                <w:szCs w:val="14"/>
                <w:color w:val="auto"/>
              </w:rPr>
              <w:t>Net income attributable to non-redeemable</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2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member</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w:t>
            </w:r>
          </w:p>
        </w:tc>
        <w:tc>
          <w:tcPr>
            <w:tcW w:w="0" w:type="dxa"/>
            <w:vAlign w:val="bottom"/>
          </w:tcPr>
          <w:p>
            <w:pPr>
              <w:spacing w:after="0"/>
              <w:rPr>
                <w:sz w:val="1"/>
                <w:szCs w:val="1"/>
                <w:color w:val="auto"/>
              </w:rPr>
            </w:pPr>
          </w:p>
        </w:tc>
      </w:tr>
      <w:tr>
        <w:trPr>
          <w:trHeight w:val="264"/>
        </w:trPr>
        <w:tc>
          <w:tcPr>
            <w:tcW w:w="3120" w:type="dxa"/>
            <w:vAlign w:val="bottom"/>
          </w:tcPr>
          <w:p>
            <w:pPr>
              <w:ind w:left="40"/>
              <w:spacing w:after="0"/>
              <w:rPr>
                <w:sz w:val="20"/>
                <w:szCs w:val="20"/>
                <w:color w:val="auto"/>
              </w:rPr>
            </w:pPr>
            <w:r>
              <w:rPr>
                <w:rFonts w:ascii="Arial" w:cs="Arial" w:eastAsia="Arial" w:hAnsi="Arial"/>
                <w:sz w:val="14"/>
                <w:szCs w:val="14"/>
                <w:color w:val="auto"/>
              </w:rPr>
              <w:t>Treasury stock not yet settled</w:t>
            </w:r>
          </w:p>
        </w:tc>
        <w:tc>
          <w:tcPr>
            <w:tcW w:w="12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264"/>
        </w:trPr>
        <w:tc>
          <w:tcPr>
            <w:tcW w:w="3120" w:type="dxa"/>
            <w:vAlign w:val="bottom"/>
          </w:tcPr>
          <w:p>
            <w:pPr>
              <w:ind w:left="40"/>
              <w:spacing w:after="0"/>
              <w:rPr>
                <w:sz w:val="20"/>
                <w:szCs w:val="20"/>
                <w:color w:val="auto"/>
              </w:rPr>
            </w:pPr>
            <w:r>
              <w:rPr>
                <w:rFonts w:ascii="Arial" w:cs="Arial" w:eastAsia="Arial" w:hAnsi="Arial"/>
                <w:sz w:val="14"/>
                <w:szCs w:val="14"/>
                <w:color w:val="auto"/>
              </w:rPr>
              <w:t>Share-based compensation expense</w:t>
            </w:r>
          </w:p>
        </w:tc>
        <w:tc>
          <w:tcPr>
            <w:tcW w:w="12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16,725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16,725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16,725</w:t>
            </w:r>
          </w:p>
        </w:tc>
        <w:tc>
          <w:tcPr>
            <w:tcW w:w="0" w:type="dxa"/>
            <w:vAlign w:val="bottom"/>
          </w:tcPr>
          <w:p>
            <w:pPr>
              <w:spacing w:after="0"/>
              <w:rPr>
                <w:sz w:val="1"/>
                <w:szCs w:val="1"/>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the exercise of stock options</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20" w:type="dxa"/>
            <w:vAlign w:val="bottom"/>
          </w:tcPr>
          <w:p>
            <w:pPr>
              <w:ind w:left="40"/>
              <w:spacing w:after="0"/>
              <w:rPr>
                <w:sz w:val="20"/>
                <w:szCs w:val="20"/>
                <w:color w:val="auto"/>
              </w:rPr>
            </w:pPr>
            <w:r>
              <w:rPr>
                <w:rFonts w:ascii="Arial" w:cs="Arial" w:eastAsia="Arial" w:hAnsi="Arial"/>
                <w:sz w:val="14"/>
                <w:szCs w:val="14"/>
                <w:color w:val="auto"/>
              </w:rPr>
              <w:t>Treasury stock acquired</w:t>
            </w:r>
          </w:p>
        </w:tc>
        <w:tc>
          <w:tcPr>
            <w:tcW w:w="12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(57,448)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(57,448)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(57,448)</w:t>
            </w:r>
          </w:p>
        </w:tc>
        <w:tc>
          <w:tcPr>
            <w:tcW w:w="0" w:type="dxa"/>
            <w:vAlign w:val="bottom"/>
          </w:tcPr>
          <w:p>
            <w:pPr>
              <w:spacing w:after="0"/>
              <w:rPr>
                <w:sz w:val="1"/>
                <w:szCs w:val="1"/>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units converted to shares</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44"/>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$258,150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1,501,082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(1,051,022)</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(167,144)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541,820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26,693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568,513</w:t>
            </w:r>
          </w:p>
        </w:tc>
        <w:tc>
          <w:tcPr>
            <w:tcW w:w="0" w:type="dxa"/>
            <w:vAlign w:val="bottom"/>
          </w:tcPr>
          <w:p>
            <w:pPr>
              <w:spacing w:after="0"/>
              <w:rPr>
                <w:sz w:val="1"/>
                <w:szCs w:val="1"/>
                <w:color w:val="auto"/>
              </w:rPr>
            </w:pPr>
          </w:p>
        </w:tc>
      </w:tr>
      <w:tr>
        <w:trPr>
          <w:trHeight w:val="301"/>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72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Class A</w:t>
            </w:r>
          </w:p>
        </w:tc>
        <w:tc>
          <w:tcPr>
            <w:tcW w:w="7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B</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5"/>
                <w:szCs w:val="5"/>
                <w:color w:val="auto"/>
              </w:rPr>
            </w:pPr>
          </w:p>
        </w:tc>
        <w:tc>
          <w:tcPr>
            <w:tcW w:w="8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Networks</w:t>
            </w: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12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7"/>
                <w:szCs w:val="7"/>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72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Common</w:t>
            </w:r>
          </w:p>
        </w:tc>
        <w:tc>
          <w:tcPr>
            <w:tcW w:w="74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Common</w:t>
            </w:r>
          </w:p>
        </w:tc>
        <w:tc>
          <w:tcPr>
            <w:tcW w:w="78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2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Comprehensive</w:t>
            </w:r>
          </w:p>
        </w:tc>
        <w:tc>
          <w:tcPr>
            <w:tcW w:w="100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Stockholders’</w:t>
            </w:r>
          </w:p>
        </w:tc>
        <w:tc>
          <w:tcPr>
            <w:tcW w:w="108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2"/>
                <w:szCs w:val="12"/>
                <w:color w:val="auto"/>
              </w:rPr>
            </w:pPr>
          </w:p>
        </w:tc>
        <w:tc>
          <w:tcPr>
            <w:tcW w:w="7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48"/>
        </w:trPr>
        <w:tc>
          <w:tcPr>
            <w:tcW w:w="3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3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633</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$239,767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1,228,942</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(992,583)</w:t>
            </w: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(160,194)</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316,680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28,528</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345,208</w:t>
            </w:r>
          </w:p>
        </w:tc>
        <w:tc>
          <w:tcPr>
            <w:tcW w:w="0" w:type="dxa"/>
            <w:vAlign w:val="bottom"/>
          </w:tcPr>
          <w:p>
            <w:pPr>
              <w:spacing w:after="0"/>
              <w:rPr>
                <w:sz w:val="1"/>
                <w:szCs w:val="1"/>
                <w:color w:val="auto"/>
              </w:rPr>
            </w:pPr>
          </w:p>
        </w:tc>
      </w:tr>
      <w:tr>
        <w:trPr>
          <w:trHeight w:val="143"/>
        </w:trPr>
        <w:tc>
          <w:tcPr>
            <w:tcW w:w="31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Net income attributable to AMC Networks’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272,140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272,140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272,140</w:t>
            </w:r>
          </w:p>
        </w:tc>
        <w:tc>
          <w:tcPr>
            <w:tcW w:w="0" w:type="dxa"/>
            <w:vAlign w:val="bottom"/>
          </w:tcPr>
          <w:p>
            <w:pPr>
              <w:spacing w:after="0"/>
              <w:rPr>
                <w:sz w:val="1"/>
                <w:szCs w:val="1"/>
                <w:color w:val="auto"/>
              </w:rPr>
            </w:pPr>
          </w:p>
        </w:tc>
      </w:tr>
      <w:tr>
        <w:trPr>
          <w:trHeight w:val="157"/>
        </w:trPr>
        <w:tc>
          <w:tcPr>
            <w:tcW w:w="3120" w:type="dxa"/>
            <w:vAlign w:val="bottom"/>
          </w:tcPr>
          <w:p>
            <w:pPr>
              <w:ind w:left="40"/>
              <w:spacing w:after="0" w:line="157" w:lineRule="exact"/>
              <w:rPr>
                <w:sz w:val="20"/>
                <w:szCs w:val="20"/>
                <w:color w:val="auto"/>
              </w:rPr>
            </w:pPr>
            <w:r>
              <w:rPr>
                <w:rFonts w:ascii="Arial" w:cs="Arial" w:eastAsia="Arial" w:hAnsi="Arial"/>
                <w:sz w:val="14"/>
                <w:szCs w:val="14"/>
                <w:color w:val="auto"/>
              </w:rPr>
              <w:t>Net income attributable to non-redeemable</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2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member</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w:t>
            </w:r>
          </w:p>
        </w:tc>
        <w:tc>
          <w:tcPr>
            <w:tcW w:w="0" w:type="dxa"/>
            <w:vAlign w:val="bottom"/>
          </w:tcPr>
          <w:p>
            <w:pPr>
              <w:spacing w:after="0"/>
              <w:rPr>
                <w:sz w:val="1"/>
                <w:szCs w:val="1"/>
                <w:color w:val="auto"/>
              </w:rPr>
            </w:pPr>
          </w:p>
        </w:tc>
      </w:tr>
      <w:tr>
        <w:trPr>
          <w:trHeight w:val="264"/>
        </w:trPr>
        <w:tc>
          <w:tcPr>
            <w:tcW w:w="3120" w:type="dxa"/>
            <w:vAlign w:val="bottom"/>
          </w:tcPr>
          <w:p>
            <w:pPr>
              <w:ind w:left="40"/>
              <w:spacing w:after="0"/>
              <w:rPr>
                <w:sz w:val="20"/>
                <w:szCs w:val="20"/>
                <w:color w:val="auto"/>
              </w:rPr>
            </w:pPr>
            <w:r>
              <w:rPr>
                <w:rFonts w:ascii="Arial" w:cs="Arial" w:eastAsia="Arial" w:hAnsi="Arial"/>
                <w:sz w:val="14"/>
                <w:szCs w:val="14"/>
                <w:color w:val="auto"/>
              </w:rPr>
              <w:t>Treasury stock not yet settled</w:t>
            </w:r>
          </w:p>
        </w:tc>
        <w:tc>
          <w:tcPr>
            <w:tcW w:w="12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w:t>
            </w:r>
          </w:p>
        </w:tc>
        <w:tc>
          <w:tcPr>
            <w:tcW w:w="0" w:type="dxa"/>
            <w:vAlign w:val="bottom"/>
          </w:tcPr>
          <w:p>
            <w:pPr>
              <w:spacing w:after="0"/>
              <w:rPr>
                <w:sz w:val="1"/>
                <w:szCs w:val="1"/>
                <w:color w:val="auto"/>
              </w:rPr>
            </w:pPr>
          </w:p>
        </w:tc>
      </w:tr>
      <w:tr>
        <w:trPr>
          <w:trHeight w:val="264"/>
        </w:trPr>
        <w:tc>
          <w:tcPr>
            <w:tcW w:w="3120" w:type="dxa"/>
            <w:vAlign w:val="bottom"/>
          </w:tcPr>
          <w:p>
            <w:pPr>
              <w:ind w:left="40"/>
              <w:spacing w:after="0"/>
              <w:rPr>
                <w:sz w:val="20"/>
                <w:szCs w:val="20"/>
                <w:color w:val="auto"/>
              </w:rPr>
            </w:pPr>
            <w:r>
              <w:rPr>
                <w:rFonts w:ascii="Arial" w:cs="Arial" w:eastAsia="Arial" w:hAnsi="Arial"/>
                <w:sz w:val="14"/>
                <w:szCs w:val="14"/>
                <w:color w:val="auto"/>
              </w:rPr>
              <w:t>Share-based compensation expense</w:t>
            </w:r>
          </w:p>
        </w:tc>
        <w:tc>
          <w:tcPr>
            <w:tcW w:w="12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36,624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36,624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36,624</w:t>
            </w:r>
          </w:p>
        </w:tc>
        <w:tc>
          <w:tcPr>
            <w:tcW w:w="0" w:type="dxa"/>
            <w:vAlign w:val="bottom"/>
          </w:tcPr>
          <w:p>
            <w:pPr>
              <w:spacing w:after="0"/>
              <w:rPr>
                <w:sz w:val="1"/>
                <w:szCs w:val="1"/>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the exercise of stock options</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264"/>
        </w:trPr>
        <w:tc>
          <w:tcPr>
            <w:tcW w:w="3120" w:type="dxa"/>
            <w:vAlign w:val="bottom"/>
          </w:tcPr>
          <w:p>
            <w:pPr>
              <w:ind w:left="40"/>
              <w:spacing w:after="0"/>
              <w:rPr>
                <w:sz w:val="20"/>
                <w:szCs w:val="20"/>
                <w:color w:val="auto"/>
              </w:rPr>
            </w:pPr>
            <w:r>
              <w:rPr>
                <w:rFonts w:ascii="Arial" w:cs="Arial" w:eastAsia="Arial" w:hAnsi="Arial"/>
                <w:sz w:val="14"/>
                <w:szCs w:val="14"/>
                <w:color w:val="auto"/>
              </w:rPr>
              <w:t>Treasury stock acquired</w:t>
            </w:r>
          </w:p>
        </w:tc>
        <w:tc>
          <w:tcPr>
            <w:tcW w:w="12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(58,439)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(57,453)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(57,453)</w:t>
            </w:r>
          </w:p>
        </w:tc>
        <w:tc>
          <w:tcPr>
            <w:tcW w:w="0" w:type="dxa"/>
            <w:vAlign w:val="bottom"/>
          </w:tcPr>
          <w:p>
            <w:pPr>
              <w:spacing w:after="0"/>
              <w:rPr>
                <w:sz w:val="1"/>
                <w:szCs w:val="1"/>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units converted to shares</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(23,019)</w:t>
            </w:r>
          </w:p>
        </w:tc>
        <w:tc>
          <w:tcPr>
            <w:tcW w:w="0" w:type="dxa"/>
            <w:vAlign w:val="bottom"/>
          </w:tcPr>
          <w:p>
            <w:pPr>
              <w:spacing w:after="0"/>
              <w:rPr>
                <w:sz w:val="1"/>
                <w:szCs w:val="1"/>
                <w:color w:val="auto"/>
              </w:rPr>
            </w:pPr>
          </w:p>
        </w:tc>
      </w:tr>
      <w:tr>
        <w:trPr>
          <w:trHeight w:val="244"/>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$258,150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1,501,082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(1,051,022)</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(167,144)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541,820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26,693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568,513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3080" w:type="dxa"/>
            <w:vAlign w:val="bottom"/>
          </w:tcPr>
          <w:p>
            <w:pPr>
              <w:spacing w:after="0"/>
              <w:rPr>
                <w:sz w:val="5"/>
                <w:szCs w:val="5"/>
                <w:color w:val="auto"/>
              </w:rPr>
            </w:pPr>
          </w:p>
        </w:tc>
        <w:tc>
          <w:tcPr>
            <w:tcW w:w="780" w:type="dxa"/>
            <w:vAlign w:val="bottom"/>
            <w:gridSpan w:val="5"/>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60" w:type="dxa"/>
            <w:vAlign w:val="bottom"/>
          </w:tcPr>
          <w:p>
            <w:pPr>
              <w:spacing w:after="0"/>
              <w:rPr>
                <w:sz w:val="5"/>
                <w:szCs w:val="5"/>
                <w:color w:val="auto"/>
              </w:rPr>
            </w:pPr>
          </w:p>
        </w:tc>
        <w:tc>
          <w:tcPr>
            <w:tcW w:w="700" w:type="dxa"/>
            <w:vAlign w:val="bottom"/>
            <w:gridSpan w:val="4"/>
            <w:vMerge w:val="restart"/>
          </w:tcPr>
          <w:p>
            <w:pPr>
              <w:ind w:left="40"/>
              <w:spacing w:after="0" w:line="149" w:lineRule="exact"/>
              <w:rPr>
                <w:sz w:val="20"/>
                <w:szCs w:val="20"/>
                <w:color w:val="auto"/>
              </w:rPr>
            </w:pPr>
            <w:r>
              <w:rPr>
                <w:rFonts w:ascii="Arial" w:cs="Arial" w:eastAsia="Arial" w:hAnsi="Arial"/>
                <w:sz w:val="14"/>
                <w:szCs w:val="14"/>
                <w:b w:val="1"/>
                <w:bCs w:val="1"/>
                <w:color w:val="auto"/>
              </w:rPr>
              <w:t>Class B</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Networks</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78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7"/>
                <w:szCs w:val="7"/>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7"/>
                <w:szCs w:val="7"/>
                <w:color w:val="auto"/>
              </w:rPr>
            </w:pP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10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80" w:type="dxa"/>
            <w:vAlign w:val="bottom"/>
            <w:gridSpan w:val="5"/>
          </w:tcPr>
          <w:p>
            <w:pPr>
              <w:jc w:val="center"/>
              <w:ind w:right="120"/>
              <w:spacing w:after="0" w:line="145" w:lineRule="exact"/>
              <w:rPr>
                <w:sz w:val="20"/>
                <w:szCs w:val="20"/>
                <w:color w:val="auto"/>
              </w:rPr>
            </w:pPr>
            <w:r>
              <w:rPr>
                <w:rFonts w:ascii="Arial" w:cs="Arial" w:eastAsia="Arial" w:hAnsi="Arial"/>
                <w:sz w:val="14"/>
                <w:szCs w:val="14"/>
                <w:b w:val="1"/>
                <w:bCs w:val="1"/>
                <w:color w:val="auto"/>
                <w:w w:val="95"/>
              </w:rPr>
              <w:t>Common</w:t>
            </w:r>
          </w:p>
        </w:tc>
        <w:tc>
          <w:tcPr>
            <w:tcW w:w="760" w:type="dxa"/>
            <w:vAlign w:val="bottom"/>
            <w:gridSpan w:val="5"/>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10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5"/>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1080" w:type="dxa"/>
            <w:vAlign w:val="bottom"/>
            <w:gridSpan w:val="5"/>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2"/>
                <w:szCs w:val="12"/>
                <w:color w:val="auto"/>
              </w:rPr>
            </w:pP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0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March 31,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631</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w w:val="95"/>
              </w:rPr>
              <w:t>$182,278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936,379</w:t>
            </w:r>
          </w:p>
        </w:tc>
        <w:tc>
          <w:tcPr>
            <w:tcW w:w="10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2"/>
              </w:rPr>
              <w:t>$ (793,078)</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(95,582)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230,743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30,367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261,110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106,181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106,181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106,181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080" w:type="dxa"/>
            <w:vAlign w:val="bottom"/>
          </w:tcPr>
          <w:p>
            <w:pPr>
              <w:ind w:left="20"/>
              <w:spacing w:after="0" w:line="157"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1,132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effects of adoption of accounting</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standards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3,246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(3,411)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Treasury stock not yet settled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9,980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9,980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9,980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treasury stock</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(45,759)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(45,759)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(1,978)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(47,737)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4,317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19,753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19,753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19,753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acquired</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(158,772)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(158,772)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(158,772)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c>
          <w:tcPr>
            <w:tcW w:w="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95"/>
              </w:rPr>
              <w:t>$215,948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1,045,806</w:t>
            </w:r>
          </w:p>
        </w:tc>
        <w:tc>
          <w:tcPr>
            <w:tcW w:w="10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2"/>
              </w:rPr>
              <w:t>$ (951,850)</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(144,752)</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165,899</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29,521</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195,420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4"/>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Class A</w:t>
            </w:r>
          </w:p>
        </w:tc>
        <w:tc>
          <w:tcPr>
            <w:tcW w:w="60" w:type="dxa"/>
            <w:vAlign w:val="bottom"/>
          </w:tcPr>
          <w:p>
            <w:pPr>
              <w:spacing w:after="0"/>
              <w:rPr>
                <w:sz w:val="5"/>
                <w:szCs w:val="5"/>
                <w:color w:val="auto"/>
              </w:rPr>
            </w:pPr>
          </w:p>
        </w:tc>
        <w:tc>
          <w:tcPr>
            <w:tcW w:w="700" w:type="dxa"/>
            <w:vAlign w:val="bottom"/>
            <w:gridSpan w:val="4"/>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Networks</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7"/>
                <w:szCs w:val="7"/>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7"/>
                <w:szCs w:val="7"/>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7"/>
                <w:szCs w:val="7"/>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ind w:left="20"/>
              <w:spacing w:after="0" w:line="145" w:lineRule="exact"/>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2"/>
                <w:szCs w:val="12"/>
                <w:color w:val="auto"/>
              </w:rPr>
            </w:pPr>
          </w:p>
        </w:tc>
        <w:tc>
          <w:tcPr>
            <w:tcW w:w="700" w:type="dxa"/>
            <w:vAlign w:val="bottom"/>
            <w:gridSpan w:val="4"/>
          </w:tcPr>
          <w:p>
            <w:pPr>
              <w:ind w:left="20"/>
              <w:spacing w:after="0" w:line="145" w:lineRule="exact"/>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100" w:type="dxa"/>
            <w:vAlign w:val="bottom"/>
            <w:gridSpan w:val="4"/>
          </w:tcPr>
          <w:p>
            <w:pPr>
              <w:jc w:val="center"/>
              <w:ind w:right="6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980" w:type="dxa"/>
            <w:vAlign w:val="bottom"/>
            <w:gridSpan w:val="4"/>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Capital</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Borders>
              <w:bottom w:val="single" w:sz="8" w:color="auto"/>
            </w:tcBorders>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312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627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w w:val="99"/>
              </w:rPr>
              <w:t>$191,303</w:t>
            </w:r>
          </w:p>
        </w:tc>
        <w:tc>
          <w:tcPr>
            <w:tcW w:w="100" w:type="dxa"/>
            <w:vAlign w:val="bottom"/>
          </w:tcPr>
          <w:p>
            <w:pPr>
              <w:spacing w:after="0"/>
              <w:rPr>
                <w:sz w:val="21"/>
                <w:szCs w:val="21"/>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766,725</w:t>
            </w:r>
          </w:p>
        </w:tc>
        <w:tc>
          <w:tcPr>
            <w:tcW w:w="1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w w:val="94"/>
              </w:rPr>
              <w:t>$ (709,440)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(114,386)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134,944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29,001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163,945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3120" w:type="dxa"/>
            <w:vAlign w:val="bottom"/>
            <w:tcBorders>
              <w:top w:val="single" w:sz="8" w:color="CCEEFF"/>
            </w:tcBorders>
            <w:gridSpan w:val="2"/>
            <w:shd w:val="clear" w:color="auto" w:fill="CCEEFF"/>
          </w:tcPr>
          <w:p>
            <w:pPr>
              <w:ind w:left="40"/>
              <w:spacing w:after="0" w:line="143"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263,051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263,051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263,051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20" w:type="dxa"/>
            <w:vAlign w:val="bottom"/>
            <w:gridSpan w:val="2"/>
          </w:tcPr>
          <w:p>
            <w:pPr>
              <w:ind w:left="4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member</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Cumulative effects of adoption of accounting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20" w:type="dxa"/>
            <w:vAlign w:val="bottom"/>
            <w:gridSpan w:val="2"/>
          </w:tcPr>
          <w:p>
            <w:pPr>
              <w:ind w:left="40"/>
              <w:spacing w:after="0"/>
              <w:rPr>
                <w:sz w:val="20"/>
                <w:szCs w:val="20"/>
                <w:color w:val="auto"/>
              </w:rPr>
            </w:pPr>
            <w:r>
              <w:rPr>
                <w:rFonts w:ascii="Arial" w:cs="Arial" w:eastAsia="Arial" w:hAnsi="Arial"/>
                <w:sz w:val="14"/>
                <w:szCs w:val="14"/>
                <w:color w:val="auto"/>
              </w:rPr>
              <w:t>standards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16,030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12,619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12,619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Treasury stock not yet settled</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20" w:type="dxa"/>
            <w:vAlign w:val="bottom"/>
            <w:gridSpan w:val="2"/>
          </w:tcPr>
          <w:p>
            <w:pPr>
              <w:ind w:left="40"/>
              <w:spacing w:after="0"/>
              <w:rPr>
                <w:sz w:val="20"/>
                <w:szCs w:val="20"/>
                <w:color w:val="auto"/>
              </w:rPr>
            </w:pPr>
            <w:r>
              <w:rPr>
                <w:rFonts w:ascii="Arial" w:cs="Arial" w:eastAsia="Arial" w:hAnsi="Arial"/>
                <w:sz w:val="14"/>
                <w:szCs w:val="14"/>
                <w:color w:val="auto"/>
              </w:rPr>
              <w:t>Settlement of treasury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996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(28,036)</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20" w:type="dxa"/>
            <w:vAlign w:val="bottom"/>
            <w:gridSpan w:val="2"/>
          </w:tcPr>
          <w:p>
            <w:pPr>
              <w:ind w:left="40"/>
              <w:spacing w:after="0"/>
              <w:rPr>
                <w:sz w:val="20"/>
                <w:szCs w:val="20"/>
                <w:color w:val="auto"/>
              </w:rPr>
            </w:pPr>
            <w:r>
              <w:rPr>
                <w:rFonts w:ascii="Arial" w:cs="Arial" w:eastAsia="Arial" w:hAnsi="Arial"/>
                <w:sz w:val="14"/>
                <w:szCs w:val="14"/>
                <w:color w:val="auto"/>
              </w:rPr>
              <w:t>Proceeds from the exercise of stock options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4,317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4,317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4,317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35,072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35,072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35,072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20" w:type="dxa"/>
            <w:vAlign w:val="bottom"/>
            <w:gridSpan w:val="2"/>
          </w:tcPr>
          <w:p>
            <w:pPr>
              <w:ind w:left="40"/>
              <w:spacing w:after="0"/>
              <w:rPr>
                <w:sz w:val="20"/>
                <w:szCs w:val="20"/>
                <w:color w:val="auto"/>
              </w:rPr>
            </w:pPr>
            <w:r>
              <w:rPr>
                <w:rFonts w:ascii="Arial" w:cs="Arial" w:eastAsia="Arial" w:hAnsi="Arial"/>
                <w:sz w:val="14"/>
                <w:szCs w:val="14"/>
                <w:color w:val="auto"/>
              </w:rPr>
              <w:t>Treasury stock acquired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(242,410)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(242,410)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(242,410)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stock units converted to shares</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(15,740)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(15,735)</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(15,735)</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12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June 30, 2018</w:t>
            </w:r>
          </w:p>
        </w:tc>
        <w:tc>
          <w:tcPr>
            <w:tcW w:w="10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$215,948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1,045,806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 (951,850)</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(144,752)</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165,899</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29,521</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195,420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9"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Net income including noncontrolling interests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284,142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270,868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49,949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42,023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35,072</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Non-cash restructuring and other related charges</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and write-off of program rights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468,987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468,957</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Amortization of deferred carriage fees</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7,761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8,803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81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Unrealized foreign currency transaction gain</w:t>
            </w:r>
          </w:p>
        </w:tc>
        <w:tc>
          <w:tcPr>
            <w:tcW w:w="38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(1,866)</w:t>
            </w:r>
          </w:p>
        </w:tc>
        <w:tc>
          <w:tcPr>
            <w:tcW w:w="0" w:type="dxa"/>
            <w:vAlign w:val="bottom"/>
          </w:tcPr>
          <w:p>
            <w:pPr>
              <w:spacing w:after="0"/>
              <w:rPr>
                <w:sz w:val="1"/>
                <w:szCs w:val="1"/>
                <w:color w:val="auto"/>
              </w:rPr>
            </w:pPr>
          </w:p>
        </w:tc>
      </w:tr>
      <w:tr>
        <w:trPr>
          <w:trHeight w:val="94"/>
        </w:trPr>
        <w:tc>
          <w:tcPr>
            <w:tcW w:w="81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8100" w:type="dxa"/>
            <w:vAlign w:val="bottom"/>
          </w:tcPr>
          <w:p>
            <w:pPr>
              <w:ind w:left="700"/>
              <w:spacing w:after="0"/>
              <w:rPr>
                <w:sz w:val="20"/>
                <w:szCs w:val="20"/>
                <w:color w:val="auto"/>
              </w:rPr>
            </w:pPr>
            <w:r>
              <w:rPr>
                <w:rFonts w:ascii="Arial" w:cs="Arial" w:eastAsia="Arial" w:hAnsi="Arial"/>
                <w:sz w:val="16"/>
                <w:szCs w:val="16"/>
                <w:color w:val="auto"/>
              </w:rPr>
              <w:t>Unrealized gain on derivative contracts, net</w:t>
            </w:r>
          </w:p>
        </w:tc>
        <w:tc>
          <w:tcPr>
            <w:tcW w:w="380" w:type="dxa"/>
            <w:vAlign w:val="bottom"/>
          </w:tcPr>
          <w:p>
            <w:pPr>
              <w:spacing w:after="0"/>
              <w:rPr>
                <w:sz w:val="24"/>
                <w:szCs w:val="24"/>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(17,322)</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81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38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3,947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3,800</w:t>
            </w:r>
          </w:p>
        </w:tc>
        <w:tc>
          <w:tcPr>
            <w:tcW w:w="0" w:type="dxa"/>
            <w:vAlign w:val="bottom"/>
          </w:tcPr>
          <w:p>
            <w:pPr>
              <w:spacing w:after="0"/>
              <w:rPr>
                <w:sz w:val="1"/>
                <w:szCs w:val="1"/>
                <w:color w:val="auto"/>
              </w:rPr>
            </w:pPr>
          </w:p>
        </w:tc>
      </w:tr>
      <w:tr>
        <w:trPr>
          <w:trHeight w:val="94"/>
        </w:trPr>
        <w:tc>
          <w:tcPr>
            <w:tcW w:w="81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Bad debt expense</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2,937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29,290</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Write-down of non-marketable equity securities and note receivable</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17,741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6,944</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Changes in assets and liabilities: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(40,419)</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(12,377)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Program rights and obligations,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(471,385)</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Income taxes payable</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8,948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revenue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4,392</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Deferred carriage fees, net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(2,448)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payable, accrued liabilities and other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(45,850)</w:t>
            </w:r>
          </w:p>
        </w:tc>
        <w:tc>
          <w:tcPr>
            <w:tcW w:w="0" w:type="dxa"/>
            <w:vAlign w:val="bottom"/>
          </w:tcPr>
          <w:p>
            <w:pPr>
              <w:spacing w:after="0"/>
              <w:rPr>
                <w:sz w:val="1"/>
                <w:szCs w:val="1"/>
                <w:color w:val="auto"/>
              </w:rPr>
            </w:pPr>
          </w:p>
        </w:tc>
      </w:tr>
      <w:tr>
        <w:trPr>
          <w:trHeight w:val="217"/>
        </w:trPr>
        <w:tc>
          <w:tcPr>
            <w:tcW w:w="8100" w:type="dxa"/>
            <w:vAlign w:val="bottom"/>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288,937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278,577</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(49,463)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(37,402)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of capital from investees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Investment in and loans to investees</w:t>
            </w:r>
          </w:p>
        </w:tc>
        <w:tc>
          <w:tcPr>
            <w:tcW w:w="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(87,488)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acquisition of a business, net of cash acquired</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(34,879)</w:t>
            </w:r>
          </w:p>
        </w:tc>
        <w:tc>
          <w:tcPr>
            <w:tcW w:w="0" w:type="dxa"/>
            <w:vAlign w:val="bottom"/>
          </w:tcPr>
          <w:p>
            <w:pPr>
              <w:spacing w:after="0"/>
              <w:rPr>
                <w:sz w:val="1"/>
                <w:szCs w:val="1"/>
                <w:color w:val="auto"/>
              </w:rPr>
            </w:pPr>
          </w:p>
        </w:tc>
      </w:tr>
      <w:tr>
        <w:trPr>
          <w:trHeight w:val="217"/>
        </w:trPr>
        <w:tc>
          <w:tcPr>
            <w:tcW w:w="8100" w:type="dxa"/>
            <w:vAlign w:val="bottom"/>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(43,555)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(159,422)</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Principal payments on long-term debt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Deemed repurchases of restricted stock units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(15,734)</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Purchase of treasury stock</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(58,440)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(242,409)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stock option exercises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4,317</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Principal payments on finance lease obligations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(2,625)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(6,967)</w:t>
            </w:r>
          </w:p>
        </w:tc>
        <w:tc>
          <w:tcPr>
            <w:tcW w:w="0" w:type="dxa"/>
            <w:vAlign w:val="bottom"/>
          </w:tcPr>
          <w:p>
            <w:pPr>
              <w:spacing w:after="0"/>
              <w:rPr>
                <w:sz w:val="1"/>
                <w:szCs w:val="1"/>
                <w:color w:val="auto"/>
              </w:rPr>
            </w:pPr>
          </w:p>
        </w:tc>
      </w:tr>
      <w:tr>
        <w:trPr>
          <w:trHeight w:val="217"/>
        </w:trPr>
        <w:tc>
          <w:tcPr>
            <w:tcW w:w="8100" w:type="dxa"/>
            <w:vAlign w:val="bottom"/>
          </w:tcPr>
          <w:p>
            <w:pPr>
              <w:ind w:left="112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(92,265)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(263,418)</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(144,263)</w:t>
            </w:r>
          </w:p>
        </w:tc>
        <w:tc>
          <w:tcPr>
            <w:tcW w:w="0" w:type="dxa"/>
            <w:vAlign w:val="bottom"/>
          </w:tcPr>
          <w:p>
            <w:pPr>
              <w:spacing w:after="0"/>
              <w:rPr>
                <w:sz w:val="1"/>
                <w:szCs w:val="1"/>
                <w:color w:val="auto"/>
              </w:rPr>
            </w:pP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1,604</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558,783</w:t>
            </w:r>
          </w:p>
        </w:tc>
        <w:tc>
          <w:tcPr>
            <w:tcW w:w="0" w:type="dxa"/>
            <w:vAlign w:val="bottom"/>
          </w:tcPr>
          <w:p>
            <w:pPr>
              <w:spacing w:after="0"/>
              <w:rPr>
                <w:sz w:val="1"/>
                <w:szCs w:val="1"/>
                <w:color w:val="auto"/>
              </w:rPr>
            </w:pPr>
          </w:p>
        </w:tc>
      </w:tr>
      <w:tr>
        <w:trPr>
          <w:trHeight w:val="244"/>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706,342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416,124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60" w:top="369" w:right="23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60" w:top="369"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170"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National Networks: </w:t>
      </w:r>
      <w:r>
        <w:rPr>
          <w:rFonts w:ascii="Arial" w:cs="Arial" w:eastAsia="Arial" w:hAnsi="Arial"/>
          <w:sz w:val="18"/>
          <w:szCs w:val="18"/>
          <w:color w:val="auto"/>
        </w:rPr>
        <w:t>Includes activities of our five national programming networks, AMC Studios operations and AMC Broadcasting &amp;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Our national programming networks are AMC, WE tv, BBC AMERICA, IFC and SundanceTV in the United States ("U.S."); and AMC and IFC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188" w:lineRule="exact"/>
        <w:rPr>
          <w:rFonts w:ascii="Arial" w:cs="Arial" w:eastAsia="Arial" w:hAnsi="Arial"/>
          <w:sz w:val="18"/>
          <w:szCs w:val="18"/>
          <w:i w:val="1"/>
          <w:iCs w:val="1"/>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Principally includes AMC Networks International (AMCNI), the Company's international programming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a portfolio of channels around the world; IFC Films, the Company's independent film distribution business; Levity Entertainment Group LLC ("Levity"), acquired April 20, 2018, our production services and comedy venues company; RLJ Entertainment Inc. ("RLJE"), acquired October 1, 2018, a content distribution company that also includes the subscription streaming services Acorn TV and Urban Movie Channel ("UMC") and our subscription streaming services, Sundance Now and Shudder.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voting interest is maintained or variable interest entities ("VIEs") in which the Company has determined it is the primary beneficiary. All intercompany transactions and balances have been eliminated in consolidation.</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2018 contained in the Company's Annual Report on Form 10-K ("2018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Revision to Previously Issued Financial Statements</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We have revised the condensed consolidated financial statements included herein to correct an error related to the foreign currency translation amounts reported in the condensed consolidated statement of comprehensive income for the three and six months ended June 30, 2018. The revision resulted in a decrease of $53.2 million to each of the following line items in the condensed consolidated statement of comprehensive income: (i) foreign currency translation adjustment, (ii) other comprehensive income (loss) and (iii) comprehensive income attributable to AMC Networks’ stockholders, for both the three and six months ended June 30, 2018. In accordance with accounting guidance in ASC Topic 250-10, </w:t>
      </w:r>
      <w:r>
        <w:rPr>
          <w:rFonts w:ascii="Arial" w:cs="Arial" w:eastAsia="Arial" w:hAnsi="Arial"/>
          <w:sz w:val="17"/>
          <w:szCs w:val="17"/>
          <w:i w:val="1"/>
          <w:iCs w:val="1"/>
          <w:color w:val="auto"/>
        </w:rPr>
        <w:t>Accounting Changes and Error Corrections (SEC Staff</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Bulletin Topic 1M)</w:t>
      </w:r>
      <w:r>
        <w:rPr>
          <w:rFonts w:ascii="Arial" w:cs="Arial" w:eastAsia="Arial" w:hAnsi="Arial"/>
          <w:sz w:val="17"/>
          <w:szCs w:val="17"/>
          <w:color w:val="auto"/>
        </w:rPr>
        <w:t>, we assessed the materiality of the errors from quantitative and qualitative perspectives and concluded that the errors were not</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to our previously issued financial statements. Consequently, we are correcting these errors in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 Rights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periodically reviews the programming usefulness of its licensed and owned original program rights based on a series of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a write-off of the unamortized cost is included in technical and operating expense. Program rights write-offs, included in technical</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operating expense, were $10.3 million and $3.9 million for the three months ended June 30, 2019 and June 30, 2018, respectively. Program rights write-offs, included in technical and operating expense, were $13.6 million and $9.2 million for the six months ended June 30, 2019 and June 30, 2018, respectively. Program write-offs, included in Restructuring and other related charges, were $13.0 million for the three and six months ended June 30, 2019 (see Note 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Lease Standard</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on January 1, 2019, using the modified retrospective approach and effective date method. In addition, the Company elected the package of practical expedients, permitted under the transition guidance within the new standard, which among other things, allowed for the carry forward of the historical classification of leases. The adoption of the new standard resulted in additional net lease assets of $180.0 million (which is net of the historical deferred rent liability balance of $57.0 million) and lease liabilities of $237.0 million, respectively, as of January 1, 2019. The new standard did not materially impact our consolidated net income or cash flows. See Note 10 for further discussion regarding leases.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August 2018, the Financial Accounting Standards Board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ASU 2018-13 changes the disclosure requirements for fair value measurements and is effective for the first quarter of 2020, with early adoption permitted. ASU 2018-13 changes disclosure requirements related to transfers between Level I and II assets, as well as several aspects surrounding the valuation process and unrealized gains and losses related to Level III assets. The Company is currently evaluating the impact the adoption of the modified disclosure requirements will have on its consolidated financial statements.</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March 2019, the FASB issued ASU No. 2019-02, </w:t>
      </w:r>
      <w:r>
        <w:rPr>
          <w:rFonts w:ascii="Arial" w:cs="Arial" w:eastAsia="Arial" w:hAnsi="Arial"/>
          <w:sz w:val="18"/>
          <w:szCs w:val="18"/>
          <w:i w:val="1"/>
          <w:iCs w:val="1"/>
          <w:color w:val="auto"/>
        </w:rPr>
        <w:t>Improvements to Accounting for Costs of Films and License Agreements for Program Materials</w:t>
      </w:r>
      <w:r>
        <w:rPr>
          <w:rFonts w:ascii="Arial" w:cs="Arial" w:eastAsia="Arial" w:hAnsi="Arial"/>
          <w:sz w:val="18"/>
          <w:szCs w:val="18"/>
          <w:color w:val="auto"/>
        </w:rPr>
        <w:t>. ASU 2019-02 aligns the accounting for production costs of episodic television series with the accounting for production costs of films. It also requires an entity to test a film or license agreement within the scope of Subtopic 920-350 for impairment at the film group level, when the film or license agreement is predominantly monetized with other films and/or license agreements. The changes in this standard are effective for the first quarter of 2020, with early adoption permitted. The Company is currently evaluating the impact the adoption of the prospective disclosure requirements will have on its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2019, other than contracts for which the Company has applied the practical expedients, the aggregate amount of transaction price allocated to remaining performance obligations was not material to our consolidated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June 30, 2019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97"/>
              </w:rPr>
              <w:t>December 31, 2018</w:t>
            </w: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Balances from contracts with customers: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Accounts receivable (including long-term, included in Other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1,042,312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1,018,105</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9,131</w:t>
            </w:r>
          </w:p>
        </w:tc>
      </w:tr>
      <w:tr>
        <w:trPr>
          <w:trHeight w:val="243"/>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Contract assets, long-term (included in Other assets)</w:t>
            </w:r>
          </w:p>
        </w:tc>
        <w:tc>
          <w:tcPr>
            <w:tcW w:w="34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8,696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8,136</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7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liabilities (Deferred revenue)</w:t>
            </w:r>
          </w:p>
        </w:tc>
        <w:tc>
          <w:tcPr>
            <w:tcW w:w="34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56,577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55,424</w:t>
            </w:r>
          </w:p>
        </w:tc>
      </w:tr>
      <w:tr>
        <w:trPr>
          <w:trHeight w:val="27"/>
        </w:trPr>
        <w:tc>
          <w:tcPr>
            <w:tcW w:w="7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recognized for the six months ended June 30, 2019 relating to the contract liability at December 31, 2018 was $9.2 million.</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980" w:type="dxa"/>
            <w:vAlign w:val="bottom"/>
            <w:gridSpan w:val="4"/>
          </w:tcPr>
          <w:p>
            <w:pPr>
              <w:ind w:left="400"/>
              <w:spacing w:after="0"/>
              <w:rPr>
                <w:sz w:val="20"/>
                <w:szCs w:val="20"/>
                <w:color w:val="auto"/>
              </w:rPr>
            </w:pPr>
            <w:r>
              <w:rPr>
                <w:rFonts w:ascii="Arial" w:cs="Arial" w:eastAsia="Arial" w:hAnsi="Arial"/>
                <w:sz w:val="16"/>
                <w:szCs w:val="16"/>
                <w:b w:val="1"/>
                <w:bCs w:val="1"/>
                <w:color w:val="auto"/>
              </w:rPr>
              <w:t>Three Months Ended June 30,</w:t>
            </w:r>
          </w:p>
        </w:tc>
        <w:tc>
          <w:tcPr>
            <w:tcW w:w="3060" w:type="dxa"/>
            <w:vAlign w:val="bottom"/>
            <w:gridSpan w:val="3"/>
          </w:tcPr>
          <w:p>
            <w:pPr>
              <w:jc w:val="right"/>
              <w:ind w:right="47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3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8"/>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56,590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56,589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59,354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Effect of dilution:</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687</w:t>
            </w:r>
          </w:p>
        </w:tc>
      </w:tr>
      <w:tr>
        <w:trPr>
          <w:trHeight w:val="27"/>
        </w:trPr>
        <w:tc>
          <w:tcPr>
            <w:tcW w:w="53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57,335</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58,387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57,529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60,044</w:t>
            </w:r>
          </w:p>
        </w:tc>
      </w:tr>
      <w:tr>
        <w:trPr>
          <w:trHeight w:val="20"/>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Approximately 1.5 million restricted stock units outstanding as of June 30, 2019 and June 30, 2018, have been excluded from diluted weighted average common shares outstanding since a performance condition for these awards was not met in each of the respective periods. As of June 30, 2019, there were 0.3 million restricted stock units that would have been anti-dilutive to the diluted weighted average common shares outstanding.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six months ended June 30, 2019, the Company repurchased 1.1 million shares of its Class A Common Stock at an average purchase price of approximately $54.61 per share. As of June 30, 2019, the Company has $501.0 million of authorization remaining for repurchase under the Stock Repurchase Program.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and Other Related Charges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and other related charges of $17.2 million and $19.8 million for the three and six months ended June 30, 2019, respectively, primarily related to the direct to consumer re-organization described below as well as severance and other personnel related costs incurred at AMCNI associated with the termination of distribution in certain territories.</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2018, management commenced a restructuring initiative designed to reduce the cost structure of the Company. The restructuring was intended to improve the organizational design of the Company through the elimination of certain roles, a reduction in the grade of certain roles, an increase in the span of responsibilities of certain senior managers, and the realignment of certain senior leaders to new or additional responsibilities. The Company incurred severance and other personnel related costs of $2.9 million and $3.9 million for the three and six months ended June 30, 2019, respectively.</w:t>
      </w:r>
    </w:p>
    <w:p>
      <w:pPr>
        <w:spacing w:after="0" w:line="15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May 2019, management commenced a restructuring initiative of the Company's owned subscription streaming services. The restructuring combined the Company's owned subscription streaming services under one management team. In connection with this reorganization, a number of roles were eliminated to address redundancy at the senior management level and improve the effectiveness of management while reducing the cost structure of the Company. Restructuring charges incurred of $1.3 million for the three months ended June 30, 2019 related to severance and other personnel related costs.</w:t>
      </w:r>
    </w:p>
    <w:p>
      <w:pPr>
        <w:spacing w:after="0" w:line="15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connection with the management changes in the direct to consumer business, the Company implemented changes to its strategy for one of its owned subscription streaming services, including programming that will no longer be made available. Other related charges incurred of $13.0 million for the three months ended June 30, 2019 related to a write-off of programming in connection with the direct to consumer reorganization and change in strategy.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388"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b w:val="1"/>
                <w:bCs w:val="1"/>
                <w:color w:val="auto"/>
              </w:rPr>
              <w:t>Three Months Ended June</w:t>
            </w:r>
          </w:p>
        </w:tc>
        <w:tc>
          <w:tcPr>
            <w:tcW w:w="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0"/>
        </w:trPr>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jc w:val="right"/>
              <w:ind w:right="874"/>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8"/>
                <w:szCs w:val="18"/>
                <w:color w:val="auto"/>
              </w:rPr>
            </w:pPr>
          </w:p>
        </w:tc>
        <w:tc>
          <w:tcPr>
            <w:tcW w:w="2120" w:type="dxa"/>
            <w:vAlign w:val="bottom"/>
            <w:gridSpan w:val="2"/>
          </w:tcPr>
          <w:p>
            <w:pPr>
              <w:jc w:val="right"/>
              <w:ind w:right="32"/>
              <w:spacing w:after="0"/>
              <w:rPr>
                <w:sz w:val="20"/>
                <w:szCs w:val="20"/>
                <w:color w:val="auto"/>
              </w:rPr>
            </w:pPr>
            <w:r>
              <w:rPr>
                <w:rFonts w:ascii="Arial" w:cs="Arial" w:eastAsia="Arial" w:hAnsi="Arial"/>
                <w:sz w:val="16"/>
                <w:szCs w:val="16"/>
                <w:b w:val="1"/>
                <w:bCs w:val="1"/>
                <w:color w:val="auto"/>
                <w:w w:val="95"/>
              </w:rPr>
              <w:t>Six Months Ended June 30,</w:t>
            </w:r>
          </w:p>
        </w:tc>
      </w:tr>
      <w:tr>
        <w:trPr>
          <w:trHeight w:val="33"/>
        </w:trPr>
        <w:tc>
          <w:tcPr>
            <w:tcW w:w="5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81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812"/>
              <w:spacing w:after="0"/>
              <w:rPr>
                <w:sz w:val="20"/>
                <w:szCs w:val="20"/>
                <w:color w:val="auto"/>
              </w:rPr>
            </w:pPr>
            <w:r>
              <w:rPr>
                <w:rFonts w:ascii="Arial" w:cs="Arial" w:eastAsia="Arial" w:hAnsi="Arial"/>
                <w:sz w:val="16"/>
                <w:szCs w:val="16"/>
                <w:b w:val="1"/>
                <w:bCs w:val="1"/>
                <w:color w:val="auto"/>
              </w:rPr>
              <w:t>2019</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International &amp; Other</w:t>
            </w:r>
          </w:p>
        </w:tc>
        <w:tc>
          <w:tcPr>
            <w:tcW w:w="120" w:type="dxa"/>
            <w:vAlign w:val="bottom"/>
          </w:tcPr>
          <w:p>
            <w:pPr>
              <w:spacing w:after="0"/>
              <w:rPr>
                <w:sz w:val="21"/>
                <w:szCs w:val="21"/>
                <w:color w:val="auto"/>
              </w:rPr>
            </w:pPr>
          </w:p>
        </w:tc>
        <w:tc>
          <w:tcPr>
            <w:tcW w:w="2000" w:type="dxa"/>
            <w:vAlign w:val="bottom"/>
          </w:tcPr>
          <w:p>
            <w:pPr>
              <w:jc w:val="right"/>
              <w:ind w:right="14"/>
              <w:spacing w:after="0"/>
              <w:rPr>
                <w:sz w:val="20"/>
                <w:szCs w:val="20"/>
                <w:color w:val="auto"/>
              </w:rPr>
            </w:pPr>
            <w:r>
              <w:rPr>
                <w:rFonts w:ascii="Arial" w:cs="Arial" w:eastAsia="Arial" w:hAnsi="Arial"/>
                <w:sz w:val="18"/>
                <w:szCs w:val="18"/>
                <w:color w:val="auto"/>
              </w:rPr>
              <w:t>16,888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19,923</w:t>
            </w:r>
          </w:p>
        </w:tc>
      </w:tr>
      <w:tr>
        <w:trPr>
          <w:trHeight w:val="27"/>
        </w:trPr>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57"/>
        </w:trPr>
        <w:tc>
          <w:tcPr>
            <w:tcW w:w="5680" w:type="dxa"/>
            <w:vAlign w:val="bottom"/>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17,162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19,804</w:t>
            </w: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restructuring and other charges recognized for the three and six months ended June 30, 2019:</w:t>
      </w:r>
    </w:p>
    <w:p>
      <w:pPr>
        <w:spacing w:after="0" w:line="388"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gridSpan w:val="5"/>
          </w:tcPr>
          <w:p>
            <w:pPr>
              <w:jc w:val="right"/>
              <w:spacing w:after="0"/>
              <w:rPr>
                <w:sz w:val="20"/>
                <w:szCs w:val="20"/>
                <w:color w:val="auto"/>
              </w:rPr>
            </w:pPr>
            <w:r>
              <w:rPr>
                <w:rFonts w:ascii="Arial" w:cs="Arial" w:eastAsia="Arial" w:hAnsi="Arial"/>
                <w:sz w:val="16"/>
                <w:szCs w:val="16"/>
                <w:b w:val="1"/>
                <w:bCs w:val="1"/>
                <w:color w:val="auto"/>
                <w:w w:val="97"/>
              </w:rPr>
              <w:t>Three Months Ended June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6"/>
                <w:szCs w:val="16"/>
                <w:b w:val="1"/>
                <w:bCs w:val="1"/>
                <w:color w:val="auto"/>
              </w:rPr>
              <w:t>30,</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5"/>
          </w:tcPr>
          <w:p>
            <w:pPr>
              <w:jc w:val="right"/>
              <w:ind w:right="180"/>
              <w:spacing w:after="0"/>
              <w:rPr>
                <w:sz w:val="20"/>
                <w:szCs w:val="20"/>
                <w:color w:val="auto"/>
              </w:rPr>
            </w:pPr>
            <w:r>
              <w:rPr>
                <w:rFonts w:ascii="Arial" w:cs="Arial" w:eastAsia="Arial" w:hAnsi="Arial"/>
                <w:sz w:val="16"/>
                <w:szCs w:val="16"/>
                <w:b w:val="1"/>
                <w:bCs w:val="1"/>
                <w:color w:val="auto"/>
                <w:w w:val="95"/>
              </w:rPr>
              <w:t>Six Months Ended June 30,</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6"/>
                <w:szCs w:val="16"/>
                <w:b w:val="1"/>
                <w:bCs w:val="1"/>
                <w:color w:val="auto"/>
                <w:w w:val="89"/>
              </w:rPr>
              <w:t>2019</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812"/>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600" w:type="dxa"/>
            <w:vAlign w:val="bottom"/>
            <w:tcBorders>
              <w:bottom w:val="single" w:sz="8" w:color="CCEEFF"/>
            </w:tcBorders>
            <w:gridSpan w:val="3"/>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Other related charges</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13,017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17,162</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color w:val="auto"/>
              </w:rPr>
              <w:t>The following table summarizes the accrued restructuring costs:</w:t>
            </w: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194"/>
              <w:spacing w:after="0"/>
              <w:rPr>
                <w:sz w:val="20"/>
                <w:szCs w:val="20"/>
                <w:color w:val="auto"/>
              </w:rPr>
            </w:pPr>
            <w:r>
              <w:rPr>
                <w:rFonts w:ascii="Arial" w:cs="Arial" w:eastAsia="Arial" w:hAnsi="Arial"/>
                <w:sz w:val="16"/>
                <w:szCs w:val="16"/>
                <w:b w:val="1"/>
                <w:bCs w:val="1"/>
                <w:color w:val="auto"/>
                <w:w w:val="97"/>
              </w:rPr>
              <w:t>Severance and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86"/>
              </w:rPr>
              <w:t>employee-related costs</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6"/>
                <w:szCs w:val="16"/>
                <w:b w:val="1"/>
                <w:bCs w:val="1"/>
                <w:color w:val="auto"/>
                <w:w w:val="89"/>
              </w:rPr>
              <w:t>Other related costs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33,774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5,220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gridSpan w:val="3"/>
          </w:tcPr>
          <w:p>
            <w:pPr>
              <w:jc w:val="right"/>
              <w:ind w:right="14"/>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(21,115)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(21,520)</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Non-cash adjustments</w:t>
            </w:r>
          </w:p>
        </w:tc>
        <w:tc>
          <w:tcPr>
            <w:tcW w:w="2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(884)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4"/>
              </w:rPr>
              <w:t>(2,363)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Balance at June 30, 2019</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17,034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gridSpan w:val="3"/>
          </w:tcPr>
          <w:p>
            <w:pPr>
              <w:jc w:val="right"/>
              <w:ind w:right="14"/>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17,264</w:t>
            </w:r>
          </w:p>
        </w:tc>
        <w:tc>
          <w:tcPr>
            <w:tcW w:w="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Accrued restructuring costs of $11.8 million are included in accrued liabilities and $5.5 million are included in other liabilities (long-term) in the consolidated balance sheet at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RLJ Entertainment</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October 2018, the Company acquired a controlling interest in RLJE, a premium subscription streaming services company that operates Acorn TV and UMC. Acorn TV features high-quality British and International mysteries and dramas. UMC showcases quality urban programming including feature films, documentaries, original series, stand-up comedy and other exclusive content for African-American and urban audiences. In addition, RLJE owns a majority interest in Agatha Christie Ltd., a popular world-class franchise.</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RLJE also controls, co-produces, and either owns or has long-term distribution rights to a large library of content primarily consisting of British mysteries and dramas, independent feature films and urban content. In addition to supporting its streaming services, the company monetizes its library through distribution operations across virtually all available media platforms and is distributed in the United States, Canada, U.K. and Australia.</w:t>
      </w:r>
    </w:p>
    <w:p>
      <w:pPr>
        <w:spacing w:after="0" w:line="16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accounted for the acquisition of RLJE using the acquisition method of accounting. The acquisition method of accounting requires, among other things, that the assets acquired and liabilities assumed in a business combination be measured at their estimated respective fair values as of the closing date of the acquisition. Goodwill recognized in connection with this transaction represents primarily the potential economic benefits that the Company believes may arise from the acquisition. The goodwill associated with the RLJE acquisition is generally not deductible for tax purposes.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acquisition accounting for RLJE as reflected in these consolidated financial statements is preliminary. The estimated fair values that are not yet finalized relate to the valuation of certain tax liabilities.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following table summarizes the preliminary valuation of the tangible and identifiable intangible assets acquired and liabilities assumed as of October 1, 2018, the date the Company obtained a controlling interest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equity consideration transferred</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41,513</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Fair value of previously held equity interest</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130,890</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redeemable noncontrolling interest</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103,359</w:t>
            </w:r>
          </w:p>
        </w:tc>
      </w:tr>
      <w:tr>
        <w:trPr>
          <w:trHeight w:val="237"/>
        </w:trPr>
        <w:tc>
          <w:tcPr>
            <w:tcW w:w="96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275,762</w:t>
            </w:r>
          </w:p>
        </w:tc>
      </w:tr>
      <w:tr>
        <w:trPr>
          <w:trHeight w:val="67"/>
        </w:trPr>
        <w:tc>
          <w:tcPr>
            <w:tcW w:w="96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Allocation to net assets acquired:</w:t>
            </w:r>
          </w:p>
        </w:tc>
        <w:tc>
          <w:tcPr>
            <w:tcW w:w="6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Cash</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3,360</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963</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Programming rights</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69,775</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2,841</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(equity method investments)</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38,800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126,600</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(12,008)</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6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(41,501)</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(25,187)</w:t>
            </w:r>
          </w:p>
        </w:tc>
      </w:tr>
      <w:tr>
        <w:trPr>
          <w:trHeight w:val="237"/>
        </w:trPr>
        <w:tc>
          <w:tcPr>
            <w:tcW w:w="96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179,959</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95,803</w:t>
            </w:r>
          </w:p>
        </w:tc>
      </w:tr>
      <w:tr>
        <w:trPr>
          <w:trHeight w:val="237"/>
        </w:trPr>
        <w:tc>
          <w:tcPr>
            <w:tcW w:w="96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275,762</w:t>
            </w:r>
          </w:p>
        </w:tc>
      </w:tr>
      <w:tr>
        <w:trPr>
          <w:trHeight w:val="27"/>
        </w:trPr>
        <w:tc>
          <w:tcPr>
            <w:tcW w:w="96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Levity Entertainment Group LLC</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April 20, 2018, the Company acquired a 57% controlling interest in Levity, a production services and comedy venues company, for a total purchase price of $48.4 million. The purchase price consisted of a $35.0 million payment for the outstanding Class B Common Units of Levity and the acquisition of Series L Preferred Units for $13.4 million. The Company has entered into arrangements with the noncontrolling members related to the governance of Levity following the acquisition. The Company views this acquisition as complementary to its business and programming content strategy.</w:t>
      </w:r>
    </w:p>
    <w:p>
      <w:pPr>
        <w:spacing w:after="0" w:line="15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accounted for the acquisition of Levity using the acquisition method of accounting. The acquisition method of accounting requires, among other things, that the assets acquired and liabilities assumed in a business combination be measured at their estimated respective fair values as of the closing date of the acquisition. Goodwill recognized in connection with this transaction represents primarily the potential economic benefits that the Company believes may arise from the acquisition. The goodwill associated with the Levity acquisition is generally deductible for tax purposes.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valuation of the tangible and identifiable intangible assets acquired and liabilities assumed (in thousands).</w:t>
      </w: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controlling interest</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48,350</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30,573</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5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78,923</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Allocation to net assets acquired:</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13,471</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17,251</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20,663</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46,413</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(23,647)</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(21,394)</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Noncontrolling interests acquired</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net assets acquired</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54,709</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24,214</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5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78,923</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following unaudited pro forma financial information is based on (i) the historical financial statements of AMC Networks, (ii) the historical financial statements of RLJE and (iii) the historical financial statements of Levity and is intended to provide information about how the acquisitions may have affected the Company's historical consolidated financial statements if they had occurred as of January 1, 2018. The unaudited pro forma information has been prepared for comparative purposes only and includes adjustments for estimated additional depreciation and amortization expense as a result of tangible and identifiable intangible assets acquired. The pro forma information is not necessarily indicative of the results of operations that would have been achieved had the acquisition taken place on the date indicated or that may result in the future.</w:t>
      </w:r>
    </w:p>
    <w:p>
      <w:pPr>
        <w:spacing w:after="0" w:line="341"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Pro Forma Financial</w:t>
            </w:r>
          </w:p>
        </w:tc>
        <w:tc>
          <w:tcPr>
            <w:tcW w:w="200" w:type="dxa"/>
            <w:vAlign w:val="bottom"/>
          </w:tcPr>
          <w:p>
            <w:pPr>
              <w:spacing w:after="0"/>
              <w:rPr>
                <w:sz w:val="17"/>
                <w:szCs w:val="17"/>
                <w:color w:val="auto"/>
              </w:rPr>
            </w:pPr>
          </w:p>
        </w:tc>
        <w:tc>
          <w:tcPr>
            <w:tcW w:w="180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Pro Forma Financial</w:t>
            </w:r>
          </w:p>
        </w:tc>
      </w:t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Information</w:t>
            </w:r>
          </w:p>
        </w:tc>
        <w:tc>
          <w:tcPr>
            <w:tcW w:w="200" w:type="dxa"/>
            <w:vAlign w:val="bottom"/>
          </w:tcPr>
          <w:p>
            <w:pPr>
              <w:spacing w:after="0"/>
              <w:rPr>
                <w:sz w:val="17"/>
                <w:szCs w:val="17"/>
                <w:color w:val="auto"/>
              </w:rPr>
            </w:pPr>
          </w:p>
        </w:tc>
        <w:tc>
          <w:tcPr>
            <w:tcW w:w="1800" w:type="dxa"/>
            <w:vAlign w:val="bottom"/>
          </w:tcPr>
          <w:p>
            <w:pPr>
              <w:jc w:val="center"/>
              <w:ind w:right="114"/>
              <w:spacing w:after="0"/>
              <w:rPr>
                <w:sz w:val="20"/>
                <w:szCs w:val="20"/>
                <w:color w:val="auto"/>
              </w:rPr>
            </w:pPr>
            <w:r>
              <w:rPr>
                <w:rFonts w:ascii="Arial" w:cs="Arial" w:eastAsia="Arial" w:hAnsi="Arial"/>
                <w:sz w:val="16"/>
                <w:szCs w:val="16"/>
                <w:b w:val="1"/>
                <w:bCs w:val="1"/>
                <w:color w:val="auto"/>
                <w:w w:val="95"/>
              </w:rPr>
              <w:t>Information</w:t>
            </w:r>
          </w:p>
        </w:tc>
      </w:t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For the Three Months Ended</w:t>
            </w:r>
          </w:p>
        </w:tc>
        <w:tc>
          <w:tcPr>
            <w:tcW w:w="2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For the Six Months Ended</w:t>
            </w:r>
          </w:p>
        </w:tc>
      </w:tr>
      <w:tr>
        <w:trPr>
          <w:trHeight w:val="237"/>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20"/>
                <w:szCs w:val="20"/>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2018</w:t>
            </w:r>
          </w:p>
        </w:tc>
        <w:tc>
          <w:tcPr>
            <w:tcW w:w="200" w:type="dxa"/>
            <w:vAlign w:val="bottom"/>
          </w:tcPr>
          <w:p>
            <w:pPr>
              <w:spacing w:after="0"/>
              <w:rPr>
                <w:sz w:val="20"/>
                <w:szCs w:val="20"/>
                <w:color w:val="auto"/>
              </w:rPr>
            </w:pPr>
          </w:p>
        </w:tc>
        <w:tc>
          <w:tcPr>
            <w:tcW w:w="1800" w:type="dxa"/>
            <w:vAlign w:val="bottom"/>
          </w:tcPr>
          <w:p>
            <w:pPr>
              <w:jc w:val="center"/>
              <w:ind w:right="134"/>
              <w:spacing w:after="0"/>
              <w:rPr>
                <w:sz w:val="20"/>
                <w:szCs w:val="20"/>
                <w:color w:val="auto"/>
              </w:rPr>
            </w:pPr>
            <w:r>
              <w:rPr>
                <w:rFonts w:ascii="Arial" w:cs="Arial" w:eastAsia="Arial" w:hAnsi="Arial"/>
                <w:sz w:val="16"/>
                <w:szCs w:val="16"/>
                <w:b w:val="1"/>
                <w:bCs w:val="1"/>
                <w:color w:val="auto"/>
                <w:w w:val="90"/>
              </w:rPr>
              <w:t>June 30, 2018</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793,552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1,592,689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101,452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249,680</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per share,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4.16</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holds several investments and loans in non-consolidated entities which are included in Other assets in the condensed consolidated balance sheet. Equity method investments were $88.5 million at June 30, 2019 and $90.9 million at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included in Miscellaneous, net in the condensed consolidated statement of income. Investments in marketable equity securities were $1.5 million at June 30, 2019 and $1.2 million at December 31,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classifies investments without readily determinable fair values that are not accounted for under the equity method as non-marketable equity securities. The accounting guidance requires non-marketable equity securities to be recorded at</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included in Miscellaneous, net in the condensed consolidated statement of income.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Investments in non-marketable equity securities were $61.8 million at June 30, 2019 and $71.8 million at December 31, 2018.</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For the six months ended June 30, 2019, the Company recognized impairment charges of $17.7 million related to the partial write-down of certain non-marketable equity securities and a note receivable, included in Miscellaneous, net in the condensed consolidated statement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International</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National Networks</w:t>
            </w: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and Other</w:t>
            </w:r>
          </w:p>
        </w:tc>
        <w:tc>
          <w:tcPr>
            <w:tcW w:w="420" w:type="dxa"/>
            <w:vAlign w:val="bottom"/>
          </w:tcPr>
          <w:p>
            <w:pPr>
              <w:spacing w:after="0"/>
              <w:rPr>
                <w:sz w:val="20"/>
                <w:szCs w:val="20"/>
                <w:color w:val="auto"/>
              </w:rPr>
            </w:pPr>
          </w:p>
        </w:tc>
        <w:tc>
          <w:tcPr>
            <w:tcW w:w="1380" w:type="dxa"/>
            <w:vAlign w:val="bottom"/>
          </w:tcPr>
          <w:p>
            <w:pPr>
              <w:jc w:val="right"/>
              <w:ind w:right="631"/>
              <w:spacing w:after="0"/>
              <w:rPr>
                <w:sz w:val="20"/>
                <w:szCs w:val="20"/>
                <w:color w:val="auto"/>
              </w:rPr>
            </w:pPr>
            <w:r>
              <w:rPr>
                <w:rFonts w:ascii="Arial" w:cs="Arial" w:eastAsia="Arial" w:hAnsi="Arial"/>
                <w:sz w:val="16"/>
                <w:szCs w:val="16"/>
                <w:b w:val="1"/>
                <w:bCs w:val="1"/>
                <w:color w:val="auto"/>
              </w:rPr>
              <w:t>Total</w:t>
            </w:r>
          </w:p>
        </w:tc>
      </w:tr>
      <w:tr>
        <w:trPr>
          <w:trHeight w:val="250"/>
        </w:trPr>
        <w:tc>
          <w:tcPr>
            <w:tcW w:w="5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559,606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798,037</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Purchase accounting adjustments</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(3,848)</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"second component" goodwill</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(1,442)</w:t>
            </w:r>
          </w:p>
        </w:tc>
      </w:tr>
      <w:tr>
        <w:trPr>
          <w:trHeight w:val="27"/>
        </w:trPr>
        <w:tc>
          <w:tcPr>
            <w:tcW w:w="5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237,767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554,316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792,083</w:t>
            </w: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Purchase accounting adjustments relate to the acquisition of RLJE (see Note 5).</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reduction of $0.7 million in the carrying amount of goodwill for the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June 30, 2019</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133"/>
              <w:spacing w:after="0"/>
              <w:rPr>
                <w:sz w:val="20"/>
                <w:szCs w:val="20"/>
                <w:color w:val="auto"/>
              </w:rPr>
            </w:pPr>
            <w:r>
              <w:rPr>
                <w:rFonts w:ascii="Arial" w:cs="Arial" w:eastAsia="Arial" w:hAnsi="Arial"/>
                <w:sz w:val="16"/>
                <w:szCs w:val="16"/>
                <w:b w:val="1"/>
                <w:bCs w:val="1"/>
                <w:color w:val="auto"/>
              </w:rPr>
              <w:t>Estimated Useful</w:t>
            </w: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jc w:val="right"/>
              <w:ind w:right="533"/>
              <w:spacing w:after="0"/>
              <w:rPr>
                <w:sz w:val="20"/>
                <w:szCs w:val="20"/>
                <w:color w:val="auto"/>
              </w:rPr>
            </w:pPr>
            <w:r>
              <w:rPr>
                <w:rFonts w:ascii="Arial" w:cs="Arial" w:eastAsia="Arial" w:hAnsi="Arial"/>
                <w:sz w:val="16"/>
                <w:szCs w:val="16"/>
                <w:b w:val="1"/>
                <w:bCs w:val="1"/>
                <w:color w:val="auto"/>
              </w:rPr>
              <w:t>Lives</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615,431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(213,991)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401,440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 to 25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26,565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years</w:t>
            </w: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124,388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(21,341)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103,047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to 20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6,419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to 15 years</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799,693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(262,222)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537,471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819,593</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(262,222)</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557,371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1"/>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December 31, 2018</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620,771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(198,500)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422,271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28,669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118,772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(17,971)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100,801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7,266</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799,468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(240,461)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559,007</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819,368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(240,461)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578,907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Aggregate amortization expense for amortizable intangible assets for the six months ended June 30, 2019 and 2018 was $22.3 million and $19.1 million, respectively. Estimated aggregate amortization expense for intangible assets subject to amortization for each of the following five years is: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73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4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5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47,938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47,123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46,069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45,987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594"/>
        </w:trPr>
        <w:tc>
          <w:tcPr>
            <w:tcW w:w="7420" w:type="dxa"/>
            <w:vAlign w:val="bottom"/>
            <w:gridSpan w:val="3"/>
          </w:tcPr>
          <w:p>
            <w:pPr>
              <w:spacing w:after="0"/>
              <w:rPr>
                <w:sz w:val="20"/>
                <w:szCs w:val="20"/>
                <w:color w:val="auto"/>
              </w:rPr>
            </w:pPr>
            <w:r>
              <w:rPr>
                <w:rFonts w:ascii="Arial" w:cs="Arial" w:eastAsia="Arial" w:hAnsi="Arial"/>
                <w:sz w:val="18"/>
                <w:szCs w:val="18"/>
                <w:b w:val="1"/>
                <w:bCs w:val="1"/>
                <w:color w:val="auto"/>
              </w:rPr>
              <w:t>Note 8. Accrued Liabilities</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Arial" w:cs="Arial" w:eastAsia="Arial" w:hAnsi="Arial"/>
                <w:sz w:val="18"/>
                <w:szCs w:val="18"/>
                <w:color w:val="auto"/>
              </w:rPr>
              <w:t>Accrued liabilities consist of the following:</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4"/>
                <w:szCs w:val="24"/>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4"/>
                <w:szCs w:val="24"/>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2018</w:t>
            </w:r>
          </w:p>
        </w:tc>
      </w:tr>
      <w:tr>
        <w:trPr>
          <w:trHeight w:val="250"/>
        </w:trPr>
        <w:tc>
          <w:tcPr>
            <w:tcW w:w="40" w:type="dxa"/>
            <w:vAlign w:val="bottom"/>
            <w:tcBorders>
              <w:right w:val="single" w:sz="8" w:color="CCEEFF"/>
            </w:tcBorders>
          </w:tcPr>
          <w:p>
            <w:pPr>
              <w:spacing w:after="0"/>
              <w:rPr>
                <w:sz w:val="21"/>
                <w:szCs w:val="21"/>
                <w:color w:val="auto"/>
              </w:rPr>
            </w:pPr>
          </w:p>
        </w:tc>
        <w:tc>
          <w:tcPr>
            <w:tcW w:w="7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30,018</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Employee related costs</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71,839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100,729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Other accrued expenses</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120,092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132,644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231,859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264,918</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long-term debt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0"/>
                <w:szCs w:val="20"/>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0"/>
                <w:szCs w:val="20"/>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2018</w:t>
            </w:r>
          </w:p>
        </w:tc>
      </w:tr>
      <w:tr>
        <w:trPr>
          <w:trHeight w:val="270"/>
        </w:trPr>
        <w:tc>
          <w:tcPr>
            <w:tcW w:w="7400" w:type="dxa"/>
            <w:vAlign w:val="bottom"/>
            <w:tcBorders>
              <w:top w:val="single" w:sz="8" w:color="CCEEFF"/>
            </w:tcBorders>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32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r>
      <w:tr>
        <w:trPr>
          <w:trHeight w:val="243"/>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Term Loan A Facility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750,000</w:t>
            </w:r>
          </w:p>
        </w:tc>
      </w:tr>
      <w:tr>
        <w:trPr>
          <w:trHeight w:val="27"/>
        </w:trPr>
        <w:tc>
          <w:tcPr>
            <w:tcW w:w="74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Pr>
          <w:p>
            <w:pPr>
              <w:ind w:left="20"/>
              <w:spacing w:after="0"/>
              <w:rPr>
                <w:sz w:val="20"/>
                <w:szCs w:val="20"/>
                <w:color w:val="auto"/>
              </w:rPr>
            </w:pPr>
            <w:r>
              <w:rPr>
                <w:rFonts w:ascii="Arial" w:cs="Arial" w:eastAsia="Arial" w:hAnsi="Arial"/>
                <w:sz w:val="18"/>
                <w:szCs w:val="18"/>
                <w:color w:val="auto"/>
              </w:rPr>
              <w:t>Notes due August 2025</w:t>
            </w:r>
          </w:p>
        </w:tc>
        <w:tc>
          <w:tcPr>
            <w:tcW w:w="32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800,000</w:t>
            </w: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1,000,000</w:t>
            </w: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Pr>
          <w:p>
            <w:pPr>
              <w:ind w:left="20"/>
              <w:spacing w:after="0"/>
              <w:rPr>
                <w:sz w:val="20"/>
                <w:szCs w:val="20"/>
                <w:color w:val="auto"/>
              </w:rPr>
            </w:pPr>
            <w:r>
              <w:rPr>
                <w:rFonts w:ascii="Arial" w:cs="Arial" w:eastAsia="Arial" w:hAnsi="Arial"/>
                <w:sz w:val="18"/>
                <w:szCs w:val="18"/>
                <w:color w:val="auto"/>
              </w:rPr>
              <w:t>Notes due December 2022</w:t>
            </w:r>
          </w:p>
        </w:tc>
        <w:tc>
          <w:tcPr>
            <w:tcW w:w="32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600,000</w:t>
            </w: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Other debt</w:t>
            </w:r>
          </w:p>
        </w:tc>
        <w:tc>
          <w:tcPr>
            <w:tcW w:w="65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2,584</w:t>
            </w:r>
          </w:p>
        </w:tc>
      </w:tr>
      <w:tr>
        <w:trPr>
          <w:trHeight w:val="237"/>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Total long-term debt</w:t>
            </w:r>
          </w:p>
        </w:tc>
        <w:tc>
          <w:tcPr>
            <w:tcW w:w="3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3,150,000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3,152,584</w:t>
            </w:r>
          </w:p>
        </w:tc>
      </w:tr>
      <w:tr>
        <w:trPr>
          <w:trHeight w:val="27"/>
        </w:trPr>
        <w:tc>
          <w:tcPr>
            <w:tcW w:w="74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discount</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(29,181)</w:t>
            </w: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Unamortized deferred financing costs</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(12,272)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(13,848)</w:t>
            </w:r>
          </w:p>
        </w:tc>
      </w:tr>
      <w:tr>
        <w:trPr>
          <w:trHeight w:val="27"/>
        </w:trPr>
        <w:tc>
          <w:tcPr>
            <w:tcW w:w="74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3,110,919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3,109,555</w:t>
            </w: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21,334</w:t>
            </w:r>
          </w:p>
        </w:tc>
      </w:tr>
      <w:tr>
        <w:trPr>
          <w:trHeight w:val="27"/>
        </w:trPr>
        <w:tc>
          <w:tcPr>
            <w:tcW w:w="74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portion of long-term debt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3,073,419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3,088,221</w:t>
            </w:r>
          </w:p>
        </w:tc>
      </w:tr>
      <w:tr>
        <w:trPr>
          <w:trHeight w:val="20"/>
        </w:trPr>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June 30, 2019. Total undrawn revolver commitments are available to be drawn for general corporate purposes of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Certain subsidiaries of the Company lease office space and equipment under long-term non-cancelable lease agreements which expire at various dates through 2034.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exercise of lease renewal options is at the Company's sole discretion, as such, these options are generally not recognized as part of our right-of-use asset or lease liabilities. The depreciable life of assets and leasehold improvements are limited by the expected lease term, unless there is a transfer of title or purchase option reasonably certain of exercise.</w:t>
      </w:r>
    </w:p>
    <w:p>
      <w:pPr>
        <w:spacing w:after="0" w:line="178"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The leases generally provide for fixed annual rentals plus certain other costs or credits. Some leases include rental payments based on a percentage of revenue over contractual levels or based on an index or rate. Our lease agreements do not include any material residual value guarantees or material restrictive covenants. We rent or sublease one real estate property to a third party, which constitutes an immaterial portion of our lease portfolio.</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leases included in the consolidated balance sheets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820" w:type="dxa"/>
            <w:vAlign w:val="bottom"/>
            <w:gridSpan w:val="2"/>
          </w:tcPr>
          <w:p>
            <w:pPr>
              <w:ind w:left="2340"/>
              <w:spacing w:after="0"/>
              <w:rPr>
                <w:sz w:val="20"/>
                <w:szCs w:val="20"/>
                <w:color w:val="auto"/>
              </w:rPr>
            </w:pPr>
            <w:r>
              <w:rPr>
                <w:rFonts w:ascii="Arial" w:cs="Arial" w:eastAsia="Arial" w:hAnsi="Arial"/>
                <w:sz w:val="16"/>
                <w:szCs w:val="16"/>
                <w:b w:val="1"/>
                <w:bCs w:val="1"/>
                <w:color w:val="auto"/>
              </w:rPr>
              <w:t>Balance Sheet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7"/>
        </w:trPr>
        <w:tc>
          <w:tcPr>
            <w:tcW w:w="424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5820" w:type="dxa"/>
            <w:vAlign w:val="bottom"/>
            <w:gridSpan w:val="2"/>
          </w:tcPr>
          <w:p>
            <w:pPr>
              <w:ind w:left="2540"/>
              <w:spacing w:after="0"/>
              <w:rPr>
                <w:sz w:val="20"/>
                <w:szCs w:val="20"/>
                <w:color w:val="auto"/>
              </w:rPr>
            </w:pPr>
            <w:r>
              <w:rPr>
                <w:rFonts w:ascii="Arial" w:cs="Arial" w:eastAsia="Arial" w:hAnsi="Arial"/>
                <w:sz w:val="16"/>
                <w:szCs w:val="16"/>
                <w:b w:val="1"/>
                <w:bCs w:val="1"/>
                <w:color w:val="auto"/>
              </w:rPr>
              <w:t>Location</w:t>
            </w:r>
          </w:p>
        </w:tc>
        <w:tc>
          <w:tcPr>
            <w:tcW w:w="16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June 30, 2019</w:t>
            </w:r>
          </w:p>
        </w:tc>
      </w:tr>
      <w:tr>
        <w:trPr>
          <w:trHeight w:val="202"/>
        </w:trPr>
        <w:tc>
          <w:tcPr>
            <w:tcW w:w="4240" w:type="dxa"/>
            <w:vAlign w:val="bottom"/>
            <w:tcBorders>
              <w:top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Assets</w:t>
            </w:r>
          </w:p>
        </w:tc>
        <w:tc>
          <w:tcPr>
            <w:tcW w:w="5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5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Operating</w:t>
            </w:r>
          </w:p>
        </w:tc>
        <w:tc>
          <w:tcPr>
            <w:tcW w:w="58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175,677</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Finance</w:t>
            </w:r>
          </w:p>
        </w:tc>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17,240</w:t>
            </w:r>
          </w:p>
        </w:tc>
      </w:tr>
      <w:tr>
        <w:trPr>
          <w:trHeight w:val="297"/>
        </w:trPr>
        <w:tc>
          <w:tcPr>
            <w:tcW w:w="40" w:type="dxa"/>
            <w:vAlign w:val="bottom"/>
            <w:tcBorders>
              <w:bottom w:val="single" w:sz="8" w:color="CCEEFF"/>
            </w:tcBorders>
          </w:tcPr>
          <w:p>
            <w:pPr>
              <w:spacing w:after="0"/>
              <w:rPr>
                <w:sz w:val="24"/>
                <w:szCs w:val="24"/>
                <w:color w:val="auto"/>
              </w:rPr>
            </w:pPr>
          </w:p>
        </w:tc>
        <w:tc>
          <w:tcPr>
            <w:tcW w:w="420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Total lease assets</w:t>
            </w:r>
          </w:p>
        </w:tc>
        <w:tc>
          <w:tcPr>
            <w:tcW w:w="5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192,917</w:t>
            </w:r>
          </w:p>
        </w:tc>
      </w:tr>
      <w:tr>
        <w:trPr>
          <w:trHeight w:val="237"/>
        </w:trPr>
        <w:tc>
          <w:tcPr>
            <w:tcW w:w="424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Liabilities</w:t>
            </w:r>
          </w:p>
        </w:tc>
        <w:tc>
          <w:tcPr>
            <w:tcW w:w="5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92"/>
              </w:rPr>
              <w:t>Current:</w:t>
            </w:r>
          </w:p>
        </w:tc>
        <w:tc>
          <w:tcPr>
            <w:tcW w:w="3440" w:type="dxa"/>
            <w:vAlign w:val="bottom"/>
            <w:tcBorders>
              <w:top w:val="single" w:sz="8" w:color="CCEEFF"/>
            </w:tcBorders>
          </w:tcPr>
          <w:p>
            <w:pPr>
              <w:spacing w:after="0"/>
              <w:rPr>
                <w:sz w:val="21"/>
                <w:szCs w:val="21"/>
                <w:color w:val="auto"/>
              </w:rPr>
            </w:pPr>
          </w:p>
        </w:tc>
        <w:tc>
          <w:tcPr>
            <w:tcW w:w="57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lease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27,056</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340"/>
              <w:spacing w:after="0"/>
              <w:rPr>
                <w:sz w:val="20"/>
                <w:szCs w:val="20"/>
                <w:color w:val="auto"/>
              </w:rPr>
            </w:pPr>
            <w:r>
              <w:rPr>
                <w:rFonts w:ascii="Arial" w:cs="Arial" w:eastAsia="Arial" w:hAnsi="Arial"/>
                <w:sz w:val="18"/>
                <w:szCs w:val="18"/>
                <w:color w:val="auto"/>
              </w:rPr>
              <w:t>Finance</w:t>
            </w:r>
          </w:p>
        </w:tc>
        <w:tc>
          <w:tcPr>
            <w:tcW w:w="5820" w:type="dxa"/>
            <w:vAlign w:val="bottom"/>
            <w:gridSpan w:val="2"/>
          </w:tcPr>
          <w:p>
            <w:pPr>
              <w:ind w:left="20"/>
              <w:spacing w:after="0"/>
              <w:rPr>
                <w:sz w:val="20"/>
                <w:szCs w:val="20"/>
                <w:color w:val="auto"/>
              </w:rPr>
            </w:pPr>
            <w:r>
              <w:rPr>
                <w:rFonts w:ascii="Arial" w:cs="Arial" w:eastAsia="Arial" w:hAnsi="Arial"/>
                <w:sz w:val="18"/>
                <w:szCs w:val="18"/>
                <w:color w:val="auto"/>
              </w:rPr>
              <w:t>Current portion of lease obligations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4,389</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31,445</w:t>
            </w:r>
          </w:p>
        </w:tc>
      </w:tr>
      <w:tr>
        <w:trPr>
          <w:trHeight w:val="237"/>
        </w:trPr>
        <w:tc>
          <w:tcPr>
            <w:tcW w:w="40" w:type="dxa"/>
            <w:vAlign w:val="bottom"/>
          </w:tcPr>
          <w:p>
            <w:pPr>
              <w:spacing w:after="0"/>
              <w:rPr>
                <w:sz w:val="20"/>
                <w:szCs w:val="20"/>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Noncurrent:</w:t>
            </w:r>
          </w:p>
        </w:tc>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203,815</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340"/>
              <w:spacing w:after="0"/>
              <w:rPr>
                <w:sz w:val="20"/>
                <w:szCs w:val="20"/>
                <w:color w:val="auto"/>
              </w:rPr>
            </w:pPr>
            <w:r>
              <w:rPr>
                <w:rFonts w:ascii="Arial" w:cs="Arial" w:eastAsia="Arial" w:hAnsi="Arial"/>
                <w:sz w:val="18"/>
                <w:szCs w:val="18"/>
                <w:color w:val="auto"/>
              </w:rPr>
              <w:t>Finance</w:t>
            </w:r>
          </w:p>
        </w:tc>
        <w:tc>
          <w:tcPr>
            <w:tcW w:w="5820" w:type="dxa"/>
            <w:vAlign w:val="bottom"/>
            <w:gridSpan w:val="2"/>
          </w:tcPr>
          <w:p>
            <w:pPr>
              <w:ind w:left="20"/>
              <w:spacing w:after="0"/>
              <w:rPr>
                <w:sz w:val="20"/>
                <w:szCs w:val="20"/>
                <w:color w:val="auto"/>
              </w:rPr>
            </w:pPr>
            <w:r>
              <w:rPr>
                <w:rFonts w:ascii="Arial" w:cs="Arial" w:eastAsia="Arial" w:hAnsi="Arial"/>
                <w:sz w:val="18"/>
                <w:szCs w:val="18"/>
                <w:color w:val="auto"/>
              </w:rPr>
              <w:t>Lease obligations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19,520</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223,335</w:t>
            </w:r>
          </w:p>
        </w:tc>
      </w:tr>
      <w:tr>
        <w:trPr>
          <w:trHeight w:val="115"/>
        </w:trPr>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lease liabilities</w:t>
            </w:r>
          </w:p>
        </w:tc>
        <w:tc>
          <w:tcPr>
            <w:tcW w:w="5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254,780</w:t>
            </w:r>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Upon transition to ASC Topic 842, the Company used the incremental borrowing rate on January 1, 2019 for all operating leases that commenced prior to that date.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lease costs included in the condensed consolidated statement of income: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7"/>
                <w:szCs w:val="17"/>
                <w:color w:val="auto"/>
              </w:rPr>
            </w:pPr>
          </w:p>
        </w:tc>
        <w:tc>
          <w:tcPr>
            <w:tcW w:w="1540" w:type="dxa"/>
            <w:vAlign w:val="bottom"/>
          </w:tcPr>
          <w:p>
            <w:pPr>
              <w:jc w:val="right"/>
              <w:ind w:right="132"/>
              <w:spacing w:after="0"/>
              <w:rPr>
                <w:sz w:val="20"/>
                <w:szCs w:val="20"/>
                <w:color w:val="auto"/>
              </w:rPr>
            </w:pPr>
            <w:r>
              <w:rPr>
                <w:rFonts w:ascii="Arial" w:cs="Arial" w:eastAsia="Arial" w:hAnsi="Arial"/>
                <w:sz w:val="16"/>
                <w:szCs w:val="16"/>
                <w:b w:val="1"/>
                <w:bCs w:val="1"/>
                <w:color w:val="auto"/>
                <w:w w:val="93"/>
              </w:rPr>
              <w:t>Six Months Ended</w:t>
            </w:r>
          </w:p>
        </w:tc>
      </w:tr>
      <w:tr>
        <w:trPr>
          <w:trHeight w:val="23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8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Income Statement Location</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w w:val="99"/>
              </w:rPr>
              <w:t>June 30, 2019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June 30, 2019</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costs</w:t>
            </w: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16,447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Finance lease costs:</w:t>
            </w:r>
          </w:p>
        </w:tc>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leased assets</w:t>
            </w: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1,322</w:t>
            </w:r>
          </w:p>
        </w:tc>
      </w:tr>
      <w:tr>
        <w:trPr>
          <w:trHeight w:val="27"/>
        </w:trPr>
        <w:tc>
          <w:tcPr>
            <w:tcW w:w="39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 term lease costs</w:t>
            </w: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Variable lease costs</w:t>
            </w: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SG&amp;A expenses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477</w:t>
            </w:r>
          </w:p>
        </w:tc>
      </w:tr>
      <w:tr>
        <w:trPr>
          <w:trHeight w:val="27"/>
        </w:trPr>
        <w:tc>
          <w:tcPr>
            <w:tcW w:w="39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lease cost</w:t>
            </w:r>
          </w:p>
        </w:tc>
        <w:tc>
          <w:tcPr>
            <w:tcW w:w="3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11,038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22,494</w:t>
            </w:r>
          </w:p>
        </w:tc>
      </w:tr>
      <w:tr>
        <w:trPr>
          <w:trHeight w:val="20"/>
        </w:trPr>
        <w:tc>
          <w:tcPr>
            <w:tcW w:w="39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maturity of lease liabilities for operating and finance leases: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42,191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36,459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34,017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4,439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38,456</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39,020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124,227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10,088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134,315</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279,454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312,110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48,583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8,747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57,330</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230,871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254,780</w:t>
            </w: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027" w:gutter="0" w:footer="0" w:header="0"/>
          <w:type w:val="continuous"/>
        </w:sectPr>
      </w:pPr>
    </w:p>
    <w:bookmarkStart w:id="18" w:name="page19"/>
    <w:bookmarkEnd w:id="1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weighted average remaining lease term and discount rate for operating and finance leases: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52"/>
              <w:spacing w:after="0"/>
              <w:rPr>
                <w:sz w:val="20"/>
                <w:szCs w:val="20"/>
                <w:color w:val="auto"/>
              </w:rPr>
            </w:pPr>
            <w:r>
              <w:rPr>
                <w:rFonts w:ascii="Arial" w:cs="Arial" w:eastAsia="Arial" w:hAnsi="Arial"/>
                <w:sz w:val="16"/>
                <w:szCs w:val="16"/>
                <w:b w:val="1"/>
                <w:bCs w:val="1"/>
                <w:color w:val="auto"/>
                <w:w w:val="92"/>
              </w:rPr>
              <w:t>June 30, 2019</w:t>
            </w:r>
          </w:p>
        </w:tc>
      </w:tr>
      <w:tr>
        <w:trPr>
          <w:trHeight w:val="33"/>
        </w:trPr>
        <w:tc>
          <w:tcPr>
            <w:tcW w:w="99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8.16</w:t>
            </w: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6.06</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675"/>
        </w:trPr>
        <w:tc>
          <w:tcPr>
            <w:tcW w:w="9980" w:type="dxa"/>
            <w:vAlign w:val="bottom"/>
          </w:tcPr>
          <w:p>
            <w:pPr>
              <w:ind w:left="440"/>
              <w:spacing w:after="0"/>
              <w:rPr>
                <w:sz w:val="20"/>
                <w:szCs w:val="20"/>
                <w:color w:val="auto"/>
              </w:rPr>
            </w:pPr>
            <w:r>
              <w:rPr>
                <w:rFonts w:ascii="Arial" w:cs="Arial" w:eastAsia="Arial" w:hAnsi="Arial"/>
                <w:sz w:val="18"/>
                <w:szCs w:val="18"/>
                <w:color w:val="auto"/>
              </w:rPr>
              <w:t>The following table summarizes the supplemental cash paid for amounts in the measurement of lease liabilities: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88"/>
        </w:trPr>
        <w:tc>
          <w:tcPr>
            <w:tcW w:w="9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32"/>
              <w:spacing w:after="0"/>
              <w:rPr>
                <w:sz w:val="20"/>
                <w:szCs w:val="20"/>
                <w:color w:val="auto"/>
              </w:rPr>
            </w:pPr>
            <w:r>
              <w:rPr>
                <w:rFonts w:ascii="Arial" w:cs="Arial" w:eastAsia="Arial" w:hAnsi="Arial"/>
                <w:sz w:val="16"/>
                <w:szCs w:val="16"/>
                <w:b w:val="1"/>
                <w:bCs w:val="1"/>
                <w:color w:val="auto"/>
                <w:w w:val="94"/>
              </w:rPr>
              <w:t>June 30, 2019</w:t>
            </w:r>
          </w:p>
        </w:tc>
      </w:tr>
      <w:tr>
        <w:trPr>
          <w:trHeight w:val="33"/>
        </w:trPr>
        <w:tc>
          <w:tcPr>
            <w:tcW w:w="9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17,037</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2,590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June 30, 2019 and December 31,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I</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II</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4240" w:type="dxa"/>
            <w:vAlign w:val="bottom"/>
            <w:tcBorders>
              <w:top w:val="single" w:sz="8" w:color="CCEEFF"/>
              <w:bottom w:val="single" w:sz="8" w:color="CCEEFF"/>
            </w:tcBorders>
            <w:shd w:val="clear" w:color="auto" w:fill="CCEEFF"/>
          </w:tcPr>
          <w:p>
            <w:pPr>
              <w:jc w:val="center"/>
              <w:ind w:right="719"/>
              <w:spacing w:after="0"/>
              <w:rPr>
                <w:sz w:val="20"/>
                <w:szCs w:val="20"/>
                <w:color w:val="auto"/>
              </w:rPr>
            </w:pPr>
            <w:r>
              <w:rPr>
                <w:rFonts w:ascii="Arial" w:cs="Arial" w:eastAsia="Arial" w:hAnsi="Arial"/>
                <w:sz w:val="16"/>
                <w:szCs w:val="16"/>
                <w:b w:val="1"/>
                <w:bCs w:val="1"/>
                <w:color w:val="auto"/>
                <w:w w:val="91"/>
              </w:rPr>
              <w:t>At June 30, 2019: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1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196"/>
        </w:trPr>
        <w:tc>
          <w:tcPr>
            <w:tcW w:w="5040" w:type="dxa"/>
            <w:vAlign w:val="bottom"/>
            <w:tcBorders>
              <w:top w:val="single" w:sz="8" w:color="auto"/>
            </w:tcBorders>
            <w:gridSpan w:val="4"/>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Cash equivalents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115,341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115,341</w:t>
            </w:r>
          </w:p>
        </w:tc>
      </w:tr>
      <w:tr>
        <w:trPr>
          <w:trHeight w:val="243"/>
        </w:trPr>
        <w:tc>
          <w:tcPr>
            <w:tcW w:w="40" w:type="dxa"/>
            <w:vAlign w:val="bottom"/>
          </w:tcPr>
          <w:p>
            <w:pPr>
              <w:spacing w:after="0"/>
              <w:rPr>
                <w:sz w:val="21"/>
                <w:szCs w:val="21"/>
                <w:color w:val="auto"/>
              </w:rPr>
            </w:pPr>
          </w:p>
        </w:tc>
        <w:tc>
          <w:tcPr>
            <w:tcW w:w="5000" w:type="dxa"/>
            <w:vAlign w:val="bottom"/>
            <w:gridSpan w:val="3"/>
          </w:tcPr>
          <w:p>
            <w:pPr>
              <w:ind w:left="3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1,484</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2,857</w:t>
            </w:r>
          </w:p>
        </w:tc>
      </w:tr>
      <w:tr>
        <w:trPr>
          <w:trHeight w:val="203"/>
        </w:trPr>
        <w:tc>
          <w:tcPr>
            <w:tcW w:w="50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Interest rate swap contracts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2,246</w:t>
            </w:r>
          </w:p>
        </w:tc>
      </w:tr>
      <w:tr>
        <w:trPr>
          <w:trHeight w:val="243"/>
        </w:trPr>
        <w:tc>
          <w:tcPr>
            <w:tcW w:w="40" w:type="dxa"/>
            <w:vAlign w:val="bottom"/>
          </w:tcPr>
          <w:p>
            <w:pPr>
              <w:spacing w:after="0"/>
              <w:rPr>
                <w:sz w:val="21"/>
                <w:szCs w:val="21"/>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2,757</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2"/>
        </w:trPr>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37"/>
        </w:trPr>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40" w:type="dxa"/>
            <w:vAlign w:val="bottom"/>
          </w:tcPr>
          <w:p>
            <w:pPr>
              <w:jc w:val="center"/>
              <w:ind w:right="719"/>
              <w:spacing w:after="0"/>
              <w:rPr>
                <w:sz w:val="20"/>
                <w:szCs w:val="20"/>
                <w:color w:val="auto"/>
              </w:rPr>
            </w:pPr>
            <w:r>
              <w:rPr>
                <w:rFonts w:ascii="Arial" w:cs="Arial" w:eastAsia="Arial" w:hAnsi="Arial"/>
                <w:sz w:val="16"/>
                <w:szCs w:val="16"/>
                <w:b w:val="1"/>
                <w:bCs w:val="1"/>
                <w:color w:val="auto"/>
                <w:w w:val="91"/>
              </w:rPr>
              <w:t>At December 31, 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196"/>
        </w:trPr>
        <w:tc>
          <w:tcPr>
            <w:tcW w:w="50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Cash equivalents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68,498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1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68,498</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w:t>
            </w:r>
          </w:p>
        </w:tc>
      </w:tr>
      <w:tr>
        <w:trPr>
          <w:trHeight w:val="243"/>
        </w:trPr>
        <w:tc>
          <w:tcPr>
            <w:tcW w:w="40" w:type="dxa"/>
            <w:vAlign w:val="bottom"/>
          </w:tcPr>
          <w:p>
            <w:pPr>
              <w:spacing w:after="0"/>
              <w:rPr>
                <w:sz w:val="21"/>
                <w:szCs w:val="21"/>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3,509</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50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4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Interest rate swap contracts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120" w:type="dxa"/>
            <w:vAlign w:val="bottom"/>
          </w:tcPr>
          <w:p>
            <w:pPr>
              <w:jc w:val="right"/>
              <w:ind w:right="91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356</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5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3,121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3,121</w:t>
            </w:r>
          </w:p>
        </w:tc>
      </w:tr>
      <w:tr>
        <w:trPr>
          <w:trHeight w:val="27"/>
        </w:trPr>
        <w:tc>
          <w:tcPr>
            <w:tcW w:w="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784"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784" w:gutter="0" w:footer="0" w:header="0"/>
          <w:type w:val="continuous"/>
        </w:sectPr>
      </w:pPr>
    </w:p>
    <w:bookmarkStart w:id="19" w:name="page20"/>
    <w:bookmarkEnd w:id="1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pacing w:after="0" w:line="1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Company's interest rate swap contracts and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and six months ended June 30, 2018, the Company recorded a gain of $1.5 million and $9.6 million, respectively. related to the RLJE Warrants which is included in Miscellaneous, net in the condensed consolidated statement of income.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June 30, 2019, the Company does not have any assets or liabilities measured at fair value on a recurring basis that would be considered Level III.</w:t>
      </w:r>
    </w:p>
    <w:p>
      <w:pPr>
        <w:spacing w:after="0" w:line="2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measurements are also used in nonrecurring valuations performed in connection with acquisition accounting. These nonrecurring valuations primarily include the valuation of affiliate and customer relationships intangible assets, advertiser relationship intangible assets and property and equipment. All of our nonrecurring valuations use significant unobservable inputs and therefore fall under Level III of the fair value hierarchy.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 Debt and Senior Notes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June 30, 2019</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6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74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0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ind w:left="8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02"/>
        </w:trPr>
        <w:tc>
          <w:tcPr>
            <w:tcW w:w="7400" w:type="dxa"/>
            <w:vAlign w:val="bottom"/>
            <w:tcBorders>
              <w:top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6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741,002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743,438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787,339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812,000</w:t>
            </w:r>
          </w:p>
        </w:tc>
        <w:tc>
          <w:tcPr>
            <w:tcW w:w="20" w:type="dxa"/>
            <w:vAlign w:val="bottom"/>
          </w:tcPr>
          <w:p>
            <w:pPr>
              <w:spacing w:after="0"/>
              <w:rPr>
                <w:sz w:val="21"/>
                <w:szCs w:val="21"/>
                <w:color w:val="auto"/>
              </w:rPr>
            </w:pPr>
          </w:p>
        </w:tc>
      </w:tr>
      <w:tr>
        <w:trPr>
          <w:trHeight w:val="243"/>
        </w:trPr>
        <w:tc>
          <w:tcPr>
            <w:tcW w:w="880" w:type="dxa"/>
            <w:vAlign w:val="bottom"/>
            <w:gridSpan w:val="2"/>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987,419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1,026,250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595,159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608,250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Other debt</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3,110,919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3,189,938</w:t>
            </w:r>
          </w:p>
        </w:tc>
        <w:tc>
          <w:tcPr>
            <w:tcW w:w="20" w:type="dxa"/>
            <w:vAlign w:val="bottom"/>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7"/>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6"/>
          </w:tcPr>
          <w:p>
            <w:pPr>
              <w:jc w:val="right"/>
              <w:ind w:right="1212"/>
              <w:spacing w:after="0"/>
              <w:rPr>
                <w:sz w:val="20"/>
                <w:szCs w:val="20"/>
                <w:color w:val="auto"/>
              </w:rPr>
            </w:pPr>
            <w:r>
              <w:rPr>
                <w:rFonts w:ascii="Arial" w:cs="Arial" w:eastAsia="Arial" w:hAnsi="Arial"/>
                <w:sz w:val="16"/>
                <w:szCs w:val="16"/>
                <w:b w:val="1"/>
                <w:bCs w:val="1"/>
                <w:color w:val="auto"/>
              </w:rPr>
              <w:t>December 31, 2018</w:t>
            </w: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8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jc w:val="right"/>
              <w:ind w:right="512"/>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74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2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ind w:left="12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02"/>
        </w:trPr>
        <w:tc>
          <w:tcPr>
            <w:tcW w:w="7400" w:type="dxa"/>
            <w:vAlign w:val="bottom"/>
            <w:tcBorders>
              <w:top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6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739,710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738,750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786,458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gridSpan w:val="2"/>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986,275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947,500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580,500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Other debt</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2,584</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3,109,555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2,989,334</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2019, the Company had interest rate swap contracts outstanding with notional amounts aggregating $100.0 million that are designated as hedging instruments. The Company's outstanding interest rate swap contracts mature in December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or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values of the Company's derivative financial instruments not designated as hedging instruments included in the condensed consolidated balance sheets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4000" w:type="dxa"/>
            <w:vAlign w:val="bottom"/>
            <w:gridSpan w:val="2"/>
          </w:tcPr>
          <w:p>
            <w:pPr>
              <w:ind w:left="1440"/>
              <w:spacing w:after="0"/>
              <w:rPr>
                <w:sz w:val="20"/>
                <w:szCs w:val="20"/>
                <w:color w:val="auto"/>
              </w:rPr>
            </w:pPr>
            <w:r>
              <w:rPr>
                <w:rFonts w:ascii="Arial" w:cs="Arial" w:eastAsia="Arial" w:hAnsi="Arial"/>
                <w:sz w:val="16"/>
                <w:szCs w:val="16"/>
                <w:b w:val="1"/>
                <w:bCs w:val="1"/>
                <w:color w:val="auto"/>
              </w:rPr>
              <w:t>Balance Sheet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000" w:type="dxa"/>
            <w:vAlign w:val="bottom"/>
            <w:gridSpan w:val="2"/>
          </w:tcPr>
          <w:p>
            <w:pPr>
              <w:ind w:left="1640"/>
              <w:spacing w:after="0"/>
              <w:rPr>
                <w:sz w:val="20"/>
                <w:szCs w:val="20"/>
                <w:color w:val="auto"/>
              </w:rPr>
            </w:pPr>
            <w:r>
              <w:rPr>
                <w:rFonts w:ascii="Arial" w:cs="Arial" w:eastAsia="Arial" w:hAnsi="Arial"/>
                <w:sz w:val="16"/>
                <w:szCs w:val="16"/>
                <w:b w:val="1"/>
                <w:bCs w:val="1"/>
                <w:color w:val="auto"/>
              </w:rPr>
              <w:t>Location</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2018</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1,452</w:t>
            </w:r>
          </w:p>
        </w:tc>
      </w:tr>
      <w:tr>
        <w:trPr>
          <w:trHeight w:val="27"/>
        </w:trPr>
        <w:tc>
          <w:tcPr>
            <w:tcW w:w="4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2,421</w:t>
            </w:r>
          </w:p>
        </w:tc>
      </w:tr>
    </w:tbl>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amounts of gains and losses related to the Company's derivative financial instruments designated as hedging instruments are as follows:</w:t>
      </w:r>
    </w:p>
    <w:p>
      <w:pPr>
        <w:sectPr>
          <w:pgSz w:w="11900" w:h="16838" w:orient="portrait"/>
          <w:cols w:equalWidth="0" w:num="1">
            <w:col w:w="11420"/>
          </w:cols>
          <w:pgMar w:left="240" w:top="125" w:right="239"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8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3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or (Loss) on Derivatives</w:t>
            </w:r>
          </w:p>
        </w:tc>
        <w:tc>
          <w:tcPr>
            <w:tcW w:w="10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 of Gain or</w:t>
            </w:r>
          </w:p>
        </w:tc>
        <w:tc>
          <w:tcPr>
            <w:tcW w:w="3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1020" w:type="dxa"/>
            <w:vAlign w:val="bottom"/>
          </w:tcPr>
          <w:p>
            <w:pPr>
              <w:spacing w:after="0"/>
              <w:rPr>
                <w:sz w:val="18"/>
                <w:szCs w:val="18"/>
                <w:color w:val="auto"/>
              </w:rPr>
            </w:pPr>
          </w:p>
        </w:tc>
        <w:tc>
          <w:tcPr>
            <w:tcW w:w="2320" w:type="dxa"/>
            <w:vAlign w:val="bottom"/>
            <w:gridSpan w:val="3"/>
          </w:tcPr>
          <w:p>
            <w:pPr>
              <w:jc w:val="center"/>
              <w:ind w:right="960"/>
              <w:spacing w:after="0"/>
              <w:rPr>
                <w:sz w:val="20"/>
                <w:szCs w:val="20"/>
                <w:color w:val="auto"/>
              </w:rPr>
            </w:pPr>
            <w:r>
              <w:rPr>
                <w:rFonts w:ascii="Arial" w:cs="Arial" w:eastAsia="Arial" w:hAnsi="Arial"/>
                <w:sz w:val="16"/>
                <w:szCs w:val="16"/>
                <w:b w:val="1"/>
                <w:bCs w:val="1"/>
                <w:color w:val="auto"/>
                <w:w w:val="93"/>
              </w:rPr>
              <w:t>Recognized in OCI</w:t>
            </w: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(Loss) in Earnings</w:t>
            </w:r>
          </w:p>
        </w:tc>
        <w:tc>
          <w:tcPr>
            <w:tcW w:w="1060" w:type="dxa"/>
            <w:vAlign w:val="bottom"/>
          </w:tcPr>
          <w:p>
            <w:pPr>
              <w:spacing w:after="0"/>
              <w:rPr>
                <w:sz w:val="18"/>
                <w:szCs w:val="18"/>
                <w:color w:val="auto"/>
              </w:rPr>
            </w:pPr>
          </w:p>
        </w:tc>
        <w:tc>
          <w:tcPr>
            <w:tcW w:w="2200" w:type="dxa"/>
            <w:vAlign w:val="bottom"/>
            <w:gridSpan w:val="3"/>
          </w:tcPr>
          <w:p>
            <w:pPr>
              <w:jc w:val="right"/>
              <w:ind w:right="1120"/>
              <w:spacing w:after="0"/>
              <w:rPr>
                <w:sz w:val="20"/>
                <w:szCs w:val="20"/>
                <w:color w:val="auto"/>
              </w:rPr>
            </w:pPr>
            <w:r>
              <w:rPr>
                <w:rFonts w:ascii="Arial" w:cs="Arial" w:eastAsia="Arial" w:hAnsi="Arial"/>
                <w:sz w:val="16"/>
                <w:szCs w:val="16"/>
                <w:b w:val="1"/>
                <w:bCs w:val="1"/>
                <w:color w:val="auto"/>
              </w:rPr>
              <w:t>into Earnings</w:t>
            </w:r>
          </w:p>
        </w:tc>
      </w:tr>
      <w:tr>
        <w:trPr>
          <w:trHeight w:val="33"/>
        </w:trPr>
        <w:tc>
          <w:tcPr>
            <w:tcW w:w="33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r>
      <w:tr>
        <w:trPr>
          <w:trHeight w:val="231"/>
        </w:trPr>
        <w:tc>
          <w:tcPr>
            <w:tcW w:w="3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Three Months Ended June 30,</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Three Months Ended June 30,</w:t>
            </w:r>
          </w:p>
        </w:tc>
      </w:tr>
      <w:tr>
        <w:trPr>
          <w:trHeight w:val="33"/>
        </w:trPr>
        <w:tc>
          <w:tcPr>
            <w:tcW w:w="10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r>
      <w:tr>
        <w:trPr>
          <w:trHeight w:val="231"/>
        </w:trPr>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3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220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2018</w:t>
            </w:r>
          </w:p>
        </w:tc>
      </w:tr>
      <w:tr>
        <w:trPr>
          <w:trHeight w:val="33"/>
        </w:trPr>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-8255</wp:posOffset>
            </wp:positionV>
            <wp:extent cx="721233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60" w:space="120"/>
            <w:col w:w="8740"/>
          </w:cols>
          <w:pgMar w:left="240" w:top="125" w:right="239" w:bottom="1095" w:gutter="0" w:footer="0" w:header="0"/>
          <w:type w:val="continuous"/>
        </w:sectPr>
      </w:pPr>
    </w:p>
    <w:p>
      <w:pPr>
        <w:ind w:left="80"/>
        <w:spacing w:after="0"/>
        <w:tabs>
          <w:tab w:leader="none" w:pos="2680" w:val="left"/>
          <w:tab w:leader="none" w:pos="3700" w:val="left"/>
          <w:tab w:leader="none" w:pos="4440" w:val="left"/>
          <w:tab w:leader="none" w:pos="5700" w:val="left"/>
          <w:tab w:leader="none" w:pos="6480" w:val="left"/>
          <w:tab w:leader="none" w:pos="8160" w:val="left"/>
          <w:tab w:leader="none" w:pos="9420" w:val="left"/>
          <w:tab w:leader="none" w:pos="9840" w:val="left"/>
          <w:tab w:leader="none" w:pos="1112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(1,274)</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31750</wp:posOffset>
            </wp:positionV>
            <wp:extent cx="207518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5180" cy="2603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31750</wp:posOffset>
            </wp:positionV>
            <wp:extent cx="211836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183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gridSpan w:val="4"/>
          </w:tcPr>
          <w:p>
            <w:pPr>
              <w:jc w:val="center"/>
              <w:ind w:right="254"/>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2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80" w:type="dxa"/>
            <w:vAlign w:val="bottom"/>
            <w:gridSpan w:val="4"/>
          </w:tcPr>
          <w:p>
            <w:pPr>
              <w:jc w:val="center"/>
              <w:ind w:right="214"/>
              <w:spacing w:after="0"/>
              <w:rPr>
                <w:sz w:val="20"/>
                <w:szCs w:val="20"/>
                <w:color w:val="auto"/>
              </w:rPr>
            </w:pPr>
            <w:r>
              <w:rPr>
                <w:rFonts w:ascii="Arial" w:cs="Arial" w:eastAsia="Arial" w:hAnsi="Arial"/>
                <w:sz w:val="16"/>
                <w:szCs w:val="16"/>
                <w:b w:val="1"/>
                <w:bCs w:val="1"/>
                <w:color w:val="auto"/>
                <w:w w:val="91"/>
              </w:rPr>
              <w:t>Gain or (Loss) on Derivatives</w:t>
            </w:r>
          </w:p>
        </w:tc>
        <w:tc>
          <w:tcPr>
            <w:tcW w:w="100" w:type="dxa"/>
            <w:vAlign w:val="bottom"/>
          </w:tcPr>
          <w:p>
            <w:pPr>
              <w:spacing w:after="0"/>
              <w:rPr>
                <w:sz w:val="17"/>
                <w:szCs w:val="17"/>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Location of Gain or</w:t>
            </w:r>
          </w:p>
        </w:tc>
        <w:tc>
          <w:tcPr>
            <w:tcW w:w="320" w:type="dxa"/>
            <w:vAlign w:val="bottom"/>
          </w:tcPr>
          <w:p>
            <w:pPr>
              <w:spacing w:after="0"/>
              <w:rPr>
                <w:sz w:val="17"/>
                <w:szCs w:val="17"/>
                <w:color w:val="auto"/>
              </w:rPr>
            </w:pPr>
          </w:p>
        </w:tc>
        <w:tc>
          <w:tcPr>
            <w:tcW w:w="2960" w:type="dxa"/>
            <w:vAlign w:val="bottom"/>
            <w:gridSpan w:val="4"/>
          </w:tcPr>
          <w:p>
            <w:pPr>
              <w:jc w:val="center"/>
              <w:ind w:right="234"/>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center"/>
              <w:ind w:right="174"/>
              <w:spacing w:after="0"/>
              <w:rPr>
                <w:sz w:val="20"/>
                <w:szCs w:val="20"/>
                <w:color w:val="auto"/>
              </w:rPr>
            </w:pPr>
            <w:r>
              <w:rPr>
                <w:rFonts w:ascii="Arial" w:cs="Arial" w:eastAsia="Arial" w:hAnsi="Arial"/>
                <w:sz w:val="16"/>
                <w:szCs w:val="16"/>
                <w:b w:val="1"/>
                <w:bCs w:val="1"/>
                <w:color w:val="auto"/>
                <w:w w:val="93"/>
              </w:rPr>
              <w:t>Recognized in OCI</w:t>
            </w:r>
          </w:p>
        </w:tc>
        <w:tc>
          <w:tcPr>
            <w:tcW w:w="10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(Loss) in Earnings</w:t>
            </w:r>
          </w:p>
        </w:tc>
        <w:tc>
          <w:tcPr>
            <w:tcW w:w="3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into Earnings</w:t>
            </w:r>
          </w:p>
        </w:tc>
        <w:tc>
          <w:tcPr>
            <w:tcW w:w="1060" w:type="dxa"/>
            <w:vAlign w:val="bottom"/>
          </w:tcPr>
          <w:p>
            <w:pPr>
              <w:spacing w:after="0"/>
              <w:rPr>
                <w:sz w:val="18"/>
                <w:szCs w:val="18"/>
                <w:color w:val="auto"/>
              </w:rPr>
            </w:pPr>
          </w:p>
        </w:tc>
      </w:tr>
      <w:tr>
        <w:trPr>
          <w:trHeight w:val="33"/>
        </w:trPr>
        <w:tc>
          <w:tcPr>
            <w:tcW w:w="2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r>
      <w:tr>
        <w:trPr>
          <w:trHeight w:val="231"/>
        </w:trPr>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4"/>
          </w:tcPr>
          <w:p>
            <w:pPr>
              <w:jc w:val="center"/>
              <w:ind w:right="234"/>
              <w:spacing w:after="0"/>
              <w:rPr>
                <w:sz w:val="20"/>
                <w:szCs w:val="20"/>
                <w:color w:val="auto"/>
              </w:rPr>
            </w:pPr>
            <w:r>
              <w:rPr>
                <w:rFonts w:ascii="Arial" w:cs="Arial" w:eastAsia="Arial" w:hAnsi="Arial"/>
                <w:sz w:val="16"/>
                <w:szCs w:val="16"/>
                <w:b w:val="1"/>
                <w:bCs w:val="1"/>
                <w:color w:val="auto"/>
                <w:w w:val="91"/>
              </w:rPr>
              <w:t>Six Months Ended June 30, 2019</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4"/>
          </w:tcPr>
          <w:p>
            <w:pPr>
              <w:jc w:val="center"/>
              <w:ind w:right="214"/>
              <w:spacing w:after="0"/>
              <w:rPr>
                <w:sz w:val="20"/>
                <w:szCs w:val="20"/>
                <w:color w:val="auto"/>
              </w:rPr>
            </w:pPr>
            <w:r>
              <w:rPr>
                <w:rFonts w:ascii="Arial" w:cs="Arial" w:eastAsia="Arial" w:hAnsi="Arial"/>
                <w:sz w:val="16"/>
                <w:szCs w:val="16"/>
                <w:b w:val="1"/>
                <w:bCs w:val="1"/>
                <w:color w:val="auto"/>
                <w:w w:val="91"/>
              </w:rPr>
              <w:t>Six Months Ended June 30, 2019</w:t>
            </w:r>
          </w:p>
        </w:tc>
      </w:tr>
      <w:tr>
        <w:trPr>
          <w:trHeight w:val="33"/>
        </w:trPr>
        <w:tc>
          <w:tcPr>
            <w:tcW w:w="2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2018</w:t>
            </w:r>
          </w:p>
        </w:tc>
      </w:tr>
      <w:tr>
        <w:trPr>
          <w:trHeight w:val="211"/>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Derivatives in cash flow hedging</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1"/>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relationships:</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64"/>
        </w:trPr>
        <w:tc>
          <w:tcPr>
            <w:tcW w:w="26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Interest expense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2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95"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095" w:gutter="0" w:footer="0" w:header="0"/>
          <w:type w:val="continuous"/>
        </w:sectPr>
      </w:pPr>
    </w:p>
    <w:bookmarkStart w:id="21" w:name="page22"/>
    <w:bookmarkEnd w:id="2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amounts of gains and losses related to the Company's derivative financial instruments not designated as hedging instruments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 of Gain or (Loss)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Recognized in Earnings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2880" w:type="dxa"/>
            <w:vAlign w:val="bottom"/>
          </w:tcPr>
          <w:p>
            <w:pPr>
              <w:spacing w:after="0"/>
              <w:rPr>
                <w:sz w:val="18"/>
                <w:szCs w:val="18"/>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on Derivatives</w:t>
            </w:r>
          </w:p>
        </w:tc>
        <w:tc>
          <w:tcPr>
            <w:tcW w:w="320" w:type="dxa"/>
            <w:vAlign w:val="bottom"/>
          </w:tcPr>
          <w:p>
            <w:pPr>
              <w:spacing w:after="0"/>
              <w:rPr>
                <w:sz w:val="18"/>
                <w:szCs w:val="18"/>
                <w:color w:val="auto"/>
              </w:rPr>
            </w:pPr>
          </w:p>
        </w:tc>
        <w:tc>
          <w:tcPr>
            <w:tcW w:w="5940" w:type="dxa"/>
            <w:vAlign w:val="bottom"/>
            <w:gridSpan w:val="10"/>
          </w:tcPr>
          <w:p>
            <w:pPr>
              <w:jc w:val="right"/>
              <w:ind w:right="772"/>
              <w:spacing w:after="0"/>
              <w:rPr>
                <w:sz w:val="20"/>
                <w:szCs w:val="20"/>
                <w:color w:val="auto"/>
              </w:rPr>
            </w:pPr>
            <w:r>
              <w:rPr>
                <w:rFonts w:ascii="Arial" w:cs="Arial" w:eastAsia="Arial" w:hAnsi="Arial"/>
                <w:sz w:val="16"/>
                <w:szCs w:val="16"/>
                <w:b w:val="1"/>
                <w:bCs w:val="1"/>
                <w:color w:val="auto"/>
              </w:rPr>
              <w:t>Amount of Gain or (Loss) Recognized in Earnings on Derivatives</w:t>
            </w:r>
          </w:p>
        </w:tc>
      </w:tr>
      <w:tr>
        <w:trPr>
          <w:trHeight w:val="33"/>
        </w:trPr>
        <w:tc>
          <w:tcPr>
            <w:tcW w:w="288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231"/>
        </w:trPr>
        <w:tc>
          <w:tcPr>
            <w:tcW w:w="28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20"/>
                <w:szCs w:val="20"/>
                <w:color w:val="auto"/>
              </w:rPr>
            </w:pPr>
          </w:p>
        </w:tc>
        <w:tc>
          <w:tcPr>
            <w:tcW w:w="2700" w:type="dxa"/>
            <w:vAlign w:val="bottom"/>
            <w:gridSpan w:val="4"/>
          </w:tcPr>
          <w:p>
            <w:pPr>
              <w:ind w:left="24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28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Interest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Miscellaneous, net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181</w:t>
            </w:r>
          </w:p>
        </w:tc>
      </w:tr>
      <w:tr>
        <w:trPr>
          <w:trHeight w:val="27"/>
        </w:trPr>
        <w:tc>
          <w:tcPr>
            <w:tcW w:w="28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derivatives</w:t>
            </w:r>
          </w:p>
        </w:tc>
        <w:tc>
          <w:tcPr>
            <w:tcW w:w="2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Miscellaneous, net</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12,289</w:t>
            </w: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11,786</w:t>
            </w:r>
          </w:p>
        </w:tc>
      </w:tr>
      <w:tr>
        <w:trPr>
          <w:trHeight w:val="20"/>
        </w:trPr>
        <w:tc>
          <w:tcPr>
            <w:tcW w:w="2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70" w:lineRule="exact"/>
        <w:rPr>
          <w:sz w:val="20"/>
          <w:szCs w:val="20"/>
          <w:color w:val="auto"/>
        </w:rPr>
      </w:pPr>
    </w:p>
    <w:p>
      <w:pPr>
        <w:jc w:val="both"/>
        <w:ind w:firstLine="459"/>
        <w:spacing w:after="0" w:line="254" w:lineRule="auto"/>
        <w:rPr>
          <w:sz w:val="20"/>
          <w:szCs w:val="20"/>
          <w:color w:val="auto"/>
        </w:rPr>
      </w:pPr>
      <w:r>
        <w:rPr>
          <w:rFonts w:ascii="Arial" w:cs="Arial" w:eastAsia="Arial" w:hAnsi="Arial"/>
          <w:sz w:val="18"/>
          <w:szCs w:val="18"/>
          <w:color w:val="auto"/>
        </w:rPr>
        <w:t>For the three and six months ended June 30, 2019, income tax benefit was $1.4 million and income tax expense was $45.1 million, respectively, representing a negative effective tax rate of 1% and an effective tax rate of 14%, respectively, as compared to the federal statutory rate of 21%. For the three and six months ended June 30, 2019, the effective tax rate differs from the federal statutory rate due primarily to a tax benefit of $25.0 million resulting from a decrease in valuation allowances for foreign tax assets, a tax benefit of $7.2 million and $5.6 million relating to uncertain tax positions (including accrued interest) partially offset by state and local income tax expense of $4.1 million and $7.3 million, respectively. The decrease in the valuation allowance is primarily due to the expected utilization of foreign net operating loss carryforwards resulting from the planned implementation of certain tax planning strategies. The tax benefit relating to uncertain tax positions is primarily due to an audit settlement and the filing of state income tax returns under a voluntary disclosure agreement.</w:t>
      </w:r>
    </w:p>
    <w:p>
      <w:pPr>
        <w:spacing w:after="0" w:line="233" w:lineRule="exact"/>
        <w:rPr>
          <w:sz w:val="20"/>
          <w:szCs w:val="20"/>
          <w:color w:val="auto"/>
        </w:rPr>
      </w:pPr>
    </w:p>
    <w:p>
      <w:pPr>
        <w:jc w:val="both"/>
        <w:ind w:firstLine="459"/>
        <w:spacing w:after="0" w:line="291" w:lineRule="auto"/>
        <w:rPr>
          <w:sz w:val="20"/>
          <w:szCs w:val="20"/>
          <w:color w:val="auto"/>
        </w:rPr>
      </w:pPr>
      <w:r>
        <w:rPr>
          <w:rFonts w:ascii="Arial" w:cs="Arial" w:eastAsia="Arial" w:hAnsi="Arial"/>
          <w:sz w:val="16"/>
          <w:szCs w:val="16"/>
          <w:color w:val="auto"/>
        </w:rPr>
        <w:t>For the three and six months ended June 30, 2018, income tax expense was $32.5 million and $89.4 million, respectively, representing an effective tax rate of 23% and 25%, respectively, as compared to the federal statutory rate of 21%. For the three months ended June 30, 2018, the effective tax rate differs from the federal statutory rate due primarily to state and local income tax expense of $2.3 million. For the six months ended June 30, 2018, the effective tax rate differs from the federal statutory rate due primarily to tax expense of $16.1 million for an increase in valuation allowances for foreign taxes and U.S. foreign tax credits; state and local income tax expense of $6.2 million; a tax benefit of $8.3 million for the one-time rate change on deferred tax assets and liabilities that resulted from the extension of certain television production cost deductions included in the Bipartisan Budget Act of 2018 (enacted February 9, 2018); and a tax benefit from foreign subsidiary earnings indefinitely reinvested outside the U.S. of $5.8 million.</w:t>
      </w:r>
    </w:p>
    <w:p>
      <w:pPr>
        <w:spacing w:after="0" w:line="208"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At June 30, 2019, the Company had foreign tax credit carry forwards of approximately $27.5 million, expiring on various dates from 2022 through 2029. These carryforwards have been reduced by a valuation allowance of $27.5 million as it is more likely than not that these carry forwards will not be realized. For the six months ended June 30, 2019, $0.7 million relating to amortization of tax deductible second component goodwill was realized as a reduction in tax liability (as determined on a 'with-and-without' approach).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2019, the Company's contractual obligations not reflected on the Company's condensed consolidated balance sheet decreased $219.9 million, as compared to December 31, 2018, to $903.9 million. The decrease relates to the adoption of the new lease standard requiring the recognition of operating leases on the balance sheet rather than disclosed as contractual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the agreement between</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no less than $280 million. The parties each filed motions for summary judgment. Oral arguments of the summary judgment motions took place on September 15, 2017. On April 19, 2018, the Court granted the Company’s motion for leave to submit supplemental summary judgment briefing. A hearing on the supplemental summary judgment submissions was held on June 13, 2018. On December 10, 2018, the Court denied Plaintiffs' motion for partial summary judgment and granted in part Defendants' motion for summary judgment, dismissing four of Plaintiffs' causes of action. The Company believes that the remaining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18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On January 18, 2018, the 2013 Plaintiffs filed a second action in New York Supreme Court in connection with Darabont’s services on </w:t>
      </w:r>
      <w:r>
        <w:rPr>
          <w:rFonts w:ascii="Arial" w:cs="Arial" w:eastAsia="Arial" w:hAnsi="Arial"/>
          <w:sz w:val="17"/>
          <w:szCs w:val="17"/>
          <w:i w:val="1"/>
          <w:iCs w:val="1"/>
          <w:color w:val="auto"/>
        </w:rPr>
        <w:t>The Walking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Dead </w:t>
      </w:r>
      <w:r>
        <w:rPr>
          <w:rFonts w:ascii="Arial" w:cs="Arial" w:eastAsia="Arial" w:hAnsi="Arial"/>
          <w:sz w:val="17"/>
          <w:szCs w:val="17"/>
          <w:color w:val="auto"/>
        </w:rPr>
        <w:t>television series and agreements between the parties related thereto. The claims in the action allegedly arise from Plaintiffs' audit of their participation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statements covering the accounting period from inception of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through September 30, 2014. Plaintiffs seek no less than $20 million in damages on claims for breach of contract, breach of the covenant of good faith and fair dealing, and declaratory relief. The Company filed an Answer to the Complaint on April 16, 2018. On August 30, 2018, Plaintiff's filed an Amended Compliant, and on September 19, 2018, the Company answered. The parties have agreed to consolidate this action for a joint trial with the action Plaintiffs filed in the New York Supreme Court on December 17, 2013. The trial is scheduled to begin on May 4, 2020. The Company believes that the asserted claims are without merit, denies the allegations and will defend the case vigorously. The parties in the second action are presently engaged in fact discovery. At this time, no determination can be made as to the ultimate outcome of this litigation or the potential liability, if any, on the part of the Company.</w:t>
      </w:r>
    </w:p>
    <w:p>
      <w:pPr>
        <w:spacing w:after="0" w:line="18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Fear the Walking Dead</w:t>
      </w:r>
      <w:r>
        <w:rPr>
          <w:rFonts w:ascii="Arial" w:cs="Arial" w:eastAsia="Arial" w:hAnsi="Arial"/>
          <w:sz w:val="16"/>
          <w:szCs w:val="16"/>
          <w:color w:val="auto"/>
        </w:rPr>
        <w:t xml:space="preserve"> and/or </w:t>
      </w:r>
      <w:r>
        <w:rPr>
          <w:rFonts w:ascii="Arial" w:cs="Arial" w:eastAsia="Arial" w:hAnsi="Arial"/>
          <w:sz w:val="16"/>
          <w:szCs w:val="16"/>
          <w:i w:val="1"/>
          <w:iCs w:val="1"/>
          <w:color w:val="auto"/>
        </w:rPr>
        <w:t>Talking Dead</w:t>
      </w:r>
      <w:r>
        <w:rPr>
          <w:rFonts w:ascii="Arial" w:cs="Arial" w:eastAsia="Arial" w:hAnsi="Arial"/>
          <w:sz w:val="16"/>
          <w:szCs w:val="16"/>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loan-out companies), along with Charles Eglee and his loan-out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because their agreements contained exclusive New York jurisdiction provisions. On October 23, 2017, the parties stipulated to discontinuing the New York Action without prejudice and consolidating all of the claims in the California Action. The California Plaintiffs seek compensatory and punitive damages and restitution. The Company filed an Answer on April 30, 2018 and believes that the asserted claims are without merit and will vigorously defend against them. The parties are presently engaged in fact discovery. At this time, no determination can be made as to the ultimate outcome of this litigation or the potential liability, if any, on the part of the Company.</w:t>
      </w:r>
    </w:p>
    <w:p>
      <w:pPr>
        <w:spacing w:after="0" w:line="17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Equity Plans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June 2019, AMC Networks granted 34,678 restricted stock units ("RSUs") under the 2011 Stock Plan for Non-Employee Directors to non-employee directors that vested on the date of grant.</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March 2019, AMC Networks granted 498,320 RSUs and 390,566 performance restricted stock units ("PRSUs") to certain executive officers and employees under the AMC Networks Inc. 2016 Employee Stock Plan. The RSUs vest ratably over a three-year period and the vesting criteria for 165,194 RSUs include the achievement of certain performance targets by the Company. The PRSUs vest on the third anniversary of the grant date.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target number of PRSUs granted represents the right to receive a corresponding number of shares, subject to adjustment based on the performance of the Company against target performance criteria for a three-year period. The number of shares issuable at the end of the applicable measurement period ranges from 0% to 200% of the target PRSU award.</w:t>
      </w:r>
    </w:p>
    <w:p>
      <w:pPr>
        <w:spacing w:after="0" w:line="18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During the six months ended June 30, 2019, 518,583 RSUs and 349,761 PRSUs of AMC Networks Class A Common Stock previously issued to employees of the Company vested. On the vesting date, 217,265 RSUs and 150,771 PRSUs were surrendered to the Company to cover the required statutory tax withholding obligations and 301,318 RSU and 198,990 PRSU new shares of AMC Networks Class A Common Stock were issued. The units surrendered to satisfy the employees' statutory minimum tax withholding obligations for the applicable income and other employment tax had an aggregate value of $23.0 million, which has been reflected as a financing activity in the condensed consolidated statement of cash flows for the six months ended June 30, 2019.</w:t>
      </w:r>
    </w:p>
    <w:p>
      <w:pPr>
        <w:spacing w:after="0" w:line="15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Share-based compensation expense included in selling, general and administrative expense, for the three and six months ended June 30, 2019 was $16.7 million and $36.6 million, respectively, and $19.8 million and $35.1 million, respectively, the for three and six months ended June 30, 2018.</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2019, there was $102.8 million of total unrecognized share-based compensation cost related to outstanding unvested share-based awards.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unrecognized compensation cost is expected to be recognized over a weighted-average remaining period of approximately 2.3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Redeemable Noncontrolling Interests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activity related to redeemable noncontrolling interest for the six months ended June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Six Months Ended June 30,</w:t>
            </w:r>
          </w:p>
        </w:tc>
      </w:tr>
      <w:tr>
        <w:trPr>
          <w:trHeight w:val="237"/>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2019</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299,558</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Net earnings</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10,931</w:t>
            </w:r>
          </w:p>
        </w:tc>
      </w:tr>
      <w:tr>
        <w:trPr>
          <w:trHeight w:val="27"/>
        </w:trPr>
        <w:tc>
          <w:tcPr>
            <w:tcW w:w="9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(7,394)</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9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302,788</w:t>
            </w:r>
          </w:p>
        </w:tc>
      </w:tr>
      <w:tr>
        <w:trPr>
          <w:trHeight w:val="20"/>
        </w:trPr>
        <w:tc>
          <w:tcPr>
            <w:tcW w:w="9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Party Transactions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and its related parties routinely enter into transactions with each other in the ordinary course of business. Revenues, net from related parties amounted to $1.2 million and $1.5 million for the three months ended June 30, 2019 and 2018, respectively, and $2.4 million and $3.2 million for the six months ended June 30, 2019 and 2018, respectively. Amounts charged to the Company, included in selling, general and administrative expenses, pursuant to transactions with its related parties amounted to $0.3 million and $0.2 million for the three months ended June 30, 2019 and 2018, respectively, and $0.8 million and $0.7 million for the six months ended June 30, 2019 and 2018,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Cash Flows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Company's non-cash investing and financing activities and other supplemental data are as follows </w:t>
      </w:r>
      <w:r>
        <w:rPr>
          <w:rFonts w:ascii="Arial" w:cs="Arial" w:eastAsia="Arial" w:hAnsi="Arial"/>
          <w:sz w:val="18"/>
          <w:szCs w:val="18"/>
          <w:b w:val="1"/>
          <w:bCs w:val="1"/>
          <w:color w:val="auto"/>
        </w:rPr>
        <w:t>[open]</w:t>
      </w:r>
      <w:r>
        <w:rPr>
          <w:rFonts w:ascii="Arial" w:cs="Arial" w:eastAsia="Arial" w:hAnsi="Arial"/>
          <w:sz w:val="18"/>
          <w:szCs w:val="18"/>
          <w:color w:val="auto"/>
        </w:rPr>
        <w:t>:</w:t>
      </w:r>
    </w:p>
    <w:p>
      <w:pPr>
        <w:spacing w:after="0" w:line="284"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Capital expenditures incurred but not yet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2,419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not yet settled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Supplemental Data:</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interest paid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76,664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71,750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Income taxes paid, net</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77,985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60,413</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classifies its operations into two operating segments: National Networks and International and Other. These</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operating segments represent strategic business units that are managed separately.</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generally allocates all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a non-GAAP measure. The Company defines AOI as operating income (loss) before depreciation and amortization, share-based compensation expense or benefit, impairment and related charges (including gains or losses on sales or dispositions of businesses), restructuring and other related charges and the Company's proportionate share of adjusted operating income (loss) from majority-owned equity method investees. The Company has presented the components that reconcile adjusted operating income to operating income, an accepted GAAP measure, and other information as to the continuing operations of the Company's operating segments below.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 2019</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4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219,490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23,535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242,976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385,249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155,991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529,323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604,739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179,526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772,299</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214,198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13,821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16,725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8,179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17,714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25,893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Majority-owned equity investees AOI</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236,472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11,830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231,645</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 2018</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4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246,829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23,433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270,262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380,460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123,278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491,123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627,289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146,711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761,385</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191,531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16,259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19,753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21,669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Majority-owned equity investees AOI</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234,678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232,953</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ind w:left="280"/>
              <w:spacing w:after="0"/>
              <w:rPr>
                <w:sz w:val="20"/>
                <w:szCs w:val="20"/>
                <w:color w:val="auto"/>
              </w:rPr>
            </w:pPr>
            <w:r>
              <w:rPr>
                <w:rFonts w:ascii="Arial" w:cs="Arial" w:eastAsia="Arial" w:hAnsi="Arial"/>
                <w:sz w:val="16"/>
                <w:szCs w:val="16"/>
                <w:b w:val="1"/>
                <w:bCs w:val="1"/>
                <w:color w:val="auto"/>
              </w:rPr>
              <w:t>Six Months Ended June 30, 2019</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458,579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44,741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503,269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762,279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305,874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1,053,251</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1,220,858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350,615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1,556,520</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465,702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415,120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30,090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36,624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19,804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16,791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33,158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49,949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Majority-owned equity investees AOI</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3,188</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513,159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21,772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524,685</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62"/>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5"/>
          </w:tcPr>
          <w:p>
            <w:pPr>
              <w:ind w:left="280"/>
              <w:spacing w:after="0"/>
              <w:rPr>
                <w:sz w:val="20"/>
                <w:szCs w:val="20"/>
                <w:color w:val="auto"/>
              </w:rPr>
            </w:pPr>
            <w:r>
              <w:rPr>
                <w:rFonts w:ascii="Arial" w:cs="Arial" w:eastAsia="Arial" w:hAnsi="Arial"/>
                <w:sz w:val="16"/>
                <w:szCs w:val="16"/>
                <w:b w:val="1"/>
                <w:bCs w:val="1"/>
                <w:color w:val="auto"/>
              </w:rPr>
              <w:t>Six Months Ended June 30, 2018</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472,559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45,943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518,502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787,758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212,158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983,706</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1,260,317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258,101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1,502,208</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459,859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425,186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28,786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6,286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35,072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42,023</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505,552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502,281</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292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Inter-segment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National Networks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(10,260)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(11,650)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(15,150)</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37"/>
        </w:trPr>
        <w:tc>
          <w:tcPr>
            <w:tcW w:w="47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(14,953)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(16,210)</w:t>
            </w: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revenues based on customer location: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292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605,114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600,195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1,267,578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1,186,763</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111,983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116,422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191,417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202,686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55,202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44,768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97,525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112,759</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772,299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761,385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1,556,520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1,502,208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property and equipment based on asset location: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Pr>
          <w:p>
            <w:pPr>
              <w:spacing w:after="0"/>
              <w:rPr>
                <w:sz w:val="20"/>
                <w:szCs w:val="20"/>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223,938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202,833</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27,218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14,807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16,211</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264,616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246,262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Condensed Consolidating Financial Statements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Debt of AMC Networks includes $600 million of 4.75% senior notes due December 2022, $1 billion of 5.00% senior notes due April 2024 and $800 million of 4.75% senior notes due August 2025. All outstanding senior notes issued by AMC Networks (for purposes of this Note 20, "Parent Company") are guaranteed on a senior unsecured basis by certain of its existing and future domestic restricted subsidiaries (the "Guarantor Subsidiaries"). All Guarantor Subsidiaries are owned 100% by AMC Networks. The outstanding notes are fully and unconditionally guaranteed by the Guarantor Subsidiaries on a joint and several basis.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Set forth below are condensed consolidating financial statements presenting the financial position, results of operations, comprehensive income, and cash flows of (i) the Parent Company, (ii) the Guarantor Subsidiaries on a combined basis (as such guarantees are joint and several), (iii) the direct and indirect non-guarantor subsidiaries of the Parent Company (the "Non-Guarantor Subsidiaries") on a combined basis and (iv) reclassifications and eliminations necessary to arrive at the information for the Company on a consolidated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In presenting the condensed consolidating financial statements, the equity method of accounting has been applied to (i) the Parent Company's interests in the Guarantor Subsidiaries and the Non-Guarantor Subsidiaries, and (ii) the Guarantor Subsidiaries' interests in the Non-Guarantor Subsidiaries, even though all such subsidiaries meet the requirements to be consolidated under GAAP. All intercompany balances and transactions between the Parent Company, the Guarantor Subsidiaries and the Non-Guarantor Subsidiaries have been eliminated, as shown in the column "Eliminations."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accounting basis in all subsidiaries, including goodwill and identified intangible assets, have been allocated to the applicable subsidiaries.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486,735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219,514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706,342</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receivable, trade (less allowance for doubtful accounts)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578,372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259,915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838,287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286,888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147,258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433,769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197,289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22,281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(40,876)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166,181</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1,549,284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648,968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2,144,579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 of accumulated depreciation</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197,164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67,452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264,616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3,865,679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1,673,727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(5,539,406)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876,166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239,209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1,114,038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21,261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23,320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156,477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400,894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557,371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64,618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727,465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792,083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48,998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Operating lease right-of-use asset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99,141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18,487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58,049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175,677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165,489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274,478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441,052</w:t>
            </w:r>
          </w:p>
        </w:tc>
        <w:tc>
          <w:tcPr>
            <w:tcW w:w="0" w:type="dxa"/>
            <w:vAlign w:val="bottom"/>
          </w:tcPr>
          <w:p>
            <w:pPr>
              <w:spacing w:after="0"/>
              <w:rPr>
                <w:sz w:val="1"/>
                <w:szCs w:val="1"/>
                <w:color w:val="auto"/>
              </w:rPr>
            </w:pPr>
          </w:p>
        </w:tc>
      </w:tr>
      <w:tr>
        <w:trPr>
          <w:trHeight w:val="283"/>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3,952,409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4,722,673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2,467,655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(5,581,003)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5,561,734</w:t>
            </w:r>
          </w:p>
        </w:tc>
        <w:tc>
          <w:tcPr>
            <w:tcW w:w="0" w:type="dxa"/>
            <w:vAlign w:val="bottom"/>
          </w:tcPr>
          <w:p>
            <w:pPr>
              <w:spacing w:after="0"/>
              <w:rPr>
                <w:sz w:val="1"/>
                <w:szCs w:val="1"/>
                <w:color w:val="auto"/>
              </w:rPr>
            </w:pPr>
          </w:p>
        </w:tc>
      </w:tr>
      <w:tr>
        <w:trPr>
          <w:trHeight w:val="251"/>
        </w:trPr>
        <w:tc>
          <w:tcPr>
            <w:tcW w:w="4700" w:type="dxa"/>
            <w:vAlign w:val="bottom"/>
            <w:shd w:val="clear" w:color="auto" w:fill="CCEEFF"/>
          </w:tcPr>
          <w:p>
            <w:pPr>
              <w:ind w:left="80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71,364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105,353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40,572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126,975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105,188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(40,876)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231,859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255,601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90,198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345,799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27,708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29,498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56,577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37,500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lease obligations</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13,643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11,948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31,445</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91,696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450,146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308,196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(41,505)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808,533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273,890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15,838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289,728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3,073,419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3,073,419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Lease obligations</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122,332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19,989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81,014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223,335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100,226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135,001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118,159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19,434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160,417</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3,410,589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862,184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459,257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(41,597)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4,690,433</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307,978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302,788</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541,820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3,865,679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1,673,727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(5,539,406)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541,820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26,693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26,693</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541,820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3,865,679</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1,700,420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(5,539,406)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568,513</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3,952,409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4,722,673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2,467,655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(5,581,003)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5,561,734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368,151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186,614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554,886</w:t>
            </w:r>
          </w:p>
        </w:tc>
        <w:tc>
          <w:tcPr>
            <w:tcW w:w="0" w:type="dxa"/>
            <w:vAlign w:val="bottom"/>
          </w:tcPr>
          <w:p>
            <w:pPr>
              <w:spacing w:after="0"/>
              <w:rPr>
                <w:sz w:val="1"/>
                <w:szCs w:val="1"/>
                <w:color w:val="auto"/>
              </w:rPr>
            </w:pPr>
          </w:p>
        </w:tc>
      </w:tr>
      <w:tr>
        <w:trPr>
          <w:trHeight w:val="157"/>
        </w:trPr>
        <w:tc>
          <w:tcPr>
            <w:tcW w:w="4700" w:type="dxa"/>
            <w:vAlign w:val="bottom"/>
          </w:tcPr>
          <w:p>
            <w:pPr>
              <w:ind w:left="380"/>
              <w:spacing w:after="0" w:line="157" w:lineRule="exact"/>
              <w:rPr>
                <w:sz w:val="20"/>
                <w:szCs w:val="20"/>
                <w:color w:val="auto"/>
              </w:rPr>
            </w:pPr>
            <w:r>
              <w:rPr>
                <w:rFonts w:ascii="Arial" w:cs="Arial" w:eastAsia="Arial" w:hAnsi="Arial"/>
                <w:sz w:val="14"/>
                <w:szCs w:val="14"/>
                <w:color w:val="auto"/>
                <w:w w:val="97"/>
              </w:rPr>
              <w:t>Accounts receivable, trade (including amounts due from related parties,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720"/>
              <w:spacing w:after="0" w:line="149" w:lineRule="exact"/>
              <w:rPr>
                <w:sz w:val="20"/>
                <w:szCs w:val="20"/>
                <w:color w:val="auto"/>
              </w:rPr>
            </w:pPr>
            <w:r>
              <w:rPr>
                <w:rFonts w:ascii="Arial" w:cs="Arial" w:eastAsia="Arial" w:hAnsi="Arial"/>
                <w:sz w:val="14"/>
                <w:szCs w:val="14"/>
                <w:color w:val="auto"/>
              </w:rPr>
              <w:t>net,</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720"/>
              <w:spacing w:after="0"/>
              <w:rPr>
                <w:sz w:val="20"/>
                <w:szCs w:val="20"/>
                <w:color w:val="auto"/>
              </w:rPr>
            </w:pPr>
            <w:r>
              <w:rPr>
                <w:rFonts w:ascii="Arial" w:cs="Arial" w:eastAsia="Arial" w:hAnsi="Arial"/>
                <w:sz w:val="14"/>
                <w:szCs w:val="14"/>
                <w:color w:val="auto"/>
              </w:rPr>
              <w:t>less allowance for doubtful accounts)</w:t>
            </w:r>
          </w:p>
        </w:tc>
        <w:tc>
          <w:tcPr>
            <w:tcW w:w="1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600,121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235,840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835,977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292,002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148,955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440,739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6,543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158,936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131,809</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1,419,210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594,958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(57,437)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1,963,411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 of accumulated depreciation</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175,040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71,222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246,262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3,656,003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1,655,083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(5,311,086)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969,802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245,862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1,214,051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16,831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161,417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417,490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578,907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65,282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732,755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798,037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19,272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149,724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292,068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441,792</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3,662,683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4,611,551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2,374,655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(5,370,326)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5,278,563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34,630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72,436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107,066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173,836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264,918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259,414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84,175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343,589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55,424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18,750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21,334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5,090</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53,939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505,429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297,103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(59,050)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797,421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349,814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373,249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3,088,221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3,088,221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21,427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140,474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145,443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63,369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98,885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45,972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208,036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3,346,003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955,548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391,486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(59,240)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4,633,797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299,558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299,558</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316,680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3,656,003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1,655,083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(5,311,086)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316,680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28,528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316,680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3,656,003</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1,683,611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(5,311,086)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345,208</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3,662,683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4,611,551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2,374,655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(5,370,326)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5,278,563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517,109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260,819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772,299</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233,579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153,147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385,623</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109,447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68,339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173,364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25,893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Restructuring and other related charges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16,575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17,162</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372,188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235,379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602,042</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144,921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170,257</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(39,028)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(34,971)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 of affiliates’ income</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162,140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15,834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(2,697)</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123,071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19,657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(177,870)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(37,668)</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123,071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164,578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22,914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(177,974)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132,589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 benefit (expense)</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5,672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1,396</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128,743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162,140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21,076</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(177,974)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133,985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128,743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162,140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15,834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(177,974)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128,743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June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549,262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216,006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761,385</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248,181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129,742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376,809</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120,463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53,686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171,376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11,175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21,669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379,819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193,922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569,854</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169,443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22,084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191,531</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(37,834)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(33,933)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 (loss)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172,233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(168,041)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(12,470)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(14,719)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134,658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5,019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(20,284)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(168,045)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(48,652)</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134,658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174,462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142,879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(28,477)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(32,547)</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106,181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172,233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(168,041)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110,332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(4,151)</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106,181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106,181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6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1,091,339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473,579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1,556,520</w:t>
            </w:r>
          </w:p>
        </w:tc>
        <w:tc>
          <w:tcPr>
            <w:tcW w:w="0" w:type="dxa"/>
            <w:vAlign w:val="bottom"/>
          </w:tcPr>
          <w:p>
            <w:pPr>
              <w:spacing w:after="0"/>
              <w:rPr>
                <w:sz w:val="1"/>
                <w:szCs w:val="1"/>
                <w:color w:val="auto"/>
              </w:rPr>
            </w:pPr>
          </w:p>
        </w:tc>
      </w:tr>
      <w:tr>
        <w:trPr>
          <w:trHeight w:val="258"/>
        </w:trPr>
        <w:tc>
          <w:tcPr>
            <w:tcW w:w="46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454,067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273,865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725,771</w:t>
            </w:r>
          </w:p>
        </w:tc>
        <w:tc>
          <w:tcPr>
            <w:tcW w:w="0" w:type="dxa"/>
            <w:vAlign w:val="bottom"/>
          </w:tcPr>
          <w:p>
            <w:pPr>
              <w:spacing w:after="0"/>
              <w:rPr>
                <w:sz w:val="1"/>
                <w:szCs w:val="1"/>
                <w:color w:val="auto"/>
              </w:rPr>
            </w:pPr>
          </w:p>
        </w:tc>
      </w:tr>
      <w:tr>
        <w:trPr>
          <w:trHeight w:val="264"/>
        </w:trPr>
        <w:tc>
          <w:tcPr>
            <w:tcW w:w="468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221,028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131,170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345,876</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25,124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49,949</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Restructuring and other related charges</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16,292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19,804</w:t>
            </w:r>
          </w:p>
        </w:tc>
        <w:tc>
          <w:tcPr>
            <w:tcW w:w="0" w:type="dxa"/>
            <w:vAlign w:val="bottom"/>
          </w:tcPr>
          <w:p>
            <w:pPr>
              <w:spacing w:after="0"/>
              <w:rPr>
                <w:sz w:val="1"/>
                <w:szCs w:val="1"/>
                <w:color w:val="auto"/>
              </w:rPr>
            </w:pPr>
          </w:p>
        </w:tc>
      </w:tr>
      <w:tr>
        <w:trPr>
          <w:trHeight w:val="250"/>
        </w:trPr>
        <w:tc>
          <w:tcPr>
            <w:tcW w:w="46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716,511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433,372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1,141,400</w:t>
            </w:r>
          </w:p>
        </w:tc>
        <w:tc>
          <w:tcPr>
            <w:tcW w:w="0" w:type="dxa"/>
            <w:vAlign w:val="bottom"/>
          </w:tcPr>
          <w:p>
            <w:pPr>
              <w:spacing w:after="0"/>
              <w:rPr>
                <w:sz w:val="1"/>
                <w:szCs w:val="1"/>
                <w:color w:val="auto"/>
              </w:rPr>
            </w:pPr>
          </w:p>
        </w:tc>
      </w:tr>
      <w:tr>
        <w:trPr>
          <w:trHeight w:val="250"/>
        </w:trPr>
        <w:tc>
          <w:tcPr>
            <w:tcW w:w="4680" w:type="dxa"/>
            <w:vAlign w:val="bottom"/>
          </w:tcPr>
          <w:p>
            <w:pPr>
              <w:ind w:left="700"/>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374,828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40,207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415,120</w:t>
            </w:r>
          </w:p>
        </w:tc>
        <w:tc>
          <w:tcPr>
            <w:tcW w:w="0" w:type="dxa"/>
            <w:vAlign w:val="bottom"/>
          </w:tcPr>
          <w:p>
            <w:pPr>
              <w:spacing w:after="0"/>
              <w:rPr>
                <w:sz w:val="1"/>
                <w:szCs w:val="1"/>
                <w:color w:val="auto"/>
              </w:rPr>
            </w:pPr>
          </w:p>
        </w:tc>
      </w:tr>
      <w:tr>
        <w:trPr>
          <w:trHeight w:val="270"/>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68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(77,957)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6,906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(70,416)</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 of affiliates’ income</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386,384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(394,907)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(15,482)</w:t>
            </w:r>
          </w:p>
        </w:tc>
        <w:tc>
          <w:tcPr>
            <w:tcW w:w="0" w:type="dxa"/>
            <w:vAlign w:val="bottom"/>
          </w:tcPr>
          <w:p>
            <w:pPr>
              <w:spacing w:after="0"/>
              <w:rPr>
                <w:sz w:val="1"/>
                <w:szCs w:val="1"/>
                <w:color w:val="auto"/>
              </w:rPr>
            </w:pPr>
          </w:p>
        </w:tc>
      </w:tr>
      <w:tr>
        <w:trPr>
          <w:trHeight w:val="250"/>
        </w:trPr>
        <w:tc>
          <w:tcPr>
            <w:tcW w:w="46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308,287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16,238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(15,431)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(394,992)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(85,898)</w:t>
            </w:r>
          </w:p>
        </w:tc>
        <w:tc>
          <w:tcPr>
            <w:tcW w:w="0" w:type="dxa"/>
            <w:vAlign w:val="bottom"/>
          </w:tcPr>
          <w:p>
            <w:pPr>
              <w:spacing w:after="0"/>
              <w:rPr>
                <w:sz w:val="1"/>
                <w:szCs w:val="1"/>
                <w:color w:val="auto"/>
              </w:rPr>
            </w:pPr>
          </w:p>
        </w:tc>
      </w:tr>
      <w:tr>
        <w:trPr>
          <w:trHeight w:val="250"/>
        </w:trPr>
        <w:tc>
          <w:tcPr>
            <w:tcW w:w="4680" w:type="dxa"/>
            <w:vAlign w:val="bottom"/>
          </w:tcPr>
          <w:p>
            <w:pPr>
              <w:ind w:left="2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308,287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391,066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(394,907)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329,222</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(45,080)</w:t>
            </w:r>
          </w:p>
        </w:tc>
        <w:tc>
          <w:tcPr>
            <w:tcW w:w="0" w:type="dxa"/>
            <w:vAlign w:val="bottom"/>
          </w:tcPr>
          <w:p>
            <w:pPr>
              <w:spacing w:after="0"/>
              <w:rPr>
                <w:sz w:val="1"/>
                <w:szCs w:val="1"/>
                <w:color w:val="auto"/>
              </w:rPr>
            </w:pPr>
          </w:p>
        </w:tc>
      </w:tr>
      <w:tr>
        <w:trPr>
          <w:trHeight w:val="250"/>
        </w:trPr>
        <w:tc>
          <w:tcPr>
            <w:tcW w:w="4680" w:type="dxa"/>
            <w:vAlign w:val="bottom"/>
          </w:tcPr>
          <w:p>
            <w:pPr>
              <w:ind w:left="2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272,140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386,384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20,525</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(394,907)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284,142</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(12,002)</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272,140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386,384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8,523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(394,907)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272,140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60" w:top="125" w:right="259" w:bottom="1440" w:gutter="0" w:footer="0" w:header="0"/>
        </w:sectPr>
      </w:pPr>
    </w:p>
    <w:bookmarkStart w:id="31" w:name="page32"/>
    <w:bookmarkEnd w:id="3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Non- Guarantor</w:t>
            </w:r>
          </w:p>
        </w:tc>
        <w:tc>
          <w:tcPr>
            <w:tcW w:w="16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1,124,179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386,392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1,502,208</w:t>
            </w:r>
          </w:p>
        </w:tc>
        <w:tc>
          <w:tcPr>
            <w:tcW w:w="0" w:type="dxa"/>
            <w:vAlign w:val="bottom"/>
          </w:tcPr>
          <w:p>
            <w:pPr>
              <w:spacing w:after="0"/>
              <w:rPr>
                <w:sz w:val="1"/>
                <w:szCs w:val="1"/>
                <w:color w:val="auto"/>
              </w:rPr>
            </w:pPr>
          </w:p>
        </w:tc>
      </w:tr>
      <w:tr>
        <w:trPr>
          <w:trHeight w:val="258"/>
        </w:trPr>
        <w:tc>
          <w:tcPr>
            <w:tcW w:w="46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470,802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228,264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697,174</w:t>
            </w:r>
          </w:p>
        </w:tc>
        <w:tc>
          <w:tcPr>
            <w:tcW w:w="0" w:type="dxa"/>
            <w:vAlign w:val="bottom"/>
          </w:tcPr>
          <w:p>
            <w:pPr>
              <w:spacing w:after="0"/>
              <w:rPr>
                <w:sz w:val="1"/>
                <w:szCs w:val="1"/>
                <w:color w:val="auto"/>
              </w:rPr>
            </w:pPr>
          </w:p>
        </w:tc>
      </w:tr>
      <w:tr>
        <w:trPr>
          <w:trHeight w:val="264"/>
        </w:trPr>
        <w:tc>
          <w:tcPr>
            <w:tcW w:w="4620" w:type="dxa"/>
            <w:vAlign w:val="bottom"/>
          </w:tcPr>
          <w:p>
            <w:pPr>
              <w:ind w:left="34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242,522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101,775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337,825</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21,979</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20,044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42,023</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735,303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350,083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1,077,022</w:t>
            </w: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388,876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425,186</w:t>
            </w:r>
          </w:p>
        </w:tc>
        <w:tc>
          <w:tcPr>
            <w:tcW w:w="0" w:type="dxa"/>
            <w:vAlign w:val="bottom"/>
          </w:tcPr>
          <w:p>
            <w:pPr>
              <w:spacing w:after="0"/>
              <w:rPr>
                <w:sz w:val="1"/>
                <w:szCs w:val="1"/>
                <w:color w:val="auto"/>
              </w:rPr>
            </w:pPr>
          </w:p>
        </w:tc>
      </w:tr>
      <w:tr>
        <w:trPr>
          <w:trHeight w:val="258"/>
        </w:trPr>
        <w:tc>
          <w:tcPr>
            <w:tcW w:w="46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(74,741)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23,612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(67,119)</w:t>
            </w:r>
          </w:p>
        </w:tc>
        <w:tc>
          <w:tcPr>
            <w:tcW w:w="0" w:type="dxa"/>
            <w:vAlign w:val="bottom"/>
          </w:tcPr>
          <w:p>
            <w:pPr>
              <w:spacing w:after="0"/>
              <w:rPr>
                <w:sz w:val="1"/>
                <w:szCs w:val="1"/>
                <w:color w:val="auto"/>
              </w:rPr>
            </w:pPr>
          </w:p>
        </w:tc>
      </w:tr>
      <w:tr>
        <w:trPr>
          <w:trHeight w:val="264"/>
        </w:trPr>
        <w:tc>
          <w:tcPr>
            <w:tcW w:w="4620" w:type="dxa"/>
            <w:vAlign w:val="bottom"/>
          </w:tcPr>
          <w:p>
            <w:pPr>
              <w:ind w:left="360"/>
              <w:spacing w:after="0"/>
              <w:rPr>
                <w:sz w:val="20"/>
                <w:szCs w:val="20"/>
                <w:color w:val="auto"/>
              </w:rPr>
            </w:pPr>
            <w:r>
              <w:rPr>
                <w:rFonts w:ascii="Arial" w:cs="Arial" w:eastAsia="Arial" w:hAnsi="Arial"/>
                <w:sz w:val="14"/>
                <w:szCs w:val="14"/>
                <w:color w:val="auto"/>
              </w:rPr>
              <w:t>Share of affiliates’ income</w:t>
            </w:r>
          </w:p>
        </w:tc>
        <w:tc>
          <w:tcPr>
            <w:tcW w:w="100" w:type="dxa"/>
            <w:vAlign w:val="bottom"/>
          </w:tcPr>
          <w:p>
            <w:pPr>
              <w:spacing w:after="0"/>
              <w:rPr>
                <w:sz w:val="22"/>
                <w:szCs w:val="22"/>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419,715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13,306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(433,021)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extinguishment of debt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(1,770)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3,945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345,027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35,148</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(12,045)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(433,022)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(64,892)</w:t>
            </w:r>
          </w:p>
        </w:tc>
        <w:tc>
          <w:tcPr>
            <w:tcW w:w="0" w:type="dxa"/>
            <w:vAlign w:val="bottom"/>
          </w:tcPr>
          <w:p>
            <w:pPr>
              <w:spacing w:after="0"/>
              <w:rPr>
                <w:sz w:val="1"/>
                <w:szCs w:val="1"/>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tcPr>
          <w:p>
            <w:pPr>
              <w:spacing w:after="0"/>
              <w:rPr>
                <w:sz w:val="21"/>
                <w:szCs w:val="21"/>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345,027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424,024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24,264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(433,021)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360,294</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(81,976)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(4,309)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(89,426)</w:t>
            </w:r>
          </w:p>
        </w:tc>
        <w:tc>
          <w:tcPr>
            <w:tcW w:w="0" w:type="dxa"/>
            <w:vAlign w:val="bottom"/>
          </w:tcPr>
          <w:p>
            <w:pPr>
              <w:spacing w:after="0"/>
              <w:rPr>
                <w:sz w:val="1"/>
                <w:szCs w:val="1"/>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263,051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419,715</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21,123</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(433,021)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270,868</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(7,817)</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263,051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419,715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13,306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(433,021)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263,051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128,743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162,140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21,076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(177,974)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133,985</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Unrealized loss on interest rate swaps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income,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374</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(loss) income, net of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128,045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162,140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21,629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(178,527)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133,287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128,045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162,140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16,596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(178,527)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128,254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106,181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172,233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(168,041)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110,332</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(45,759)</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45,759</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(45,759)</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(45,759)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(loss) income, net of income taxes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(45,759)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45,759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(45,759)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(45,759)</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60,422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172,233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45,718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(213,800)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64,573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60,422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62,400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7"/>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272,140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386,384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20,525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(394,907)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284,142</w:t>
            </w:r>
          </w:p>
        </w:tc>
        <w:tc>
          <w:tcPr>
            <w:tcW w:w="0" w:type="dxa"/>
            <w:vAlign w:val="bottom"/>
          </w:tcPr>
          <w:p>
            <w:pPr>
              <w:spacing w:after="0"/>
              <w:rPr>
                <w:sz w:val="1"/>
                <w:szCs w:val="1"/>
                <w:color w:val="auto"/>
              </w:rPr>
            </w:pPr>
          </w:p>
        </w:tc>
      </w:tr>
      <w:tr>
        <w:trPr>
          <w:trHeight w:val="258"/>
        </w:trPr>
        <w:tc>
          <w:tcPr>
            <w:tcW w:w="42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4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Foreign currency translation adjustment</w:t>
            </w: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5,210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(5,210)</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Unrealized loss on interest rate swaps</w:t>
            </w:r>
          </w:p>
        </w:tc>
        <w:tc>
          <w:tcPr>
            <w:tcW w:w="4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(2,263)</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loss, before income taxes</w:t>
            </w: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5,210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(7,473)</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Income tax expense</w:t>
            </w:r>
          </w:p>
        </w:tc>
        <w:tc>
          <w:tcPr>
            <w:tcW w:w="4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loss, net of income taxes</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5,210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(6,950)</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4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265,190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386,384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15,315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(389,697)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277,192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46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(11,831)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(11,831)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4"/>
                <w:szCs w:val="14"/>
                <w:color w:val="auto"/>
                <w:w w:val="99"/>
              </w:rPr>
              <w:t>Comprehensive income attributable to AMC Networks’ stockholders</w:t>
            </w:r>
          </w:p>
        </w:tc>
        <w:tc>
          <w:tcPr>
            <w:tcW w:w="4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265,190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386,384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3,484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(389,697)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265,361</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820" w:type="dxa"/>
            <w:vAlign w:val="bottom"/>
            <w:gridSpan w:val="11"/>
          </w:tcPr>
          <w:p>
            <w:pPr>
              <w:jc w:val="center"/>
              <w:ind w:left="2547"/>
              <w:spacing w:after="0"/>
              <w:rPr>
                <w:sz w:val="20"/>
                <w:szCs w:val="20"/>
                <w:color w:val="auto"/>
              </w:rPr>
            </w:pPr>
            <w:r>
              <w:rPr>
                <w:rFonts w:ascii="Arial" w:cs="Arial" w:eastAsia="Arial" w:hAnsi="Arial"/>
                <w:sz w:val="18"/>
                <w:szCs w:val="18"/>
                <w:b w:val="1"/>
                <w:bCs w:val="1"/>
                <w:color w:val="auto"/>
                <w:w w:val="88"/>
              </w:rPr>
              <w:t>Condensed Consolidating Statement of Comprehensive Income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324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89"/>
              </w:rPr>
              <w:t>Six Months Ended June 30, 2018</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5"/>
                <w:szCs w:val="15"/>
                <w:color w:val="auto"/>
              </w:rPr>
            </w:pPr>
          </w:p>
        </w:tc>
        <w:tc>
          <w:tcPr>
            <w:tcW w:w="1060" w:type="dxa"/>
            <w:vAlign w:val="bottom"/>
            <w:vMerge w:val="restart"/>
          </w:tcPr>
          <w:p>
            <w:pPr>
              <w:jc w:val="right"/>
              <w:ind w:right="147"/>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263,051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419,715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21,123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270,868</w:t>
            </w:r>
          </w:p>
        </w:tc>
        <w:tc>
          <w:tcPr>
            <w:tcW w:w="0" w:type="dxa"/>
            <w:vAlign w:val="bottom"/>
          </w:tcPr>
          <w:p>
            <w:pPr>
              <w:spacing w:after="0"/>
              <w:rPr>
                <w:sz w:val="1"/>
                <w:szCs w:val="1"/>
                <w:color w:val="auto"/>
              </w:rPr>
            </w:pPr>
          </w:p>
        </w:tc>
      </w:tr>
      <w:tr>
        <w:trPr>
          <w:trHeight w:val="258"/>
        </w:trPr>
        <w:tc>
          <w:tcPr>
            <w:tcW w:w="42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4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Foreign currency translation adjustment</w:t>
            </w:r>
          </w:p>
        </w:tc>
        <w:tc>
          <w:tcPr>
            <w:tcW w:w="46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(26,955)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26,955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(26,955)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(26,955)</w:t>
            </w:r>
          </w:p>
        </w:tc>
        <w:tc>
          <w:tcPr>
            <w:tcW w:w="0" w:type="dxa"/>
            <w:vAlign w:val="bottom"/>
          </w:tcPr>
          <w:p>
            <w:pPr>
              <w:spacing w:after="0"/>
              <w:rPr>
                <w:sz w:val="1"/>
                <w:szCs w:val="1"/>
                <w:color w:val="auto"/>
              </w:rPr>
            </w:pPr>
          </w:p>
        </w:tc>
      </w:tr>
      <w:tr>
        <w:trPr>
          <w:trHeight w:val="250"/>
        </w:trPr>
        <w:tc>
          <w:tcPr>
            <w:tcW w:w="4240" w:type="dxa"/>
            <w:vAlign w:val="bottom"/>
          </w:tcPr>
          <w:p>
            <w:pPr>
              <w:ind w:left="380"/>
              <w:spacing w:after="0"/>
              <w:rPr>
                <w:sz w:val="20"/>
                <w:szCs w:val="20"/>
                <w:color w:val="auto"/>
              </w:rPr>
            </w:pPr>
            <w:r>
              <w:rPr>
                <w:rFonts w:ascii="Arial" w:cs="Arial" w:eastAsia="Arial" w:hAnsi="Arial"/>
                <w:sz w:val="14"/>
                <w:szCs w:val="14"/>
                <w:color w:val="auto"/>
              </w:rPr>
              <w:t>Other comprehensive (loss) income, net of income taxes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(26,955)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7"/>
              <w:spacing w:after="0"/>
              <w:rPr>
                <w:sz w:val="20"/>
                <w:szCs w:val="20"/>
                <w:color w:val="auto"/>
              </w:rPr>
            </w:pPr>
            <w:r>
              <w:rPr>
                <w:rFonts w:ascii="Arial" w:cs="Arial" w:eastAsia="Arial" w:hAnsi="Arial"/>
                <w:sz w:val="14"/>
                <w:szCs w:val="14"/>
                <w:color w:val="auto"/>
              </w:rPr>
              <w:t>26,955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(26,955)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(26,955)</w:t>
            </w:r>
          </w:p>
        </w:tc>
        <w:tc>
          <w:tcPr>
            <w:tcW w:w="0" w:type="dxa"/>
            <w:vAlign w:val="bottom"/>
          </w:tcPr>
          <w:p>
            <w:pPr>
              <w:spacing w:after="0"/>
              <w:rPr>
                <w:sz w:val="1"/>
                <w:szCs w:val="1"/>
                <w:color w:val="auto"/>
              </w:rPr>
            </w:pPr>
          </w:p>
        </w:tc>
      </w:tr>
      <w:tr>
        <w:trPr>
          <w:trHeight w:val="270"/>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4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236,096</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4"/>
                <w:szCs w:val="14"/>
                <w:color w:val="auto"/>
              </w:rPr>
              <w:t>419,715</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48,078</w:t>
            </w: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(459,976)</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243,913</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4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(6,736)</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Comprehensive income attributable to AMC Networks’ stockholders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236,096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419,715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41,342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(459,976)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237,177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273,682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400,444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9,726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(394,915)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288,937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(45,445)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(49,463)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Return of capital from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Investment in and loans to investees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for acquisition of a business, net of cash acquired</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(221,104)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(44,279)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265,383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(221,104)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(89,724)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265,383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(43,555)</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the issuance of long-term debt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Repayment of long-term debt</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(2,717)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(58,440)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(58,440)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stock option exercises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Principal payments on finance lease obligations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(2,590)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(10,129)</w:t>
            </w:r>
          </w:p>
        </w:tc>
        <w:tc>
          <w:tcPr>
            <w:tcW w:w="0" w:type="dxa"/>
            <w:vAlign w:val="bottom"/>
          </w:tcPr>
          <w:p>
            <w:pPr>
              <w:spacing w:after="0"/>
              <w:rPr>
                <w:sz w:val="1"/>
                <w:szCs w:val="1"/>
                <w:color w:val="auto"/>
              </w:rPr>
            </w:pPr>
          </w:p>
        </w:tc>
      </w:tr>
      <w:tr>
        <w:trPr>
          <w:trHeight w:val="250"/>
        </w:trPr>
        <w:tc>
          <w:tcPr>
            <w:tcW w:w="4700" w:type="dxa"/>
            <w:vAlign w:val="bottom"/>
          </w:tcPr>
          <w:p>
            <w:pPr>
              <w:ind w:left="60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(76,829)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(92,265)</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 from operations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(24,251)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309,184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(129,532)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153,117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24,223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(190,600)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35,184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129,532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(1,661)</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368,151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186,614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554,886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486,735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219,514</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706,342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296,928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852,314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(437,627)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(433,038)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278,577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(32,827)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(37,402)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Return of capital from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Investment in investees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(87,488)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(87,488)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for acquisition of a business, net of cash acquired</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(46,945)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(1,550,189)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896,005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701,129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(46,945)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(1,583,016)</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769,410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701,129</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(159,422)</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the issuance of long-term debt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Principal payments on long-term debt</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for financing costs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(15,734)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(15,734)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(242,409)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(242,409)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Proceeds from stock option exercises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4,317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(6,967)</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(253,826)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(263,418)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(decrease) increase in cash and cash equivalents from operations</w:t>
            </w:r>
          </w:p>
        </w:tc>
        <w:tc>
          <w:tcPr>
            <w:tcW w:w="1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(3,843)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(732,166)</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323,655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268,091</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(144,263)</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6,408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584,331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(321,044)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(268,091)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391,248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167,215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243,413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169,826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416,124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113" w:lineRule="exact"/>
        <w:rPr>
          <w:sz w:val="20"/>
          <w:szCs w:val="20"/>
          <w:color w:val="auto"/>
        </w:rPr>
      </w:pPr>
    </w:p>
    <w:p>
      <w:pPr>
        <w:ind w:left="58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level of our revenues;</w:t>
      </w:r>
    </w:p>
    <w:p>
      <w:pPr>
        <w:spacing w:after="0" w:line="117" w:lineRule="exact"/>
        <w:rPr>
          <w:sz w:val="20"/>
          <w:szCs w:val="20"/>
          <w:color w:val="auto"/>
        </w:rPr>
      </w:pPr>
    </w:p>
    <w:p>
      <w:pPr>
        <w:ind w:left="880" w:hanging="310"/>
        <w:spacing w:after="0" w:line="277" w:lineRule="auto"/>
        <w:rPr>
          <w:sz w:val="20"/>
          <w:szCs w:val="20"/>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62" w:lineRule="exact"/>
        <w:rPr>
          <w:sz w:val="20"/>
          <w:szCs w:val="20"/>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and programming industries;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117"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independent film distribution businesses;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independent film content;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consumer demand for our comedy venues;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30"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 including the impact of the Tax Cuts and Jobs Act and the Bipartisan Budget Act of 2018;</w:t>
      </w:r>
    </w:p>
    <w:p>
      <w:pPr>
        <w:spacing w:after="0" w:line="62"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new and proposed federal, state and international laws and regulations relating to data protection, privacy and security, including the E.U. General Data Protection Regulation;</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Brexit, particularly in the event of the U.K.'s departure from the E.U. without an agreement on terms;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140" w:lineRule="exact"/>
        <w:rPr>
          <w:rFonts w:ascii="Arial" w:cs="Arial" w:eastAsia="Arial" w:hAnsi="Arial"/>
          <w:sz w:val="16"/>
          <w:szCs w:val="16"/>
          <w:color w:val="auto"/>
        </w:rPr>
      </w:pPr>
    </w:p>
    <w:p>
      <w:pPr>
        <w:ind w:left="820" w:hanging="245"/>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62" w:lineRule="exact"/>
        <w:rPr>
          <w:rFonts w:ascii="Arial" w:cs="Arial" w:eastAsia="Arial" w:hAnsi="Arial"/>
          <w:sz w:val="18"/>
          <w:szCs w:val="18"/>
          <w:color w:val="auto"/>
        </w:rPr>
      </w:pPr>
    </w:p>
    <w:p>
      <w:pPr>
        <w:ind w:left="820" w:right="20" w:hanging="245"/>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businesses;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128" w:lineRule="exact"/>
        <w:rPr>
          <w:rFonts w:ascii="Arial" w:cs="Arial" w:eastAsia="Arial" w:hAnsi="Arial"/>
          <w:sz w:val="17"/>
          <w:szCs w:val="17"/>
          <w:color w:val="auto"/>
        </w:rPr>
      </w:pPr>
    </w:p>
    <w:p>
      <w:pPr>
        <w:ind w:left="820" w:hanging="245"/>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events that are outside our control, such as political unrest in international markets, terrorist attacks, natural disasters and other similar events; and</w:t>
      </w:r>
    </w:p>
    <w:p>
      <w:pPr>
        <w:sectPr>
          <w:pgSz w:w="11900" w:h="16838" w:orient="portrait"/>
          <w:cols w:equalWidth="0" w:num="1">
            <w:col w:w="11420"/>
          </w:cols>
          <w:pgMar w:left="240" w:top="472" w:right="239" w:bottom="1440"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72" w:right="239" w:bottom="1440" w:gutter="0" w:footer="0" w:header="0"/>
          <w:type w:val="continuous"/>
        </w:sectPr>
      </w:pPr>
    </w:p>
    <w:bookmarkStart w:id="36" w:name="page37"/>
    <w:bookmarkEnd w:id="36"/>
    <w:p>
      <w:pPr>
        <w:ind w:left="1060" w:hanging="485"/>
        <w:spacing w:after="0" w:line="277" w:lineRule="auto"/>
        <w:tabs>
          <w:tab w:leader="none" w:pos="81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2018 Annual Report on Form 10-K (the "2018 Form 10-K"), as filed with the Securities and Exchange Commission ("SEC").</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Management's discussion and analysis, or MD&amp;A, of our results of operations and financial condition is provided as a supplement to, and should be read in conjunction with, the unaudited condensed consolidated financial statements and notes thereto included elsewhere herein and our 2018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 are</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 understanding our results of operations and financial condition and in anticipating future trends.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and six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and six months ended June 30, 2018. Our discussion is presented on both a consolidated and operating segment basis. Our two operating segments are: (i) National Networks and (ii) International and Other.</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This section provides a discussion of our financial condition as of June 30, 2019, as well as an analysis of our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six months ended June 30, 2019 and 2018. The discussion of our financial condition and liquidity includes summaries of (i) our primary sources of liquidity and (ii) our contractual obligations that existed at June 30, 2019 as compared to December 31, 2018.</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225" w:lineRule="exact"/>
        <w:rPr>
          <w:sz w:val="20"/>
          <w:szCs w:val="20"/>
          <w:color w:val="auto"/>
        </w:rPr>
      </w:pPr>
    </w:p>
    <w:p>
      <w:pPr>
        <w:jc w:val="both"/>
        <w:ind w:left="660" w:hanging="328"/>
        <w:spacing w:after="0" w:line="302" w:lineRule="auto"/>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five national programming networks, AMC Studios operations and AMC Broadcasting &amp;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Our national programming networks are AMC, WE tv, BBC AMERICA, IFC and SundanceTV in the U.S.; and AMC and IFC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154" w:lineRule="exact"/>
        <w:rPr>
          <w:rFonts w:ascii="Arial" w:cs="Arial" w:eastAsia="Arial" w:hAnsi="Arial"/>
          <w:sz w:val="16"/>
          <w:szCs w:val="16"/>
          <w:i w:val="1"/>
          <w:iCs w:val="1"/>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Principally includes AMC Networks International (AMCNI), the Company's international programming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a portfolio of channels around the world; IFC Films, the Company's independent film distribution business; Levity Entertainment Group ("Levity"), acquired April 20, 2018, our production services and comedy venues company; RLJ Entertainment Inc. ("RLJE"), acquired October 1, 2018, a content distribution company that also includes the subscription streaming services Acorn TV and UMC, and our wholly-owned subscription streaming services, Shudder and Sundance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2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29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2"/>
        </w:trPr>
        <w:tc>
          <w:tcPr>
            <w:tcW w:w="47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Revenues, net</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604,739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627,289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1,220,858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1,260,317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179,526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350,615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258,101</w:t>
            </w: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772,299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761,385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1,556,520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1,502,208</w:t>
            </w:r>
          </w:p>
        </w:tc>
        <w:tc>
          <w:tcPr>
            <w:tcW w:w="0" w:type="dxa"/>
            <w:vAlign w:val="bottom"/>
          </w:tcPr>
          <w:p>
            <w:pPr>
              <w:spacing w:after="0"/>
              <w:rPr>
                <w:sz w:val="1"/>
                <w:szCs w:val="1"/>
                <w:color w:val="auto"/>
              </w:rPr>
            </w:pPr>
          </w:p>
        </w:tc>
      </w:tr>
      <w:tr>
        <w:trPr>
          <w:trHeight w:val="20"/>
        </w:trPr>
        <w:tc>
          <w:tcPr>
            <w:tcW w:w="47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214,198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210,007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465,702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459,859</w:t>
            </w: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Consolidated operating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170,257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191,531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415,120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425,186</w:t>
            </w:r>
          </w:p>
        </w:tc>
        <w:tc>
          <w:tcPr>
            <w:tcW w:w="0" w:type="dxa"/>
            <w:vAlign w:val="bottom"/>
          </w:tcPr>
          <w:p>
            <w:pPr>
              <w:spacing w:after="0"/>
              <w:rPr>
                <w:sz w:val="1"/>
                <w:szCs w:val="1"/>
                <w:color w:val="auto"/>
              </w:rPr>
            </w:pPr>
          </w:p>
        </w:tc>
      </w:tr>
      <w:tr>
        <w:trPr>
          <w:trHeight w:val="190"/>
        </w:trPr>
        <w:tc>
          <w:tcPr>
            <w:tcW w:w="470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AOI</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236,472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234,678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513,159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505,552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AOI</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231,645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232,953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524,685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502,281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share-based compensation expense or benefit, impairment and related charges (including gains or losses on sales or dispositions of businesses), restructuring and other related charges, and the Company's proportionate share of adjusted operating income (loss) from majority-owned equity method investees.</w:t>
      </w:r>
    </w:p>
    <w:p>
      <w:pPr>
        <w:spacing w:after="0" w:line="18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29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170,257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191,531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415,120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425,186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16,725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19,753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36,624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35,072</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related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25,893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21,669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49,949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42,023</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Majority-owned equity investees AOI</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AOI</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231,645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232,953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524,685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502,281</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54"/>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38" w:name="page39"/>
    <w:bookmarkEnd w:id="38"/>
    <w:p>
      <w:pPr>
        <w:ind w:left="420"/>
        <w:spacing w:after="0"/>
        <w:rPr>
          <w:sz w:val="20"/>
          <w:szCs w:val="20"/>
          <w:color w:val="auto"/>
        </w:rPr>
      </w:pPr>
      <w:r>
        <w:rPr>
          <w:rFonts w:ascii="Arial" w:cs="Arial" w:eastAsia="Arial" w:hAnsi="Arial"/>
          <w:sz w:val="18"/>
          <w:szCs w:val="18"/>
          <w:b w:val="1"/>
          <w:bCs w:val="1"/>
          <w:i w:val="1"/>
          <w:iCs w:val="1"/>
          <w:color w:val="auto"/>
        </w:rPr>
        <w:t>Items Impacting Comparability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RLJE</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October 2018, we acquired a controlling interest in RLJE. The operating results of RLJE are included in our International and Other segment in the consolidated statements of income from the acquisition date through June 30, 2019.</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Levity</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April 2018, we acquired a controlling interest in Levity. The operating results of Levity are included in our International and Other segment in the consolidated statements of income from the acquisition date through June 30, 2019.</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our National Networks segment, we earn revenue principally from the distribution of our programming and the sale of advertising. Distribution revenue primarily includes subscription fees paid by distributors to carry our programming networks and content licensing revenue from the licensing of original programming for digital, foreign and home video distribution. Subscription fees paid by distributors represent the largest component of distribution revenue. Our subscription fee revenues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networks, but are generally based upon the number of each distributor's subscribers who receive our programming, referred to as viewing subscribers. Content licensing revenue from the licensing of original programming for digital and foreign distribution is recognized upon availability or distribution by the licensee.</w:t>
      </w:r>
    </w:p>
    <w:p>
      <w:pPr>
        <w:spacing w:after="0" w:line="1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including cost of delivery, such as origination, transmission, uplinking and encryption.</w:t>
      </w:r>
    </w:p>
    <w:p>
      <w:pPr>
        <w:spacing w:after="0" w:line="18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To an increasing extent, the success of our business depends on original programming, both scripted and unscripted, across all of our networks. In recent years, we have introduced a number of scripted original series. These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programming across all of our networks.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individual-film-forecast-computation method.</w:t>
      </w:r>
    </w:p>
    <w:p>
      <w:pPr>
        <w:spacing w:after="0" w:line="17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 Program rights write-offs, included in technical and operating expense, were $10.1 million and $3.8 million for the three months ended June 30, 2019 and June 30, 2018, respectively. Program rights write-offs, included in technical and operating expense, were $13.4 million and $8.4 million for the six months ended June 30, 2019 and June 30, 2018, respectively. Program write-offs, included in Restructuring and other related charges, were $13.0 million for the three and six months ended June 30, 2019 and were related to the direct to consumer change in business strategy (see "Restructuring and other related charges" below).</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International and Other segment primarily includes the operations of AMCNI, Levity, RLJE (which includes the subscription streaming services Acorn TV and UMC), IFC Films, our independent film distribution business and our wholly-owned subscription streaming services, Shudder and Sundance Now.</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our International and Other segment, we earn revenue principally from the international distribution of programming and, to a lesser extent, the sale of advertising from our AMCNI programming networks. We also earn revenue from; (i) production services from Levity, (ii) our wholly-owned subscription streaming services Shudder and Sundance Now, as well as subscription</w:t>
      </w:r>
    </w:p>
    <w:p>
      <w:pPr>
        <w:sectPr>
          <w:pgSz w:w="11900" w:h="16838" w:orient="portrait"/>
          <w:cols w:equalWidth="0" w:num="1">
            <w:col w:w="11420"/>
          </w:cols>
          <w:pgMar w:left="240" w:top="476"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76" w:right="239" w:bottom="1440" w:gutter="0" w:footer="0" w:header="0"/>
          <w:type w:val="continuous"/>
        </w:sectPr>
      </w:pPr>
    </w:p>
    <w:bookmarkStart w:id="39" w:name="page40"/>
    <w:bookmarkEnd w:id="39"/>
    <w:p>
      <w:pPr>
        <w:jc w:val="both"/>
        <w:spacing w:after="0" w:line="289" w:lineRule="auto"/>
        <w:rPr>
          <w:sz w:val="20"/>
          <w:szCs w:val="20"/>
          <w:color w:val="auto"/>
        </w:rPr>
      </w:pPr>
      <w:r>
        <w:rPr>
          <w:rFonts w:ascii="Arial" w:cs="Arial" w:eastAsia="Arial" w:hAnsi="Arial"/>
          <w:sz w:val="16"/>
          <w:szCs w:val="16"/>
          <w:color w:val="auto"/>
        </w:rPr>
        <w:t>streaming services operated by RLJE; AcornTV and UMC, (iii) the distribution of content of IFC Films and RLJE, and (iv) Levity's operation of comedy venues. Distribution revenue primarily includes subscription fees paid by distributors or consumers to carry our programming networks or subscription-based streaming services and production services revenue generated from Levity. Our subscription revenues are generally based on either a per-subscriber fee or a fixed contractual annual fee, under multi-year affiliation agreements, which may provide for annual rate increases, and a monthly fee paid by consumers for our subscription-based streaming services. Our production services revenues are based on master production agreements whereby a third-party engages us to produce content on its behalf. Production services revenues are recognized based on the percentage of cost incurred to total estimated cost of the contract. For the six months ended June 30, 2019, distribution revenues represented 87% of the revenues of the International and Other segment. Distribution revenues are derived from the distribution of our programming networks primarily in Europe and to a lesser extent, Latin America as well as from our owned subscription streaming services available in the United States, Canada, Latin America, parts of Europe, India, Australia and New Zealand.</w:t>
      </w:r>
    </w:p>
    <w:p>
      <w:pPr>
        <w:spacing w:after="0" w:line="16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Programming expense, program operating costs and production costs incurred to produce content for third parties are included in technical and operating expense, and represent the largest expense of the International and Other segment. Programming expense primarily consist of amortization of acquired content, costs of dubbing and sub-titling of programs, production costs,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view our investments in international expansion and our various developing on-line content distribution initiatives as important long-term strategies. We may experience an adverse impact to the International and Other segment's operating results and cash flows in periods of increased investment by the Company in these aforementioned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Capital and credit market disruptions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7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majority-owned or controlled subsidiaries are reflected in net income attributable to noncontrolling interests in our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1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772,299</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761,385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10,914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Technical and operating (excluding depreciation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385,623</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376,809</w:t>
            </w:r>
          </w:p>
        </w:tc>
        <w:tc>
          <w:tcPr>
            <w:tcW w:w="138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8,814</w:t>
            </w:r>
          </w:p>
        </w:tc>
        <w:tc>
          <w:tcPr>
            <w:tcW w:w="122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173,364</w:t>
            </w:r>
          </w:p>
        </w:tc>
        <w:tc>
          <w:tcPr>
            <w:tcW w:w="1380" w:type="dxa"/>
            <w:vAlign w:val="bottom"/>
            <w:gridSpan w:val="3"/>
          </w:tcPr>
          <w:p>
            <w:pPr>
              <w:jc w:val="right"/>
              <w:ind w:right="164"/>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171,376</w:t>
            </w:r>
          </w:p>
        </w:tc>
        <w:tc>
          <w:tcPr>
            <w:tcW w:w="1380" w:type="dxa"/>
            <w:vAlign w:val="bottom"/>
            <w:gridSpan w:val="3"/>
          </w:tcPr>
          <w:p>
            <w:pPr>
              <w:jc w:val="right"/>
              <w:ind w:right="141"/>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1,988</w:t>
            </w:r>
          </w:p>
        </w:tc>
        <w:tc>
          <w:tcPr>
            <w:tcW w:w="1220" w:type="dxa"/>
            <w:vAlign w:val="bottom"/>
            <w:gridSpan w:val="2"/>
          </w:tcPr>
          <w:p>
            <w:pPr>
              <w:jc w:val="right"/>
              <w:ind w:right="13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25,893</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21,669</w:t>
            </w:r>
          </w:p>
        </w:tc>
        <w:tc>
          <w:tcPr>
            <w:tcW w:w="138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4,224</w:t>
            </w:r>
          </w:p>
        </w:tc>
        <w:tc>
          <w:tcPr>
            <w:tcW w:w="122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17,162</w:t>
            </w:r>
          </w:p>
        </w:tc>
        <w:tc>
          <w:tcPr>
            <w:tcW w:w="1380" w:type="dxa"/>
            <w:vAlign w:val="bottom"/>
            <w:gridSpan w:val="3"/>
          </w:tcPr>
          <w:p>
            <w:pPr>
              <w:jc w:val="right"/>
              <w:ind w:right="16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17,162</w:t>
            </w:r>
          </w:p>
        </w:tc>
        <w:tc>
          <w:tcPr>
            <w:tcW w:w="100" w:type="dxa"/>
            <w:vAlign w:val="bottom"/>
          </w:tcPr>
          <w:p>
            <w:pPr>
              <w:spacing w:after="0"/>
              <w:rPr>
                <w:sz w:val="21"/>
                <w:szCs w:val="21"/>
                <w:color w:val="auto"/>
              </w:rPr>
            </w:pPr>
          </w:p>
        </w:tc>
        <w:tc>
          <w:tcPr>
            <w:tcW w:w="1120" w:type="dxa"/>
            <w:vAlign w:val="bottom"/>
          </w:tcPr>
          <w:p>
            <w:pPr>
              <w:jc w:val="right"/>
              <w:ind w:right="1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602,042</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569,854</w:t>
            </w:r>
          </w:p>
        </w:tc>
        <w:tc>
          <w:tcPr>
            <w:tcW w:w="138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32,188</w:t>
            </w:r>
          </w:p>
        </w:tc>
        <w:tc>
          <w:tcPr>
            <w:tcW w:w="122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170,257</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4"/>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191,531</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(21,274)</w:t>
            </w:r>
          </w:p>
        </w:tc>
        <w:tc>
          <w:tcPr>
            <w:tcW w:w="1220" w:type="dxa"/>
            <w:vAlign w:val="bottom"/>
            <w:gridSpan w:val="2"/>
          </w:tcPr>
          <w:p>
            <w:pPr>
              <w:jc w:val="right"/>
              <w:ind w:right="76"/>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(34,971)</w:t>
            </w:r>
          </w:p>
        </w:tc>
        <w:tc>
          <w:tcPr>
            <w:tcW w:w="1380" w:type="dxa"/>
            <w:vAlign w:val="bottom"/>
            <w:gridSpan w:val="3"/>
          </w:tcPr>
          <w:p>
            <w:pPr>
              <w:jc w:val="right"/>
              <w:ind w:right="10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(33,933)</w:t>
            </w:r>
          </w:p>
        </w:tc>
        <w:tc>
          <w:tcPr>
            <w:tcW w:w="1380" w:type="dxa"/>
            <w:vAlign w:val="bottom"/>
            <w:gridSpan w:val="3"/>
          </w:tcPr>
          <w:p>
            <w:pPr>
              <w:jc w:val="right"/>
              <w:ind w:right="8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(1,038)</w:t>
            </w:r>
          </w:p>
        </w:tc>
        <w:tc>
          <w:tcPr>
            <w:tcW w:w="1220" w:type="dxa"/>
            <w:vAlign w:val="bottom"/>
            <w:gridSpan w:val="2"/>
          </w:tcPr>
          <w:p>
            <w:pPr>
              <w:jc w:val="right"/>
              <w:ind w:right="136"/>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Miscellaneous, net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(2,697)</w:t>
            </w:r>
          </w:p>
        </w:tc>
        <w:tc>
          <w:tcPr>
            <w:tcW w:w="1380" w:type="dxa"/>
            <w:vAlign w:val="bottom"/>
            <w:gridSpan w:val="3"/>
          </w:tcPr>
          <w:p>
            <w:pPr>
              <w:jc w:val="right"/>
              <w:ind w:right="10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(14,719)</w:t>
            </w:r>
          </w:p>
        </w:tc>
        <w:tc>
          <w:tcPr>
            <w:tcW w:w="1380" w:type="dxa"/>
            <w:vAlign w:val="bottom"/>
            <w:gridSpan w:val="3"/>
          </w:tcPr>
          <w:p>
            <w:pPr>
              <w:jc w:val="right"/>
              <w:ind w:right="8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12,022</w:t>
            </w:r>
          </w:p>
        </w:tc>
        <w:tc>
          <w:tcPr>
            <w:tcW w:w="1220" w:type="dxa"/>
            <w:vAlign w:val="bottom"/>
            <w:gridSpan w:val="2"/>
          </w:tcPr>
          <w:p>
            <w:pPr>
              <w:jc w:val="right"/>
              <w:ind w:right="76"/>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(37,668)</w:t>
            </w:r>
          </w:p>
        </w:tc>
        <w:tc>
          <w:tcPr>
            <w:tcW w:w="1380" w:type="dxa"/>
            <w:vAlign w:val="bottom"/>
            <w:tcBorders>
              <w:bottom w:val="single" w:sz="8" w:color="CCEEFF"/>
            </w:tcBorders>
            <w:gridSpan w:val="3"/>
            <w:shd w:val="clear" w:color="auto" w:fill="CCEEFF"/>
          </w:tcPr>
          <w:p>
            <w:pPr>
              <w:jc w:val="right"/>
              <w:ind w:right="10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(48,652)</w:t>
            </w:r>
          </w:p>
        </w:tc>
        <w:tc>
          <w:tcPr>
            <w:tcW w:w="138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10,984</w:t>
            </w:r>
          </w:p>
        </w:tc>
        <w:tc>
          <w:tcPr>
            <w:tcW w:w="12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7"/>
        </w:trPr>
        <w:tc>
          <w:tcPr>
            <w:tcW w:w="3940" w:type="dxa"/>
            <w:vAlign w:val="bottom"/>
          </w:tcPr>
          <w:p>
            <w:pPr>
              <w:ind w:left="380"/>
              <w:spacing w:after="0"/>
              <w:rPr>
                <w:sz w:val="20"/>
                <w:szCs w:val="20"/>
                <w:color w:val="auto"/>
              </w:rPr>
            </w:pPr>
            <w:r>
              <w:rPr>
                <w:rFonts w:ascii="Arial" w:cs="Arial" w:eastAsia="Arial" w:hAnsi="Arial"/>
                <w:sz w:val="18"/>
                <w:szCs w:val="18"/>
                <w:color w:val="auto"/>
                <w:w w:val="91"/>
              </w:rPr>
              <w:t>Net income from operations before income taxes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132,589</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142,879</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(10,290)</w:t>
            </w:r>
          </w:p>
        </w:tc>
        <w:tc>
          <w:tcPr>
            <w:tcW w:w="1220" w:type="dxa"/>
            <w:vAlign w:val="bottom"/>
            <w:gridSpan w:val="2"/>
          </w:tcPr>
          <w:p>
            <w:pPr>
              <w:jc w:val="right"/>
              <w:ind w:right="76"/>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(32,547)</w:t>
            </w:r>
          </w:p>
        </w:tc>
        <w:tc>
          <w:tcPr>
            <w:tcW w:w="138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33,943</w:t>
            </w:r>
          </w:p>
        </w:tc>
        <w:tc>
          <w:tcPr>
            <w:tcW w:w="12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133,985</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4"/>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110,332</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23,653</w:t>
            </w:r>
          </w:p>
        </w:tc>
        <w:tc>
          <w:tcPr>
            <w:tcW w:w="1220" w:type="dxa"/>
            <w:vAlign w:val="bottom"/>
            <w:gridSpan w:val="2"/>
          </w:tcPr>
          <w:p>
            <w:pPr>
              <w:jc w:val="right"/>
              <w:ind w:right="136"/>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380" w:type="dxa"/>
            <w:vAlign w:val="bottom"/>
            <w:tcBorders>
              <w:bottom w:val="single" w:sz="8" w:color="CCEEFF"/>
            </w:tcBorders>
            <w:gridSpan w:val="3"/>
            <w:shd w:val="clear" w:color="auto" w:fill="CCEEFF"/>
          </w:tcPr>
          <w:p>
            <w:pPr>
              <w:jc w:val="right"/>
              <w:ind w:right="10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38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09"/>
        </w:trPr>
        <w:tc>
          <w:tcPr>
            <w:tcW w:w="3940" w:type="dxa"/>
            <w:vAlign w:val="bottom"/>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128,743</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106,181</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22,562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stockholders</w:t>
            </w: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13.9 %</w:t>
            </w: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3"/>
          </w:tcPr>
          <w:p>
            <w:pPr>
              <w:jc w:val="right"/>
              <w:ind w:right="52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41" w:name="page42"/>
    <w:bookmarkEnd w:id="41"/>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6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6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1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604,739</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627,289</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Technical and operating (excluding depreciation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269,147</w:t>
            </w:r>
          </w:p>
        </w:tc>
        <w:tc>
          <w:tcPr>
            <w:tcW w:w="138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285,326</w:t>
            </w:r>
          </w:p>
        </w:tc>
        <w:tc>
          <w:tcPr>
            <w:tcW w:w="13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12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112,941</w:t>
            </w:r>
          </w:p>
        </w:tc>
        <w:tc>
          <w:tcPr>
            <w:tcW w:w="1380" w:type="dxa"/>
            <w:vAlign w:val="bottom"/>
            <w:gridSpan w:val="3"/>
          </w:tcPr>
          <w:p>
            <w:pPr>
              <w:jc w:val="right"/>
              <w:ind w:right="102"/>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123,544</w:t>
            </w:r>
          </w:p>
        </w:tc>
        <w:tc>
          <w:tcPr>
            <w:tcW w:w="1380" w:type="dxa"/>
            <w:vAlign w:val="bottom"/>
            <w:gridSpan w:val="3"/>
          </w:tcPr>
          <w:p>
            <w:pPr>
              <w:jc w:val="right"/>
              <w:ind w:right="101"/>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(10,603)</w:t>
            </w:r>
          </w:p>
        </w:tc>
        <w:tc>
          <w:tcPr>
            <w:tcW w:w="1240" w:type="dxa"/>
            <w:vAlign w:val="bottom"/>
            <w:gridSpan w:val="2"/>
          </w:tcPr>
          <w:p>
            <w:pPr>
              <w:jc w:val="right"/>
              <w:ind w:right="96"/>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38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13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214,198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13,821</w:t>
            </w:r>
          </w:p>
        </w:tc>
        <w:tc>
          <w:tcPr>
            <w:tcW w:w="1380" w:type="dxa"/>
            <w:vAlign w:val="bottom"/>
            <w:gridSpan w:val="3"/>
          </w:tcPr>
          <w:p>
            <w:pPr>
              <w:jc w:val="right"/>
              <w:ind w:right="10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16,259</w:t>
            </w:r>
          </w:p>
        </w:tc>
        <w:tc>
          <w:tcPr>
            <w:tcW w:w="1380" w:type="dxa"/>
            <w:vAlign w:val="bottom"/>
            <w:gridSpan w:val="3"/>
          </w:tcPr>
          <w:p>
            <w:pPr>
              <w:jc w:val="right"/>
              <w:ind w:right="10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(2,438)</w:t>
            </w:r>
          </w:p>
        </w:tc>
        <w:tc>
          <w:tcPr>
            <w:tcW w:w="1240" w:type="dxa"/>
            <w:vAlign w:val="bottom"/>
            <w:gridSpan w:val="2"/>
          </w:tcPr>
          <w:p>
            <w:pPr>
              <w:jc w:val="right"/>
              <w:ind w:right="96"/>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8,179</w:t>
            </w:r>
          </w:p>
        </w:tc>
        <w:tc>
          <w:tcPr>
            <w:tcW w:w="1380" w:type="dxa"/>
            <w:vAlign w:val="bottom"/>
            <w:gridSpan w:val="3"/>
          </w:tcPr>
          <w:p>
            <w:pPr>
              <w:jc w:val="right"/>
              <w:ind w:right="10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8,412</w:t>
            </w:r>
          </w:p>
        </w:tc>
        <w:tc>
          <w:tcPr>
            <w:tcW w:w="1380" w:type="dxa"/>
            <w:vAlign w:val="bottom"/>
            <w:gridSpan w:val="3"/>
          </w:tcPr>
          <w:p>
            <w:pPr>
              <w:jc w:val="right"/>
              <w:ind w:right="10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w:t>
            </w:r>
          </w:p>
        </w:tc>
        <w:tc>
          <w:tcPr>
            <w:tcW w:w="1240" w:type="dxa"/>
            <w:vAlign w:val="bottom"/>
            <w:gridSpan w:val="2"/>
          </w:tcPr>
          <w:p>
            <w:pPr>
              <w:jc w:val="right"/>
              <w:ind w:right="9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234,678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1,794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Networks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1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179,526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146,711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32,815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Technical and operating (excluding depreciation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111,722</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96,932</w:t>
            </w:r>
          </w:p>
        </w:tc>
        <w:tc>
          <w:tcPr>
            <w:tcW w:w="13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14,790</w:t>
            </w:r>
          </w:p>
        </w:tc>
        <w:tc>
          <w:tcPr>
            <w:tcW w:w="122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60,486</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47,860</w:t>
            </w:r>
          </w:p>
        </w:tc>
        <w:tc>
          <w:tcPr>
            <w:tcW w:w="1380" w:type="dxa"/>
            <w:vAlign w:val="bottom"/>
            <w:gridSpan w:val="3"/>
          </w:tcPr>
          <w:p>
            <w:pPr>
              <w:jc w:val="right"/>
              <w:ind w:right="159"/>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12,626</w:t>
            </w:r>
          </w:p>
        </w:tc>
        <w:tc>
          <w:tcPr>
            <w:tcW w:w="1220" w:type="dxa"/>
            <w:vAlign w:val="bottom"/>
            <w:gridSpan w:val="2"/>
          </w:tcPr>
          <w:p>
            <w:pPr>
              <w:jc w:val="right"/>
              <w:ind w:right="134"/>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13,257</w:t>
            </w:r>
          </w:p>
        </w:tc>
        <w:tc>
          <w:tcPr>
            <w:tcW w:w="13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4,457</w:t>
            </w:r>
          </w:p>
        </w:tc>
        <w:tc>
          <w:tcPr>
            <w:tcW w:w="122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16,888</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16,888</w:t>
            </w:r>
          </w:p>
        </w:tc>
        <w:tc>
          <w:tcPr>
            <w:tcW w:w="12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140.6 %</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2,904</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3,494</w:t>
            </w:r>
          </w:p>
        </w:tc>
        <w:tc>
          <w:tcPr>
            <w:tcW w:w="1380" w:type="dxa"/>
            <w:vAlign w:val="bottom"/>
            <w:gridSpan w:val="3"/>
          </w:tcPr>
          <w:p>
            <w:pPr>
              <w:jc w:val="right"/>
              <w:ind w:right="159"/>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w:t>
            </w:r>
          </w:p>
        </w:tc>
        <w:tc>
          <w:tcPr>
            <w:tcW w:w="1220" w:type="dxa"/>
            <w:vAlign w:val="bottom"/>
            <w:gridSpan w:val="2"/>
          </w:tcPr>
          <w:p>
            <w:pPr>
              <w:jc w:val="right"/>
              <w:ind w:right="74"/>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17,714</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13,257</w:t>
            </w:r>
          </w:p>
        </w:tc>
        <w:tc>
          <w:tcPr>
            <w:tcW w:w="1380" w:type="dxa"/>
            <w:vAlign w:val="bottom"/>
            <w:gridSpan w:val="3"/>
          </w:tcPr>
          <w:p>
            <w:pPr>
              <w:jc w:val="right"/>
              <w:ind w:right="159"/>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4,457</w:t>
            </w:r>
          </w:p>
        </w:tc>
        <w:tc>
          <w:tcPr>
            <w:tcW w:w="1220" w:type="dxa"/>
            <w:vAlign w:val="bottom"/>
            <w:gridSpan w:val="2"/>
          </w:tcPr>
          <w:p>
            <w:pPr>
              <w:jc w:val="right"/>
              <w:ind w:right="134"/>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Majority-owned equity investees AOI</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3920" w:type="dxa"/>
            <w:vAlign w:val="bottom"/>
          </w:tcPr>
          <w:p>
            <w:pPr>
              <w:ind w:left="40"/>
              <w:spacing w:after="0"/>
              <w:rPr>
                <w:sz w:val="20"/>
                <w:szCs w:val="20"/>
                <w:color w:val="auto"/>
              </w:rPr>
            </w:pPr>
            <w:r>
              <w:rPr>
                <w:rFonts w:ascii="Arial" w:cs="Arial" w:eastAsia="Arial" w:hAnsi="Arial"/>
                <w:sz w:val="18"/>
                <w:szCs w:val="18"/>
                <w:color w:val="auto"/>
              </w:rPr>
              <w:t>AOI</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11,830</w:t>
            </w:r>
          </w:p>
        </w:tc>
        <w:tc>
          <w:tcPr>
            <w:tcW w:w="20" w:type="dxa"/>
            <w:vAlign w:val="bottom"/>
            <w:tcBorders>
              <w:top w:val="single" w:sz="8" w:color="auto"/>
              <w:bottom w:val="single" w:sz="8" w:color="auto"/>
            </w:tcBorders>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w:t>
            </w:r>
          </w:p>
        </w:tc>
        <w:tc>
          <w:tcPr>
            <w:tcW w:w="20" w:type="dxa"/>
            <w:vAlign w:val="bottom"/>
            <w:tcBorders>
              <w:top w:val="single" w:sz="8" w:color="auto"/>
              <w:bottom w:val="single" w:sz="8" w:color="auto"/>
            </w:tcBorders>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6,417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118.5 %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gridSpan w:val="3"/>
          </w:tcPr>
          <w:p>
            <w:pPr>
              <w:jc w:val="right"/>
              <w:ind w:right="528"/>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Revenues, net increased $10.9 million to $772.3 million for the three months ended June 30, 2019 as compared to the three months ended June 30, 2018. The net change by segment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604,739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627,289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179,526</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146,711</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32,815</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22.4</w:t>
            </w: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(11,966)</w:t>
            </w:r>
          </w:p>
        </w:tc>
        <w:tc>
          <w:tcPr>
            <w:tcW w:w="13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649</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(5.1)</w:t>
            </w:r>
          </w:p>
        </w:tc>
      </w:tr>
      <w:tr>
        <w:trPr>
          <w:trHeight w:val="257"/>
        </w:trPr>
        <w:tc>
          <w:tcPr>
            <w:tcW w:w="382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772,299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761,385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10,914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National Networks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219,490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246,829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80" w:type="dxa"/>
            <w:vAlign w:val="bottom"/>
          </w:tcPr>
          <w:p>
            <w:pPr>
              <w:spacing w:after="0"/>
              <w:rPr>
                <w:sz w:val="21"/>
                <w:szCs w:val="21"/>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385,249</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380,460</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4,789</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1.3</w:t>
            </w:r>
          </w:p>
        </w:tc>
      </w:tr>
      <w:tr>
        <w:trPr>
          <w:trHeight w:val="27"/>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604,739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627,289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300" w:hanging="644"/>
        <w:spacing w:after="0" w:line="30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decrease of $27.3 million in advertising revenues was due to a decrease of $34.6 million at AMC due primarily to the timing of our original programming as well as lower ratings, partially mitigated by pricing. The decrease at AMC was partially offset by increases at all of our other networks. Most of our advertising revenues vary based on the timing of our original programming series and the popularity of our programming as measured by Nielsen. Due to these factors, we expect advertising revenues to vary from quarter to quarter.</w:t>
      </w:r>
    </w:p>
    <w:p>
      <w:pPr>
        <w:spacing w:after="0" w:line="154" w:lineRule="exact"/>
        <w:rPr>
          <w:rFonts w:ascii="Arial" w:cs="Arial" w:eastAsia="Arial" w:hAnsi="Arial"/>
          <w:sz w:val="16"/>
          <w:szCs w:val="16"/>
          <w:color w:val="auto"/>
        </w:rPr>
      </w:pPr>
    </w:p>
    <w:p>
      <w:pPr>
        <w:jc w:val="both"/>
        <w:ind w:left="1300" w:hanging="644"/>
        <w:spacing w:after="0" w:line="297"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Distribution revenues increased $4.8 million due to an increase of $5.5 million in content licensing revenue, primarily at AMC, from foreign distribution. Subscription revenues decreased slightly as compared to the prior comparable period due to lower subscribers and the impact of an interpretation of a contractual provision in an affiliate agreement, partially offset by pricing. Distribution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4"/>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23,535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23,433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155,991</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123,278</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32,713</w:t>
            </w:r>
          </w:p>
        </w:tc>
        <w:tc>
          <w:tcPr>
            <w:tcW w:w="1320" w:type="dxa"/>
            <w:vAlign w:val="bottom"/>
            <w:gridSpan w:val="2"/>
          </w:tcPr>
          <w:p>
            <w:pPr>
              <w:jc w:val="right"/>
              <w:ind w:right="108"/>
              <w:spacing w:after="0"/>
              <w:rPr>
                <w:sz w:val="20"/>
                <w:szCs w:val="20"/>
                <w:color w:val="auto"/>
              </w:rPr>
            </w:pPr>
            <w:r>
              <w:rPr>
                <w:rFonts w:ascii="Arial" w:cs="Arial" w:eastAsia="Arial" w:hAnsi="Arial"/>
                <w:sz w:val="18"/>
                <w:szCs w:val="18"/>
                <w:color w:val="auto"/>
              </w:rPr>
              <w:t>26.5</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179,526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146,711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32,815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0" w:firstLine="405"/>
        <w:spacing w:after="0" w:line="312" w:lineRule="auto"/>
        <w:rPr>
          <w:sz w:val="20"/>
          <w:szCs w:val="20"/>
          <w:color w:val="auto"/>
        </w:rPr>
      </w:pPr>
      <w:r>
        <w:rPr>
          <w:rFonts w:ascii="Arial" w:cs="Arial" w:eastAsia="Arial" w:hAnsi="Arial"/>
          <w:sz w:val="16"/>
          <w:szCs w:val="16"/>
          <w:color w:val="auto"/>
        </w:rPr>
        <w:t>Distribution revenues increased primarily due to a $35.6 million impact from the acquisitions of Levity and RLJE, and a $6.4 million increase from our subscription streaming services. Distribution revenue at AMCNI decreased $4.9 million, excluding the impact of foreign currency fluctuations, primarily due to the termination of distribution in certain territories. Foreign currency translation had an unfavorable impact to distribution revenues of $4.5 million.</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Technical and operating expense (excluding depreciation and amortization) increased $8.8 million to $385.6 million for the three months ended June 30, 2019 as compared to the three months ended June 30, 2018. The net change by segment was as follows:</w:t>
      </w:r>
    </w:p>
    <w:p>
      <w:pPr>
        <w:sectPr>
          <w:pgSz w:w="11900" w:h="16838" w:orient="portrait"/>
          <w:cols w:equalWidth="0" w:num="1">
            <w:col w:w="11420"/>
          </w:cols>
          <w:pgMar w:left="240" w:top="472"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72" w:right="2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269,147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285,326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111,722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96,932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14,790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15.3 %</w:t>
            </w:r>
          </w:p>
        </w:tc>
      </w:tr>
      <w:tr>
        <w:trPr>
          <w:trHeight w:val="27"/>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10,203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(187.2)%</w:t>
            </w:r>
          </w:p>
        </w:tc>
      </w:tr>
      <w:tr>
        <w:trPr>
          <w:trHeight w:val="297"/>
        </w:trPr>
        <w:tc>
          <w:tcPr>
            <w:tcW w:w="4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385,623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376,809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8,814</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7"/>
        </w:trPr>
        <w:tc>
          <w:tcPr>
            <w:tcW w:w="4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decrease in technical and operating expense was primarily attributable to a decrease of $16.8 million in other direct programming costs attributable to lower personnel and production related costs, partially offset by a slight increase of $0.6 million in program rights amortization expense. Program rights amortization expense includes write-offs of $10.1 million for the three months ended June 30, 2019 as compared to program rights write-offs of $3.8 million for the three months ended June 30, 2018. Program write-offs are based on management's periodic assessment of programming usefulness.</w:t>
      </w:r>
    </w:p>
    <w:p>
      <w:pPr>
        <w:spacing w:after="0" w:line="1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Technical and operating expense increased primarily due to a $20.2 million impact from the acquisitions of Levity and RLJE. In addition, technical and operating expense increased $3.9 million at our subscription streaming services. Technical and operating expense at AMCNI decreased $5.6 million, excluding the impact of foreign currency fluctuations. Foreign currency translation had a favorable impact to the change in technical and operating expense of $3.8 million.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increased $2.0 million to $173.4 million for the three months ended June 30, 2019, as compared to the three months ended June 30, 2018.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112,941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123,544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60,486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47,860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12,626</w:t>
            </w:r>
          </w:p>
        </w:tc>
        <w:tc>
          <w:tcPr>
            <w:tcW w:w="1680" w:type="dxa"/>
            <w:vAlign w:val="bottom"/>
            <w:gridSpan w:val="2"/>
          </w:tcPr>
          <w:p>
            <w:pPr>
              <w:jc w:val="right"/>
              <w:ind w:right="168"/>
              <w:spacing w:after="0"/>
              <w:rPr>
                <w:sz w:val="20"/>
                <w:szCs w:val="20"/>
                <w:color w:val="auto"/>
              </w:rPr>
            </w:pPr>
            <w:r>
              <w:rPr>
                <w:rFonts w:ascii="Arial" w:cs="Arial" w:eastAsia="Arial" w:hAnsi="Arial"/>
                <w:sz w:val="18"/>
                <w:szCs w:val="18"/>
                <w:color w:val="auto"/>
              </w:rPr>
              <w:t>26.4</w:t>
            </w:r>
          </w:p>
        </w:tc>
      </w:tr>
      <w:tr>
        <w:trPr>
          <w:trHeight w:val="27"/>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125.0</w:t>
            </w:r>
          </w:p>
        </w:tc>
      </w:tr>
      <w:tr>
        <w:trPr>
          <w:trHeight w:val="297"/>
        </w:trPr>
        <w:tc>
          <w:tcPr>
            <w:tcW w:w="4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173,364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171,376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1,988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7"/>
        </w:trPr>
        <w:tc>
          <w:tcPr>
            <w:tcW w:w="4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decreased $10.6 million principally as a result of a $9.4 million decrease in advertising and marketing expense related to the timing of promotion of original programming.</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Selling, general and administrative expense increased $12.6 million primarily due to a $15.5 million impact from the acquisitions of Levity and RLJE.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had a favorable impact to the change in selling, general and administrative expense of $2.0 million.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44" w:right="23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Depreciation and amortization expense increased $4.2 million to $25.9 million for the three months ended June 30, 2019, as compared to the three months ended June 30, 2018. The net change by segment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17,714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13,257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4,457</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33.6</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25,893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21,669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4,224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increase in depreciation and amortization expense in the International and Other segment was primarily due to a $3.2 million impact from the acquisitions of Levity and RLJE as well as an increase in depreciation expense of $1.8 million related to leasehold additions.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expense of $17.2 million for the three months ended June 30, 2019 primarily related to the direct to consumer re-organization charges and consisted of severance and other personnel related costs and programming write-offs incurred at AMCNI for costs associated with the termination of distribution in certain territories.</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May 2019, management commenced a restructuring initiative of the Company's owned subscription streaming services. The restructuring combined the Company's owned subscription streaming services under one management team. In connection with this re-organization, a number of roles were eliminated to address redundancy at the senior management level and improve the effectiveness of management while reducing the cost structure of the Company. As a result, the Company incurred restructuring charges of $1.3 million related to severance and other personnel related costs.</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connection with the management changes in the direct to consumer business, the Company implemented changes to its strategy for its owned subscription streaming services, including programming that will no longer be made available. As a result, the Company incurred other charges of $13.0 million related to the write-off of programming associated with the direct to consumer reorganization and change in strategy.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restructuring announced in 2018, the Company incurred additional severance and other personnel related costs of $2.9 million.</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214,198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210,007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(15,946)</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140.6</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133.4</w:t>
            </w:r>
          </w:p>
        </w:tc>
      </w:tr>
      <w:tr>
        <w:trPr>
          <w:trHeight w:val="257"/>
        </w:trPr>
        <w:tc>
          <w:tcPr>
            <w:tcW w:w="50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170,257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191,531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increase in operating income at the National Networks segment was primarily attributable to a decrease in technical and operating expense of $16.2 million and a decrease in selling, general and administrative expense of $10.6 million, partially offset by a decrease in revenues of $22.6 million.</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operating losses at the International and Other segment was primarily attributable to the restructuring and other related charges of $16.9 million primarily associated with the direct to consumer reorganization.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72" w:right="239" w:bottom="1440" w:gutter="0" w:footer="0" w:header="0"/>
        </w:sectPr>
      </w:pPr>
    </w:p>
    <w:bookmarkStart w:id="45" w:name="page46"/>
    <w:bookmarkEnd w:id="45"/>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170,257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191,531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16,725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19,753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(3,028)</w:t>
            </w:r>
          </w:p>
        </w:tc>
        <w:tc>
          <w:tcPr>
            <w:tcW w:w="1720" w:type="dxa"/>
            <w:vAlign w:val="bottom"/>
            <w:gridSpan w:val="2"/>
          </w:tcPr>
          <w:p>
            <w:pPr>
              <w:jc w:val="right"/>
              <w:ind w:right="96"/>
              <w:spacing w:after="0"/>
              <w:rPr>
                <w:sz w:val="20"/>
                <w:szCs w:val="20"/>
                <w:color w:val="auto"/>
              </w:rPr>
            </w:pPr>
            <w:r>
              <w:rPr>
                <w:rFonts w:ascii="Arial" w:cs="Arial" w:eastAsia="Arial" w:hAnsi="Arial"/>
                <w:sz w:val="18"/>
                <w:szCs w:val="18"/>
                <w:color w:val="auto"/>
              </w:rPr>
              <w:t>(15.3)</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related charges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17,162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25,893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21,669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4,224</w:t>
            </w:r>
          </w:p>
        </w:tc>
        <w:tc>
          <w:tcPr>
            <w:tcW w:w="1720" w:type="dxa"/>
            <w:vAlign w:val="bottom"/>
            <w:gridSpan w:val="2"/>
          </w:tcPr>
          <w:p>
            <w:pPr>
              <w:jc w:val="right"/>
              <w:ind w:right="156"/>
              <w:spacing w:after="0"/>
              <w:rPr>
                <w:sz w:val="20"/>
                <w:szCs w:val="20"/>
                <w:color w:val="auto"/>
              </w:rPr>
            </w:pPr>
            <w:r>
              <w:rPr>
                <w:rFonts w:ascii="Arial" w:cs="Arial" w:eastAsia="Arial" w:hAnsi="Arial"/>
                <w:sz w:val="18"/>
                <w:szCs w:val="18"/>
                <w:color w:val="auto"/>
              </w:rPr>
              <w:t>19.5</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Majority-owned equity investees AOI</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AOI</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231,645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232,953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AOI decreased $1.3 million for the three months ended June 30, 2019 as compared to the three months ended June 30, 2018.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236,472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234,678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11,830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5,413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6,417</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118.5</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133.4</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AOI</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231,645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232,953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National Networks AOI increased principally due to an increase in operating income of $4.2 million, partially offset by a decrease in share-based compensation expense of $2.4 million.</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International and Other AOI increased $6.4 million due to an increase in operating income of $2.9 million at AMCNI, an increase of $1.6 million related to the AOI of majority-owned equity method investees, and increases at IFC Films and our subscription streaming services.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 result of the factors discussed above impacting the variability in revenues and operating expenses, we expect AOI to vary from quarter to quarter.</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increase in interest expense, net of $1.0 million is primarily driven by a decrease in interest income as well as a higher variable interest rate on our term loan.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decrease in miscellaneous expense, net of $12.0 million was primarily driven by the absence of an impairment charge of $10.0 million recognized in the three months ended June 30, 2018 for the partial write-down of one of our non-marketable equity securities and an increase in earnings from equity method investees of $1.8 million.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59"/>
        <w:spacing w:after="0" w:line="273" w:lineRule="auto"/>
        <w:rPr>
          <w:sz w:val="20"/>
          <w:szCs w:val="20"/>
          <w:color w:val="auto"/>
        </w:rPr>
      </w:pPr>
      <w:r>
        <w:rPr>
          <w:rFonts w:ascii="Arial" w:cs="Arial" w:eastAsia="Arial" w:hAnsi="Arial"/>
          <w:sz w:val="17"/>
          <w:szCs w:val="17"/>
          <w:color w:val="auto"/>
        </w:rPr>
        <w:t>For the three months ended June 30, 2019, income tax benefit was $1.4 million representing a negative effective tax rate of 1%. The effective tax rate differs from the federal statutory rate of 21% due primarily to a tax benefit of $25.0 million resulting from a decrease in valuation allowances for foreign tax assets, a tax benefit of $7.2 million relating to uncertain tax positions (including accrued interest) partially offset by state and local income tax expense of $4.1 million. The decrease in the valuation allowance is primarily due to the expected utilization of foreign net operating loss carryforwards resulting from the planned implementation of certain tax planning strategies. The tax benefit relating to uncertain tax positions is primarily due to an audit settlement and the filing of state income tax returns under a voluntary disclosure agreement.</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June 30, 2018, income tax expense was $32.5 million representing an effective tax rate of 23%. The effective tax rate differs from the federal statutory rate of 21% due primarily to state and local income tax expense of $2.3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7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9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9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10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5"/>
              </w:rPr>
              <w:t>net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1,556,520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1,502,208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54,312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Technical and operating (excluding depreciation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725,771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697,174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28,597</w:t>
            </w:r>
          </w:p>
        </w:tc>
        <w:tc>
          <w:tcPr>
            <w:tcW w:w="11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345,876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337,825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8,051</w:t>
            </w:r>
          </w:p>
        </w:tc>
        <w:tc>
          <w:tcPr>
            <w:tcW w:w="1120" w:type="dxa"/>
            <w:vAlign w:val="bottom"/>
            <w:gridSpan w:val="2"/>
          </w:tcPr>
          <w:p>
            <w:pPr>
              <w:jc w:val="right"/>
              <w:ind w:right="13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7,926</w:t>
            </w:r>
          </w:p>
        </w:tc>
        <w:tc>
          <w:tcPr>
            <w:tcW w:w="11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19,804</w:t>
            </w:r>
          </w:p>
        </w:tc>
        <w:tc>
          <w:tcPr>
            <w:tcW w:w="100" w:type="dxa"/>
            <w:vAlign w:val="bottom"/>
          </w:tcPr>
          <w:p>
            <w:pPr>
              <w:spacing w:after="0"/>
              <w:rPr>
                <w:sz w:val="21"/>
                <w:szCs w:val="21"/>
                <w:color w:val="auto"/>
              </w:rPr>
            </w:pPr>
          </w:p>
        </w:tc>
        <w:tc>
          <w:tcPr>
            <w:tcW w:w="1020" w:type="dxa"/>
            <w:vAlign w:val="bottom"/>
          </w:tcPr>
          <w:p>
            <w:pPr>
              <w:jc w:val="right"/>
              <w:ind w:right="13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1,141,400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1,077,022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64,378</w:t>
            </w:r>
          </w:p>
        </w:tc>
        <w:tc>
          <w:tcPr>
            <w:tcW w:w="11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415,120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425,186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(10,066)</w:t>
            </w:r>
          </w:p>
        </w:tc>
        <w:tc>
          <w:tcPr>
            <w:tcW w:w="1120" w:type="dxa"/>
            <w:vAlign w:val="bottom"/>
            <w:gridSpan w:val="2"/>
          </w:tcPr>
          <w:p>
            <w:pPr>
              <w:jc w:val="right"/>
              <w:ind w:right="7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(70,416)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(3,297)</w:t>
            </w:r>
          </w:p>
        </w:tc>
        <w:tc>
          <w:tcPr>
            <w:tcW w:w="1120" w:type="dxa"/>
            <w:vAlign w:val="bottom"/>
            <w:gridSpan w:val="2"/>
          </w:tcPr>
          <w:p>
            <w:pPr>
              <w:jc w:val="right"/>
              <w:ind w:right="139"/>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(17,709)</w:t>
            </w:r>
          </w:p>
        </w:tc>
        <w:tc>
          <w:tcPr>
            <w:tcW w:w="11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(795.2)</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(21,006)</w:t>
            </w:r>
          </w:p>
        </w:tc>
        <w:tc>
          <w:tcPr>
            <w:tcW w:w="1120" w:type="dxa"/>
            <w:vAlign w:val="bottom"/>
            <w:gridSpan w:val="2"/>
          </w:tcPr>
          <w:p>
            <w:pPr>
              <w:jc w:val="right"/>
              <w:ind w:right="139"/>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Net income from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(31,072)</w:t>
            </w:r>
          </w:p>
        </w:tc>
        <w:tc>
          <w:tcPr>
            <w:tcW w:w="11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44,346</w:t>
            </w:r>
          </w:p>
        </w:tc>
        <w:tc>
          <w:tcPr>
            <w:tcW w:w="1120" w:type="dxa"/>
            <w:vAlign w:val="bottom"/>
            <w:gridSpan w:val="2"/>
          </w:tcPr>
          <w:p>
            <w:pPr>
              <w:jc w:val="right"/>
              <w:ind w:right="79"/>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13,274</w:t>
            </w:r>
          </w:p>
        </w:tc>
        <w:tc>
          <w:tcPr>
            <w:tcW w:w="11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53.5 %</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272,140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263,051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9,089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76" w:right="239" w:bottom="1440" w:gutter="0" w:footer="0" w:header="0"/>
        </w:sectPr>
      </w:pPr>
    </w:p>
    <w:bookmarkStart w:id="47" w:name="page48"/>
    <w:bookmarkEnd w:id="47"/>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92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941"/>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2"/>
                <w:szCs w:val="12"/>
                <w:color w:val="auto"/>
              </w:rPr>
            </w:pPr>
          </w:p>
        </w:tc>
        <w:tc>
          <w:tcPr>
            <w:tcW w:w="12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1,220,858</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1,260,317</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(39,459)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Technical and operating (excluding depreciation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510,407</w:t>
            </w:r>
          </w:p>
        </w:tc>
        <w:tc>
          <w:tcPr>
            <w:tcW w:w="1300" w:type="dxa"/>
            <w:vAlign w:val="bottom"/>
            <w:tcBorders>
              <w:bottom w:val="single" w:sz="8" w:color="CCEEFF"/>
            </w:tcBorders>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535,113</w:t>
            </w:r>
          </w:p>
        </w:tc>
        <w:tc>
          <w:tcPr>
            <w:tcW w:w="130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(24,706)</w:t>
            </w:r>
          </w:p>
        </w:tc>
        <w:tc>
          <w:tcPr>
            <w:tcW w:w="13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0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227,382</w:t>
            </w:r>
          </w:p>
        </w:tc>
        <w:tc>
          <w:tcPr>
            <w:tcW w:w="1300" w:type="dxa"/>
            <w:vAlign w:val="bottom"/>
            <w:gridSpan w:val="3"/>
          </w:tcPr>
          <w:p>
            <w:pPr>
              <w:jc w:val="right"/>
              <w:ind w:right="12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248,438</w:t>
            </w:r>
          </w:p>
        </w:tc>
        <w:tc>
          <w:tcPr>
            <w:tcW w:w="1300" w:type="dxa"/>
            <w:vAlign w:val="bottom"/>
            <w:gridSpan w:val="3"/>
          </w:tcPr>
          <w:p>
            <w:pPr>
              <w:jc w:val="right"/>
              <w:ind w:right="10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(21,056)</w:t>
            </w:r>
          </w:p>
        </w:tc>
        <w:tc>
          <w:tcPr>
            <w:tcW w:w="1360" w:type="dxa"/>
            <w:vAlign w:val="bottom"/>
            <w:gridSpan w:val="2"/>
          </w:tcPr>
          <w:p>
            <w:pPr>
              <w:jc w:val="right"/>
              <w:ind w:right="96"/>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16,791</w:t>
            </w:r>
          </w:p>
        </w:tc>
        <w:tc>
          <w:tcPr>
            <w:tcW w:w="1300" w:type="dxa"/>
            <w:vAlign w:val="bottom"/>
            <w:tcBorders>
              <w:bottom w:val="single" w:sz="8" w:color="CCEEFF"/>
            </w:tcBorders>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130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3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080" w:type="dxa"/>
            <w:vAlign w:val="bottom"/>
          </w:tcPr>
          <w:p>
            <w:pPr>
              <w:ind w:left="38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12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465,702</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459,859</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30,090</w:t>
            </w:r>
          </w:p>
        </w:tc>
        <w:tc>
          <w:tcPr>
            <w:tcW w:w="1300" w:type="dxa"/>
            <w:vAlign w:val="bottom"/>
            <w:gridSpan w:val="3"/>
          </w:tcPr>
          <w:p>
            <w:pPr>
              <w:jc w:val="right"/>
              <w:ind w:right="12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28,786</w:t>
            </w:r>
          </w:p>
        </w:tc>
        <w:tc>
          <w:tcPr>
            <w:tcW w:w="1300" w:type="dxa"/>
            <w:vAlign w:val="bottom"/>
            <w:gridSpan w:val="3"/>
          </w:tcPr>
          <w:p>
            <w:pPr>
              <w:jc w:val="right"/>
              <w:ind w:right="10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1,304</w:t>
            </w:r>
          </w:p>
        </w:tc>
        <w:tc>
          <w:tcPr>
            <w:tcW w:w="1360" w:type="dxa"/>
            <w:vAlign w:val="bottom"/>
            <w:gridSpan w:val="2"/>
          </w:tcPr>
          <w:p>
            <w:pPr>
              <w:jc w:val="right"/>
              <w:ind w:right="156"/>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16,791</w:t>
            </w:r>
          </w:p>
        </w:tc>
        <w:tc>
          <w:tcPr>
            <w:tcW w:w="1300" w:type="dxa"/>
            <w:vAlign w:val="bottom"/>
            <w:gridSpan w:val="3"/>
          </w:tcPr>
          <w:p>
            <w:pPr>
              <w:jc w:val="right"/>
              <w:ind w:right="12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16,907</w:t>
            </w:r>
          </w:p>
        </w:tc>
        <w:tc>
          <w:tcPr>
            <w:tcW w:w="1300" w:type="dxa"/>
            <w:vAlign w:val="bottom"/>
            <w:gridSpan w:val="3"/>
          </w:tcPr>
          <w:p>
            <w:pPr>
              <w:jc w:val="right"/>
              <w:ind w:right="10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1360" w:type="dxa"/>
            <w:vAlign w:val="bottom"/>
            <w:gridSpan w:val="2"/>
          </w:tcPr>
          <w:p>
            <w:pPr>
              <w:jc w:val="right"/>
              <w:ind w:right="9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513,159</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505,552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9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9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3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92,514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Technical and operating (excluding depreciation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219,994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171,694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48,300</w:t>
            </w:r>
          </w:p>
        </w:tc>
        <w:tc>
          <w:tcPr>
            <w:tcW w:w="140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118,571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89,442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29,129</w:t>
            </w:r>
          </w:p>
        </w:tc>
        <w:tc>
          <w:tcPr>
            <w:tcW w:w="1400" w:type="dxa"/>
            <w:vAlign w:val="bottom"/>
            <w:gridSpan w:val="2"/>
          </w:tcPr>
          <w:p>
            <w:pPr>
              <w:jc w:val="right"/>
              <w:ind w:right="94"/>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8,042</w:t>
            </w:r>
          </w:p>
        </w:tc>
        <w:tc>
          <w:tcPr>
            <w:tcW w:w="140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19,923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19,923</w:t>
            </w:r>
          </w:p>
        </w:tc>
        <w:tc>
          <w:tcPr>
            <w:tcW w:w="1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6,534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6,286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1400" w:type="dxa"/>
            <w:vAlign w:val="bottom"/>
            <w:gridSpan w:val="2"/>
          </w:tcPr>
          <w:p>
            <w:pPr>
              <w:jc w:val="right"/>
              <w:ind w:right="9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19,923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33,158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25,116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8,042</w:t>
            </w:r>
          </w:p>
        </w:tc>
        <w:tc>
          <w:tcPr>
            <w:tcW w:w="1400" w:type="dxa"/>
            <w:vAlign w:val="bottom"/>
            <w:gridSpan w:val="2"/>
          </w:tcPr>
          <w:p>
            <w:pPr>
              <w:jc w:val="right"/>
              <w:ind w:right="94"/>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Majority-owned equity investees AOI</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3,188</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AOI</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21,772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18,521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569.7%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vMerge w:val="restart"/>
          </w:tcPr>
          <w:p>
            <w:pPr>
              <w:jc w:val="right"/>
              <w:ind w:right="43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Revenues, net increased $54.3 million to $1,556.5 million for the six months ended June 30, 2019 as compared to the six months ended June 30,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net change by segment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1,220,858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1,260,317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(39,459)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350,615</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258,101</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92,514</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35.8</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1,257</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(7.8)</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1,556,520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1,502,208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54,312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National Networks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458,579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472,559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(13,980)</w:t>
            </w:r>
          </w:p>
        </w:tc>
        <w:tc>
          <w:tcPr>
            <w:tcW w:w="13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w w:val="94"/>
              </w:rPr>
              <w:t>(3.0)%</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762,279</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787,758</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(25,479)</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(3.2)</w:t>
            </w:r>
          </w:p>
        </w:tc>
      </w:tr>
      <w:tr>
        <w:trPr>
          <w:trHeight w:val="27"/>
        </w:trPr>
        <w:tc>
          <w:tcPr>
            <w:tcW w:w="3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1,220,858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1,260,317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(39,459)</w:t>
            </w:r>
          </w:p>
        </w:tc>
        <w:tc>
          <w:tcPr>
            <w:tcW w:w="13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w w:val="94"/>
              </w:rPr>
              <w:t>(3.1)%</w:t>
            </w: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300" w:hanging="644"/>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decrease of $14.0 million in advertising revenues was driven by a decrease of $33.5 million at AMC due to lower ratings, partially mitigated by pricing. The decrease at AMC was partially offset by increases at all of our other networks. Most of our advertising revenues vary based on the timing of our original programming series and the popularity of our programming as measured by Nielsen. Due to these factors, we expect advertising revenues to vary from quarter to quarter.</w:t>
      </w:r>
    </w:p>
    <w:p>
      <w:pPr>
        <w:spacing w:after="0" w:line="186"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 revenues decreased $25.5 million due to a decrease in content licensing revenues of $29.4 million from lower foreign distribution revenues derived from our original programming, primarily at AMC. Subscription revenues increased $4.0 million resulting from an increase in rates, partially offset by lower subscribers and the impact of an interpretation of a contractual provision in an affiliate agreement. Subscription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44,741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45,943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305,874</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212,158</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93,716</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44.2</w:t>
            </w:r>
          </w:p>
        </w:tc>
      </w:tr>
      <w:tr>
        <w:trPr>
          <w:trHeight w:val="27"/>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350,615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258,101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92,514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35.8 %</w:t>
            </w: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0" w:firstLine="405"/>
        <w:spacing w:after="0" w:line="276" w:lineRule="auto"/>
        <w:rPr>
          <w:sz w:val="20"/>
          <w:szCs w:val="20"/>
          <w:color w:val="auto"/>
        </w:rPr>
      </w:pPr>
      <w:r>
        <w:rPr>
          <w:rFonts w:ascii="Arial" w:cs="Arial" w:eastAsia="Arial" w:hAnsi="Arial"/>
          <w:sz w:val="17"/>
          <w:szCs w:val="17"/>
          <w:color w:val="auto"/>
        </w:rPr>
        <w:t>The decrease of $1.2 million in advertising revenues was principally due to the unfavorable impact of foreign currency translation of $3.5 million, partially offset by an increase in demand in certain international markets. Distribution revenues increased primarily due to a $100.3 million impact from the acquisitions of Levity and RLJE. In addition, distribution revenues increased $9.6 million from our subscription streaming services. Distribution revenue at AMCNI decreased $6.3 million, excluding the impact of foreign currency fluctuations, primarily due to the termination of distribution in certain territories. Foreign currency translation had an unfavorable impact to distribution revenues of $10.2 million.</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write-offs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7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Technical and operating expense (excluding depreciation and amortization) increased $28.6 million to $725.8 million for the six months ended June 30, 2019 as compared to the six months ended June 30, 2018. The net change by segment was as follows:</w:t>
      </w:r>
    </w:p>
    <w:p>
      <w:pPr>
        <w:sectPr>
          <w:pgSz w:w="11900" w:h="16838" w:orient="portrait"/>
          <w:cols w:equalWidth="0" w:num="1">
            <w:col w:w="11420"/>
          </w:cols>
          <w:pgMar w:left="240" w:top="472"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72"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510,407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535,113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219,994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171,694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48,300</w:t>
            </w:r>
          </w:p>
        </w:tc>
        <w:tc>
          <w:tcPr>
            <w:tcW w:w="1680" w:type="dxa"/>
            <w:vAlign w:val="bottom"/>
            <w:gridSpan w:val="2"/>
          </w:tcPr>
          <w:p>
            <w:pPr>
              <w:jc w:val="right"/>
              <w:ind w:right="168"/>
              <w:spacing w:after="0"/>
              <w:rPr>
                <w:sz w:val="20"/>
                <w:szCs w:val="20"/>
                <w:color w:val="auto"/>
              </w:rPr>
            </w:pPr>
            <w:r>
              <w:rPr>
                <w:rFonts w:ascii="Arial" w:cs="Arial" w:eastAsia="Arial" w:hAnsi="Arial"/>
                <w:sz w:val="18"/>
                <w:szCs w:val="18"/>
                <w:color w:val="auto"/>
              </w:rPr>
              <w:t>28.1</w:t>
            </w:r>
          </w:p>
        </w:tc>
      </w:tr>
      <w:tr>
        <w:trPr>
          <w:trHeight w:val="27"/>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(4,630)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5,003</w:t>
            </w:r>
          </w:p>
        </w:tc>
        <w:tc>
          <w:tcPr>
            <w:tcW w:w="16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(51.9)</w:t>
            </w:r>
          </w:p>
        </w:tc>
      </w:tr>
      <w:tr>
        <w:trPr>
          <w:trHeight w:val="297"/>
        </w:trPr>
        <w:tc>
          <w:tcPr>
            <w:tcW w:w="4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725,771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697,174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28,597</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7"/>
        </w:trPr>
        <w:tc>
          <w:tcPr>
            <w:tcW w:w="4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decrease in technical and operating expense was primarily attributable to a decrease of $26.8 million in other direct programming expense attributable to lower personnel and production related costs, partially offset by an increase of $2.1 million in program rights amortization expense. Program rights amortization expense includes write-offs of $13.4 million for the six months ended June 30, 2019 as compared to program rights write-offs of $8.4 million for the six months ended June 30, 2018. Programming write-offs are based on management's periodic assessment of programming usefulness.</w:t>
      </w:r>
    </w:p>
    <w:p>
      <w:pPr>
        <w:spacing w:after="0" w:line="1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Technical and operating expense increased due to a $60.3 million impact from the acquisitions of Levity and RLJE. In addition, technical and operating expense increased $7.1 million at our subscription streaming services. Technical and operating expense at AMCNI decreased $11.0 million, excluding the impact of foreign currency fluctuations. Foreign currency translation had a favorable impact to the change in technical and operating expense of $8.6 million.</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increased $8.1 million to $345.9 million for the six months ended June 30, 2019, as compared to the six months ended June 30, 2018.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227,382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248,438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118,571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89,442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29,129</w:t>
            </w:r>
          </w:p>
        </w:tc>
        <w:tc>
          <w:tcPr>
            <w:tcW w:w="1680" w:type="dxa"/>
            <w:vAlign w:val="bottom"/>
            <w:gridSpan w:val="2"/>
          </w:tcPr>
          <w:p>
            <w:pPr>
              <w:jc w:val="right"/>
              <w:ind w:right="168"/>
              <w:spacing w:after="0"/>
              <w:rPr>
                <w:sz w:val="20"/>
                <w:szCs w:val="20"/>
                <w:color w:val="auto"/>
              </w:rPr>
            </w:pPr>
            <w:r>
              <w:rPr>
                <w:rFonts w:ascii="Arial" w:cs="Arial" w:eastAsia="Arial" w:hAnsi="Arial"/>
                <w:sz w:val="18"/>
                <w:szCs w:val="18"/>
                <w:color w:val="auto"/>
              </w:rPr>
              <w:t>32.6</w:t>
            </w:r>
          </w:p>
        </w:tc>
      </w:tr>
      <w:tr>
        <w:trPr>
          <w:trHeight w:val="27"/>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40.0</w:t>
            </w:r>
          </w:p>
        </w:tc>
      </w:tr>
      <w:tr>
        <w:trPr>
          <w:trHeight w:val="297"/>
        </w:trPr>
        <w:tc>
          <w:tcPr>
            <w:tcW w:w="4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345,876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337,825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8,051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7"/>
        </w:trPr>
        <w:tc>
          <w:tcPr>
            <w:tcW w:w="4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decreased $21.1 million principally as a result of a $19.1 million decrease in advertising and marketing expense related to the timing of promotion of original programming.</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expense increased $29.1 million primarily due to a $38.3 million impact from the acquisitions of Levity and RLJE, partially offset by a decrease of $4.5 million at AMCNI, excluding the impact of foreign currency fluctuations. Foreign currency translation had a favorable impact to the change in selling, general and administrative expense of $4.3 million.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43" w:right="23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and amortization expense increased $7.9 million to $49.9 million for the six months ended June 30, 2019, as compared to the six months ended June 30, 2018.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33,158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25,116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8,042</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32.0</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49,949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42,023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7,926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18.9 %</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increase in depreciation and amortization expense in the International and Other segment was primarily due to a $5.4 million impact from the acquisitions of Levity and RLJE as well as an increase in depreciation expense of $3.5 million related to leasehold additions.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expense of $19.8 million for the six months ended June 30, 2019 primarily related to the direct to consumer re-organization charges and consisted of severance and other personnel related costs and programming write-offs incurred at AMCNI for costs associated with the termination of distribution in certain territories.</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May 2019, management commenced a restructuring initiative of the Company's owned subscription streaming services. The restructuring combined the Company's owned subscription streaming services under one management team. In connection with this re-organization, a number of roles were eliminated to address redundancy at the senior management level and improve the effectiveness of management while reducing the cost structure of the Company. As a result, the Company incurred restructuring charges of $1.3 million related to severance and other personnel related costs.</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connection with the management changes in the direct to consumer business, the Company implemented changes to its strategy for its owned subscription streaming services, including programming that will no longer be made available. As a result, the Company incurred other charges of $13.0 million related to the write-off of programming associated with the direct to consumer reorganization and change in strategy.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restructuring announced in 2018, the Company incurred additional severance and other personnel related costs of $3.9 million.</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465,702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459,859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(12,880)</w:t>
            </w:r>
          </w:p>
        </w:tc>
        <w:tc>
          <w:tcPr>
            <w:tcW w:w="1720" w:type="dxa"/>
            <w:vAlign w:val="bottom"/>
            <w:gridSpan w:val="2"/>
          </w:tcPr>
          <w:p>
            <w:pPr>
              <w:jc w:val="right"/>
              <w:ind w:right="159"/>
              <w:spacing w:after="0"/>
              <w:rPr>
                <w:sz w:val="20"/>
                <w:szCs w:val="20"/>
                <w:color w:val="auto"/>
              </w:rPr>
            </w:pPr>
            <w:r>
              <w:rPr>
                <w:rFonts w:ascii="Arial" w:cs="Arial" w:eastAsia="Arial" w:hAnsi="Arial"/>
                <w:sz w:val="18"/>
                <w:szCs w:val="18"/>
                <w:color w:val="auto"/>
              </w:rPr>
              <w:t>45.8</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n/m</w:t>
            </w:r>
          </w:p>
        </w:tc>
      </w:tr>
      <w:tr>
        <w:trPr>
          <w:trHeight w:val="257"/>
        </w:trPr>
        <w:tc>
          <w:tcPr>
            <w:tcW w:w="50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415,120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425,186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increase in operating income at the National Networks segment was primarily attributable to a decrease in technical and operating expense of $24.7 million and a decrease in selling, general and administrative expense of $21.1 million, partially offset by a decrease in revenues of $39.5 million.</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operating losses at the International and Other segment was primarily attributable to the restructuring and other related charges of $19.9 million primarily associated with the direct to consumer reorganization, partially offset by an increase of $7.5 million at AMCNI.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2" w:right="239" w:bottom="1440" w:gutter="0" w:footer="0" w:header="0"/>
        </w:sectPr>
      </w:pPr>
    </w:p>
    <w:bookmarkStart w:id="51" w:name="page52"/>
    <w:bookmarkEnd w:id="51"/>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415,120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425,186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36,624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35,072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1,552</w:t>
            </w:r>
          </w:p>
        </w:tc>
        <w:tc>
          <w:tcPr>
            <w:tcW w:w="1720" w:type="dxa"/>
            <w:vAlign w:val="bottom"/>
            <w:gridSpan w:val="2"/>
          </w:tcPr>
          <w:p>
            <w:pPr>
              <w:jc w:val="right"/>
              <w:ind w:right="156"/>
              <w:spacing w:after="0"/>
              <w:rPr>
                <w:sz w:val="20"/>
                <w:szCs w:val="20"/>
                <w:color w:val="auto"/>
              </w:rPr>
            </w:pPr>
            <w:r>
              <w:rPr>
                <w:rFonts w:ascii="Arial" w:cs="Arial" w:eastAsia="Arial" w:hAnsi="Arial"/>
                <w:sz w:val="18"/>
                <w:szCs w:val="18"/>
                <w:color w:val="auto"/>
              </w:rPr>
              <w:t>4.4</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related charges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19,804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49,949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42,023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7,926</w:t>
            </w:r>
          </w:p>
        </w:tc>
        <w:tc>
          <w:tcPr>
            <w:tcW w:w="1720" w:type="dxa"/>
            <w:vAlign w:val="bottom"/>
            <w:gridSpan w:val="2"/>
          </w:tcPr>
          <w:p>
            <w:pPr>
              <w:jc w:val="right"/>
              <w:ind w:right="156"/>
              <w:spacing w:after="0"/>
              <w:rPr>
                <w:sz w:val="20"/>
                <w:szCs w:val="20"/>
                <w:color w:val="auto"/>
              </w:rPr>
            </w:pPr>
            <w:r>
              <w:rPr>
                <w:rFonts w:ascii="Arial" w:cs="Arial" w:eastAsia="Arial" w:hAnsi="Arial"/>
                <w:sz w:val="18"/>
                <w:szCs w:val="18"/>
                <w:color w:val="auto"/>
              </w:rPr>
              <w:t>18.9</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Majority-owned equity investees AOI</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3,188</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AOI</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524,685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502,281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22,404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AOI increased $22.4 million for the six months ended June 30, 2019 as compared to the six months ended June 30, 2018.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513,159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505,552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7,607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21,772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18,521</w:t>
            </w:r>
          </w:p>
        </w:tc>
        <w:tc>
          <w:tcPr>
            <w:tcW w:w="1660" w:type="dxa"/>
            <w:vAlign w:val="bottom"/>
            <w:gridSpan w:val="2"/>
          </w:tcPr>
          <w:p>
            <w:pPr>
              <w:jc w:val="right"/>
              <w:ind w:right="108"/>
              <w:spacing w:after="0"/>
              <w:rPr>
                <w:sz w:val="20"/>
                <w:szCs w:val="20"/>
                <w:color w:val="auto"/>
              </w:rPr>
            </w:pPr>
            <w:r>
              <w:rPr>
                <w:rFonts w:ascii="Arial" w:cs="Arial" w:eastAsia="Arial" w:hAnsi="Arial"/>
                <w:sz w:val="18"/>
                <w:szCs w:val="18"/>
                <w:color w:val="auto"/>
              </w:rPr>
              <w:t>569.7</w:t>
            </w: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6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57.1</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AOI</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524,685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502,281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22,404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National Networks AOI increased principally due to an increase in operating income of $5.8 million and an increase in share-based compensation expense of $1.3 million.</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International and Other AOI increased $18.5 million due to increases in operating income of $7.5 million at AMCNI and $3.3 million at IFC Films as well as an increase of $3.2 million related to the AOI of majority-owned equity method investees.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 result of the factors discussed above impacting the variability in revenues and operating expenses, we expect AOI to vary from quarter to quarter.</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increase in interest expense, net of $3.3 million is driven by a $1.9 million increase in interest expense driven by a higher variable interest rate on our term loan as well as a decrease in interest income of $1.4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increase in miscellaneous expense, net of $17.7 million for the six months ended June 30, 2019 as compared to the six months ended June 30, 2018 was primarily driven by an increase of $7.7 million related to impairment charges for the partial write-down of certain of our non-marketable equity securities and a note receivable. In addition, miscellaneous expense, net increased $12.4 million related to the absence of gains associated with the increase in fair value of our investment in RLJE recorded for the six months ended June 30, 2018. Miscellaneous expense, net decreased $3.6 million associated with increased earnings from equity method investees and $2.5 million due to a favorable variance in foreign currency transactions gains and losses.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70" w:lineRule="exact"/>
        <w:rPr>
          <w:sz w:val="20"/>
          <w:szCs w:val="20"/>
          <w:color w:val="auto"/>
        </w:rPr>
      </w:pPr>
    </w:p>
    <w:p>
      <w:pPr>
        <w:jc w:val="both"/>
        <w:ind w:firstLine="459"/>
        <w:spacing w:after="0" w:line="255" w:lineRule="auto"/>
        <w:rPr>
          <w:sz w:val="20"/>
          <w:szCs w:val="20"/>
          <w:color w:val="auto"/>
        </w:rPr>
      </w:pPr>
      <w:r>
        <w:rPr>
          <w:rFonts w:ascii="Arial" w:cs="Arial" w:eastAsia="Arial" w:hAnsi="Arial"/>
          <w:sz w:val="18"/>
          <w:szCs w:val="18"/>
          <w:color w:val="auto"/>
        </w:rPr>
        <w:t>For the six months ended June 30, 2019, income tax expense was $45.1 million representing an effective tax rate of 14%. The effective tax rate differs from the federal statutory rate of 21% due primarily to a tax benefit of $25.0 million resulting from a decrease in valuation allowances for foreign tax assets, a tax benefit of $5.6 million relating to uncertain tax positions (including accrued interest) partially offset by state and local income tax expense of $7.3 million. The decrease in the valuation allowance is primarily due to the expected utilization of foreign net operating loss carryforwards resulting from the planned implementation of certain tax planning strategies. The tax benefit relating to uncertain tax positions is primarily due to an audit settlement and the filing of state income tax returns under a voluntary disclosure agreement.</w:t>
      </w:r>
    </w:p>
    <w:p>
      <w:pPr>
        <w:spacing w:after="0" w:line="8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the six months ended June 30, 2018, income tax expense was $89.4 million, representing an effective tax rate of 25%. The effective tax rate differs from the federal statutory rate of 21%, due primarily to tax expense of $16.1 million for an increase in valuation allowances for foreign taxes and U.S. foreign tax credits; state and local income tax expense of $6.2 million; a tax benefit of $8.3 million for the one-time rate change on deferred tax assets and liabilities that resulted from the extension of certain</w:t>
      </w:r>
    </w:p>
    <w:p>
      <w:pPr>
        <w:sectPr>
          <w:pgSz w:w="11900" w:h="16838" w:orient="portrait"/>
          <w:cols w:equalWidth="0" w:num="1">
            <w:col w:w="11420"/>
          </w:cols>
          <w:pgMar w:left="240" w:top="47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72" w:right="239" w:bottom="1440" w:gutter="0" w:footer="0" w:header="0"/>
          <w:type w:val="continuous"/>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television production cost deductions included in the Bipartisan Budget Act of 2018 (enacted February 9, 2018); and tax benefit from foreign subsidiary earnings indefinitely reinvested outside the U.S. of $5.8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other sources of capital such as the public bond markets.</w:t>
      </w:r>
    </w:p>
    <w:p>
      <w:pPr>
        <w:spacing w:after="0" w:line="17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On March 7, 2016, the Company announced that its Board of Directors authorized a program to repurchase up to $500 million of its outstanding shares of common stock (the "Stock Repurchase Program"). On June 6, 2017, the Board of Directors approved an increase of $500 million. On June 13, 2018, the Board of Directors approved a further increase of $500 million in the amount authorized for a total of $1.5 billion authorized under the Stock Repurchase Program. The Stock Repurchase Program has no pre-established closing date and may be suspended or discontinued at any time. For the three months ended June 30, 2019, the Company repurchased 1.1 million shares of its Class A common stock at an average purchase price of approximately $54.62 per share. As of June 30, 2019, the Company has $501.0 million of authorization remaining for repurchase under the Stock Repurchase Program.</w:t>
      </w:r>
    </w:p>
    <w:p>
      <w:pPr>
        <w:spacing w:after="0" w:line="16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repurchases of outstanding debt and common stock, debt service, and payments for income taxes. We continue to increase our investment in original programming, the funding of which generally occurs six to nine months in advance of a program's airing. We expect this increased investment to continue in 2019.</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2019, our consolidated cash and cash equivalents balance includes approximately $136.3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2018 Form 10-K.</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revolving credit facility was not drawn upon at June 30, 2019. The total undrawn revolver commitment is available to be drawn for our general corporate purposes.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AMC Networks was in compliance with all of its debt covenants as of June 30, 2019.</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Cash Flow Discussion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cash flows provided by (used in) operating, investing and financing activities for the six months ended June 30:</w:t>
      </w:r>
    </w:p>
    <w:p>
      <w:pPr>
        <w:spacing w:after="0" w:line="195"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37465</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2018</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288,937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278,577</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(43,555)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(159,422)</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(263,418)</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153,117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(144,263)</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Net cash provided by operating activities amounted to $288.9 million for the six months ended June 30, 2019 as compared to $278.6 million for the six months ended June 30, 2018. Net cash provided by operating activities for the six months ended June 30, 2019 primarily resulted from $843.3 million of net income before amortization of program rights, depreciation and amortization, and other non-cash items, which was partially offset by payments for program rights of $443.5 million, an increase in prepaid expense and other assets of $40.0 million primarily related to an increase in long-term receivables and a decrease in accounts payable, accrued expenses and other liabilities of $58.3 million primarily related to lower employee related liabilities. Changes in all other assets and liabilities resulted in a decrease of $12.6 million.</w:t>
      </w:r>
    </w:p>
    <w:p>
      <w:pPr>
        <w:spacing w:after="0" w:line="19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Net cash provided by operating activities amounted to $278.6 million for the six months ended June 30, 2018. Net cash provided by operating activities for the six months ended June 30, 2018 primarily resulted from $848.5 million of net income before amortization of program rights, depreciation and amortization, and other non-cash items, and an increase in deferred revenue of $4.4 million, which was partially offset by payments for program rights of $471.4 million, a decrease in accounts payable, accrued expenses and other liabilities of $45.9 million primarily related to lower employee related liabilities, an increase in receivables of $40.4 million primarily related to increased distribution revenues, and an increase in prepaid expense and other assets of $12.4 million. Changes in all other assets and liabilities resulted in a decrease of $4.2 million.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2019 and 2018 was $43.6 million and $159.4 million, respectively. For the six months ended June 30, 2019, cash used in investing activities included capital expenditures of $49.5 million, partially offset by a return of capital from investees of $5.9 million. For the six months ended June 30, 2018, cash used in investing activities included investments of $87.5 million, capital expenditures of $37.4 million, and payment for the acquisition of Levity, net of cash acquired of $34.9 million.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Net cash used in financing activities amounted to $92.3 million for the six months ended June 30, 2019 as compared to $263.4 million for the six months ended June 30, 2018. For the six months ended June 30, 2019, financing activities primarily consisted of purchases of our common stock of $58.4 million, taxes paid in lieu of shares issued for equity-based compensation of $23.0 million, distributions to noncontrolling interests of $10.1 million, and principal payments on debt and finance leases of $5.3 million, partially offset by proceeds from stock option exercises of $4.6 million.</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six months ended June 30, 2018, financing activities primarily consisted of purchases of our common stock of $242.4 million under our Stock Repurchase Program. In addition, net cash used in financing activities for the six months ended June 30, 2018 includes taxes paid in lieu of shares issued for equity-based compensation of $15.7 million, distributions to noncontrolling interests of $7.0 million, and principal payments on capital leases of $2.6 million, partially offset by proceeds from stock option exercises of $4.3 million.</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2019, our contractual obligations not reflected on the condensed consolidated balance sheet decreased $219.9 million, as compared to December 31, 2018, to $0.9 billion. The decrease relates to the adoption of the new lease standard requiring the recognition of operating leases on the balance sheet rather than disclosed as contractual obligations.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7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describe our significant accounting policies in Note 2 to the Company's Consolidated Financial Statements included in our 2018 Form 10-K. Other than the adoption of the new lease standard as described in Note 10 to the accompanying condensed consolidated financial statements of the Company included herein, there have been no significant changes in our significant accounting policies since December 31, 2018.</w:t>
      </w:r>
    </w:p>
    <w:p>
      <w:pPr>
        <w:spacing w:after="0" w:line="16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discuss our critical accounting estimates in Item 7, "Management's Discussion and Analysis of Financial Condition and Results of Operations," in the same 2018 Form 10-K. There have been no significant changes in our critical accounting estimates since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 1 to the accompanying Condensed Consolidated Financial Statements of the Company for a discussion of recently issued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the level of interest rates prevailing at June 30, 2019, the carrying value of our fixed rate debt of $2.37 billion was less than its fair value of $2.45 billion by approximately $76.6 million. The fair value of these financial instruments is estimated based on reference to quoted market prices for these or comparable securities. A hypothetical 100 basis point decrease in interest rates prevailing at June 30, 2019 would increase the estimated fair value of our fixed rate debt by approximately $60.1 million to approximately $2.5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17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June 30, 2019, we had $3.1 billion of debt outstanding (excluding finance leases), of which $0.7 billion is outstanding under our loan facility and is subject to variable interest rates (before consideration of the interest rate swaps contracts described below).</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2019, we had interest rate swap contracts outstanding with notional amounts aggregating $100.0 million. The aggregate fair value of interest rate swap contracts at June 30, 2019 was a net liability of $2.2 million. As a result of these transactions, the interest rate paid on approximately 79% of our debt (excluding finance leases) as of June 30, 2019 is effectively fixed (76% being fixed rate obligations and 3% effectively fixed through utilization of these interest rate swap contracts).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hypothetical 100 basis point increase in interest rates prevailing at June 30, 2019 would not have a material impact on our annual interest expense.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2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a $4.0 million gain and $1.7 million loss net, for the three and six months ended June 30, 2019, respectively, related to foreign currency transactions. Such amounts are included in miscellaneous, net in the condensed consolidated statement of income.</w:t>
      </w:r>
    </w:p>
    <w:p>
      <w:pPr>
        <w:spacing w:after="0" w:line="16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may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also are exposed to fluctuations of the U.S. dollar (our reporting currency) against the currencies of our operating subsidiaries when their respective financial statements are translated into U.S. dollars for inclusion in our condensed consolidated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72" w:right="23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8"/>
          <w:szCs w:val="18"/>
          <w:color w:val="auto"/>
        </w:rPr>
        <w:t>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June 30, 2019, the Company's Chief Executive Officer and Chief Financial Officer concluded that the Company's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three months ended June 30, 2019, there were no changes in the Company's internal control over financial reporting, that have materially affected, or are reasonably likely to materially affect, the Company's internal control over financial reporting.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6" w:right="239" w:bottom="1440" w:gutter="0" w:footer="0" w:header="0"/>
        </w:sectPr>
      </w:pPr>
    </w:p>
    <w:bookmarkStart w:id="56" w:name="page57"/>
    <w:bookmarkEnd w:id="56"/>
    <w:p>
      <w:pPr>
        <w:spacing w:after="0" w:line="218" w:lineRule="auto"/>
        <w:framePr w:w="10160" w:h="376" w:wrap="auto" w:vAnchor="page" w:hAnchor="page" w:x="1380" w:y="8988"/>
        <w:rPr>
          <w:rFonts w:ascii="Arial" w:cs="Arial" w:eastAsia="Arial" w:hAnsi="Arial"/>
          <w:sz w:val="18"/>
          <w:szCs w:val="18"/>
          <w:color w:val="auto"/>
        </w:rPr>
      </w:pPr>
      <w:r>
        <w:rPr>
          <w:rFonts w:ascii="Arial" w:cs="Arial" w:eastAsia="Arial" w:hAnsi="Arial"/>
          <w:sz w:val="18"/>
          <w:szCs w:val="18"/>
          <w:color w:val="auto"/>
        </w:rPr>
        <w:t>XBRL Instance Document - the instance document does not appear in the Interactive Data File because its XBRL tags are embedded within Inline XBRL document.</w:t>
      </w:r>
    </w:p>
    <w:p>
      <w:pPr>
        <w:spacing w:after="0" w:line="209" w:lineRule="auto"/>
        <w:framePr w:w="3600" w:h="160" w:wrap="auto" w:vAnchor="page" w:hAnchor="page" w:x="1380" w:y="9595"/>
        <w:rPr>
          <w:rFonts w:ascii="Arial" w:cs="Arial" w:eastAsia="Arial" w:hAnsi="Arial"/>
          <w:sz w:val="16"/>
          <w:szCs w:val="16"/>
          <w:color w:val="auto"/>
        </w:rPr>
      </w:pPr>
      <w:r>
        <w:rPr>
          <w:rFonts w:ascii="Arial" w:cs="Arial" w:eastAsia="Arial" w:hAnsi="Arial"/>
          <w:sz w:val="16"/>
          <w:szCs w:val="16"/>
          <w:color w:val="auto"/>
        </w:rPr>
        <w:t>XBRL Taxonomy Extension Schema Document.</w:t>
      </w:r>
    </w:p>
    <w:p>
      <w:pPr>
        <w:spacing w:after="0" w:line="338" w:lineRule="auto"/>
        <w:framePr w:w="4560" w:h="552" w:wrap="auto" w:vAnchor="page" w:hAnchor="page" w:x="1380" w:y="9987"/>
        <w:rPr>
          <w:rFonts w:ascii="Arial" w:cs="Arial" w:eastAsia="Arial" w:hAnsi="Arial"/>
          <w:sz w:val="17"/>
          <w:szCs w:val="17"/>
          <w:color w:val="auto"/>
        </w:rPr>
      </w:pPr>
      <w:r>
        <w:rPr>
          <w:rFonts w:ascii="Arial" w:cs="Arial" w:eastAsia="Arial" w:hAnsi="Arial"/>
          <w:sz w:val="17"/>
          <w:szCs w:val="17"/>
          <w:color w:val="auto"/>
        </w:rPr>
        <w:t>XBRL Taxonomy Extension Calculation Linkbase Document. XBRL Taxonomy Extension Definition Linkbase.</w:t>
      </w:r>
    </w:p>
    <w:p>
      <w:pPr>
        <w:spacing w:after="0" w:line="360" w:lineRule="auto"/>
        <w:framePr w:w="4620" w:h="552" w:wrap="auto" w:vAnchor="page" w:hAnchor="page" w:x="1380" w:y="10770"/>
        <w:rPr>
          <w:rFonts w:ascii="Arial" w:cs="Arial" w:eastAsia="Arial" w:hAnsi="Arial"/>
          <w:sz w:val="16"/>
          <w:szCs w:val="16"/>
          <w:color w:val="auto"/>
        </w:rPr>
      </w:pPr>
      <w:r>
        <w:rPr>
          <w:rFonts w:ascii="Arial" w:cs="Arial" w:eastAsia="Arial" w:hAnsi="Arial"/>
          <w:sz w:val="16"/>
          <w:szCs w:val="16"/>
          <w:color w:val="auto"/>
        </w:rPr>
        <w:t>XBRL Taxonomy Extension Label Linkbase Document. XBRL Taxonomy Extension Presentation Linkbase Document.</w:t>
      </w: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rFonts w:ascii="Arial" w:cs="Arial" w:eastAsia="Arial" w:hAnsi="Arial"/>
          <w:sz w:val="16"/>
          <w:szCs w:val="16"/>
          <w:color w:val="auto"/>
        </w:rPr>
      </w:pPr>
    </w:p>
    <w:p>
      <w:pPr>
        <w:ind w:right="280" w:firstLine="324"/>
        <w:spacing w:after="0" w:line="277" w:lineRule="auto"/>
        <w:rPr>
          <w:sz w:val="20"/>
          <w:szCs w:val="20"/>
          <w:color w:val="auto"/>
        </w:rPr>
      </w:pPr>
      <w:r>
        <w:rPr>
          <w:rFonts w:ascii="Arial" w:cs="Arial" w:eastAsia="Arial" w:hAnsi="Arial"/>
          <w:sz w:val="18"/>
          <w:szCs w:val="18"/>
          <w:color w:val="auto"/>
        </w:rPr>
        <w:t>Since our 2018 Form 10-K, there have been no material developments in legal proceedings in which we are involved. See Note 14, Commitments and Contingencies to the condensed consolidated financial statements included in this Quarterly Report on Form 10-Q.</w:t>
      </w:r>
    </w:p>
    <w:p>
      <w:pPr>
        <w:spacing w:after="0" w:line="13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rFonts w:ascii="Arial" w:cs="Arial" w:eastAsia="Arial" w:hAnsi="Arial"/>
          <w:sz w:val="16"/>
          <w:szCs w:val="16"/>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spacing w:after="0" w:line="187" w:lineRule="exact"/>
        <w:rPr>
          <w:rFonts w:ascii="Arial" w:cs="Arial" w:eastAsia="Arial" w:hAnsi="Arial"/>
          <w:sz w:val="16"/>
          <w:szCs w:val="16"/>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Set forth below is information concerning acquisitions of AMC Networks Class A Common Stock by the Company during the three months ended June 30, 2019.</w:t>
      </w:r>
    </w:p>
    <w:p>
      <w:pPr>
        <w:spacing w:after="0" w:line="333"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(or Units) Purchased as</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Average Price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3"/>
              </w:rPr>
              <w:t>Shares (or Units) that May Yet</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Paid per Share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0"/>
              </w:rPr>
              <w:t>Be Purchased Under the Plans</w:t>
            </w:r>
          </w:p>
        </w:tc>
      </w:tr>
      <w:tr>
        <w:trPr>
          <w:trHeight w:val="210"/>
        </w:trPr>
        <w:tc>
          <w:tcPr>
            <w:tcW w:w="410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(or Units) Purchased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(or Unit)</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2"/>
              </w:rPr>
              <w:t>or Programs</w:t>
            </w:r>
          </w:p>
        </w:tc>
      </w:tr>
      <w:tr>
        <w:trPr>
          <w:trHeight w:val="33"/>
        </w:trPr>
        <w:tc>
          <w:tcPr>
            <w:tcW w:w="3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2019 to April 30, 2019</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558,419.334</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May 1, 2019 to May 31, 2019</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1,023,002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1,023,002</w:t>
            </w:r>
          </w:p>
        </w:tc>
        <w:tc>
          <w:tcPr>
            <w:tcW w:w="2360" w:type="dxa"/>
            <w:vAlign w:val="bottom"/>
            <w:gridSpan w:val="2"/>
          </w:tcPr>
          <w:p>
            <w:pPr>
              <w:jc w:val="right"/>
              <w:ind w:right="19"/>
              <w:spacing w:after="0"/>
              <w:rPr>
                <w:sz w:val="20"/>
                <w:szCs w:val="20"/>
                <w:color w:val="auto"/>
              </w:rPr>
            </w:pPr>
            <w:r>
              <w:rPr>
                <w:rFonts w:ascii="Arial" w:cs="Arial" w:eastAsia="Arial" w:hAnsi="Arial"/>
                <w:sz w:val="18"/>
                <w:szCs w:val="18"/>
                <w:color w:val="auto"/>
              </w:rPr>
              <w:t>502,521,304</w:t>
            </w: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2019 to June 30, 2019</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28,779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53.88</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28,779</w:t>
            </w:r>
          </w:p>
        </w:tc>
        <w:tc>
          <w:tcPr>
            <w:tcW w:w="23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500,970,550</w:t>
            </w:r>
          </w:p>
        </w:tc>
      </w:tr>
      <w:tr>
        <w:trPr>
          <w:trHeight w:val="257"/>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1,051,781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1,051,781</w:t>
            </w:r>
          </w:p>
        </w:tc>
        <w:tc>
          <w:tcPr>
            <w:tcW w:w="120" w:type="dxa"/>
            <w:vAlign w:val="bottom"/>
          </w:tcPr>
          <w:p>
            <w:pPr>
              <w:spacing w:after="0"/>
              <w:rPr>
                <w:sz w:val="22"/>
                <w:szCs w:val="22"/>
                <w:color w:val="auto"/>
              </w:rPr>
            </w:pPr>
          </w:p>
        </w:tc>
        <w:tc>
          <w:tcPr>
            <w:tcW w:w="2240" w:type="dxa"/>
            <w:vAlign w:val="bottom"/>
            <w:tcBorders>
              <w:top w:val="single" w:sz="8" w:color="auto"/>
            </w:tcBorders>
          </w:tcPr>
          <w:p>
            <w:pPr>
              <w:spacing w:after="0"/>
              <w:rPr>
                <w:sz w:val="22"/>
                <w:szCs w:val="22"/>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9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262" w:lineRule="exact"/>
        <w:rPr>
          <w:rFonts w:ascii="Arial" w:cs="Arial" w:eastAsia="Arial" w:hAnsi="Arial"/>
          <w:sz w:val="16"/>
          <w:szCs w:val="16"/>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31.1</w:t>
            </w:r>
          </w:p>
        </w:tc>
        <w:tc>
          <w:tcPr>
            <w:tcW w:w="72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59">
              <w:r>
                <w:rPr>
                  <w:rFonts w:ascii="Arial" w:cs="Arial" w:eastAsia="Arial" w:hAnsi="Arial"/>
                  <w:sz w:val="18"/>
                  <w:szCs w:val="18"/>
                  <w:color w:val="0000FF"/>
                  <w:w w:val="92"/>
                </w:rPr>
                <w:t>Certification of Chief Executive Officer pursuant to Section 302 of the Sarbanes-Oxley Act of 2002.</w:t>
              </w:r>
            </w:hyperlink>
          </w:p>
        </w:tc>
      </w:tr>
      <w:tr>
        <w:trPr>
          <w:trHeight w:val="372"/>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31.2</w:t>
            </w:r>
          </w:p>
        </w:tc>
        <w:tc>
          <w:tcPr>
            <w:tcW w:w="7240" w:type="dxa"/>
            <w:vAlign w:val="bottom"/>
            <w:gridSpan w:val="2"/>
          </w:tcPr>
          <w:p>
            <w:pPr>
              <w:spacing w:after="0"/>
              <w:rPr>
                <w:rFonts w:ascii="Arial" w:cs="Arial" w:eastAsia="Arial" w:hAnsi="Arial"/>
                <w:sz w:val="18"/>
                <w:szCs w:val="18"/>
                <w:color w:val="0000FF"/>
                <w:w w:val="92"/>
              </w:rPr>
            </w:pPr>
            <w:hyperlink w:anchor="page60">
              <w:r>
                <w:rPr>
                  <w:rFonts w:ascii="Arial" w:cs="Arial" w:eastAsia="Arial" w:hAnsi="Arial"/>
                  <w:sz w:val="18"/>
                  <w:szCs w:val="18"/>
                  <w:color w:val="0000FF"/>
                  <w:w w:val="92"/>
                </w:rPr>
                <w:t>Certification of Chief Financial Officer pursuant to 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7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80" w:right="40" w:hanging="1145"/>
        <w:spacing w:after="0" w:line="277" w:lineRule="auto"/>
        <w:tabs>
          <w:tab w:leader="none" w:pos="1180" w:val="left"/>
        </w:tabs>
        <w:numPr>
          <w:ilvl w:val="0"/>
          <w:numId w:val="12"/>
        </w:numPr>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Certifications of Chief Executive Officer and Chief Financial Officer pursuant to Section 906 of the Sarbanes-Oxley Act of 2002, 18 U.S.C.</w:t>
        </w:r>
      </w:hyperlink>
      <w:r>
        <w:rPr>
          <w:rFonts w:ascii="Arial" w:cs="Arial" w:eastAsia="Arial" w:hAnsi="Arial"/>
          <w:sz w:val="18"/>
          <w:szCs w:val="18"/>
          <w:u w:val="single" w:color="auto"/>
          <w:color w:val="0000FF"/>
        </w:rPr>
        <w:t xml:space="preserve"> </w:t>
      </w:r>
      <w:hyperlink w:anchor="page61">
        <w:r>
          <w:rPr>
            <w:rFonts w:ascii="Arial" w:cs="Arial" w:eastAsia="Arial" w:hAnsi="Arial"/>
            <w:sz w:val="18"/>
            <w:szCs w:val="18"/>
            <w:u w:val="single" w:color="auto"/>
            <w:color w:val="0000FF"/>
          </w:rPr>
          <w:t>Section 1350.</w:t>
        </w:r>
      </w:hyperlink>
    </w:p>
    <w:p>
      <w:pPr>
        <w:spacing w:after="0" w:line="14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101.INS</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101.SCH</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101.DEF</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101.PRE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72"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AMC Networks Inc.</w:t>
      </w:r>
    </w:p>
    <w:p>
      <w:pPr>
        <w:spacing w:after="0" w:line="252" w:lineRule="exact"/>
        <w:rPr>
          <w:sz w:val="20"/>
          <w:szCs w:val="20"/>
          <w:color w:val="auto"/>
        </w:rPr>
      </w:pPr>
    </w:p>
    <w:p>
      <w:pPr>
        <w:ind w:left="280"/>
        <w:spacing w:after="0"/>
        <w:tabs>
          <w:tab w:leader="none" w:pos="5620" w:val="left"/>
        </w:tabs>
        <w:rPr>
          <w:sz w:val="20"/>
          <w:szCs w:val="20"/>
          <w:color w:val="auto"/>
        </w:rPr>
      </w:pPr>
      <w:r>
        <w:rPr>
          <w:rFonts w:ascii="Arial" w:cs="Arial" w:eastAsia="Arial" w:hAnsi="Arial"/>
          <w:sz w:val="18"/>
          <w:szCs w:val="18"/>
          <w:color w:val="auto"/>
        </w:rPr>
        <w:t>Date: July 31, 2019</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464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17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8"/>
        <w:spacing w:after="0" w:line="277" w:lineRule="auto"/>
        <w:tabs>
          <w:tab w:leader="none" w:pos="2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7220" w:val="left"/>
          <w:tab w:leader="none" w:pos="7680" w:val="left"/>
        </w:tabs>
        <w:rPr>
          <w:sz w:val="20"/>
          <w:szCs w:val="20"/>
          <w:color w:val="auto"/>
        </w:rPr>
      </w:pPr>
      <w:r>
        <w:rPr>
          <w:rFonts w:ascii="Arial" w:cs="Arial" w:eastAsia="Arial" w:hAnsi="Arial"/>
          <w:sz w:val="18"/>
          <w:szCs w:val="18"/>
          <w:color w:val="auto"/>
        </w:rPr>
        <w:t>Date:</w:t>
        <w:tab/>
        <w:t>July 31,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Sean S. Sullivan, certify that:</w:t>
      </w:r>
    </w:p>
    <w:p>
      <w:pPr>
        <w:spacing w:after="0" w:line="17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277" w:lineRule="auto"/>
        <w:tabs>
          <w:tab w:leader="none" w:pos="2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June 30, 2019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32"/>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2019-12-28T09:58:28Z</dcterms:created>
  <dcterms:modified xsi:type="dcterms:W3CDTF">2019-12-28T09:58:28Z</dcterms:modified>
</cp:coreProperties>
</file>