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1-35106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AMC Global Media Inc.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7"/>
        <w:gridCol w:w="473"/>
        <w:gridCol w:w="473"/>
        <w:gridCol w:w="473"/>
        <w:gridCol w:w="473"/>
        <w:gridCol w:w="496"/>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324-8500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common stock outstanding as of July 24, 2026:</w:t>
      </w:r>
    </w:p>
    <w:tbl>
      <w:tblPr>
        <w:tblW w:w="4636" w:type="dxa"/>
        <w:jc w:val="left"/>
        <w:tblInd w:w="0" w:type="dxa"/>
        <w:tblLayout w:type="fixed"/>
        <w:tblCellMar>
          <w:top w:w="28" w:type="dxa"/>
          <w:left w:w="28" w:type="dxa"/>
          <w:bottom w:w="28" w:type="dxa"/>
          <w:right w:w="28" w:type="dxa"/>
        </w:tblCellMar>
      </w:tblPr>
      <w:tblGrid>
        <w:gridCol w:w="1332"/>
        <w:gridCol w:w="1167"/>
        <w:gridCol w:w="1176"/>
        <w:gridCol w:w="281"/>
        <w:gridCol w:w="281"/>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29,765,563</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11,484,408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AMC GLOBAL MEDIA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51" w:type="dxa"/>
        <w:jc w:val="left"/>
        <w:tblInd w:w="0" w:type="dxa"/>
        <w:tblLayout w:type="fixed"/>
        <w:tblCellMar>
          <w:top w:w="28" w:type="dxa"/>
          <w:left w:w="28" w:type="dxa"/>
          <w:bottom w:w="28" w:type="dxa"/>
          <w:right w:w="28" w:type="dxa"/>
        </w:tblCellMar>
      </w:tblPr>
      <w:tblGrid>
        <w:gridCol w:w="2890"/>
        <w:gridCol w:w="2538"/>
        <w:gridCol w:w="2552"/>
        <w:gridCol w:w="167"/>
        <w:gridCol w:w="167"/>
        <w:gridCol w:w="237"/>
      </w:tblGrid>
      <w:tr>
        <w:trPr/>
        <w:tc>
          <w:tcPr>
            <w:tcW w:w="289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3">
              <w:r>
                <w:rPr>
                  <w:rStyle w:val="InternetLink"/>
                  <w:rFonts w:ascii="Times New Roman;serif" w:hAnsi="Times New Roman;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6">
              <w:r>
                <w:rPr>
                  <w:rStyle w:val="InternetLink"/>
                  <w:rFonts w:ascii="Times New Roman;serif" w:hAnsi="Times New Roman;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01a507238db4566b6a0e777896c4914_19">
              <w:r>
                <w:rPr>
                  <w:rStyle w:val="InternetLink"/>
                  <w:rFonts w:ascii="Times New Roman;serif" w:hAnsi="Times New Roman;serif"/>
                  <w:b w:val="false"/>
                  <w:color w:val="000080"/>
                  <w:sz w:val="20"/>
                  <w:u w:val="single"/>
                </w:rPr>
                <w:t>Condensed Consolidated Statements of Income</w:t>
              </w:r>
            </w:hyperlink>
            <w:r>
              <w:rPr>
                <w:rFonts w:ascii="Times New Roman;serif" w:hAnsi="Times New Roman;serif"/>
                <w:b w:val="false"/>
                <w:color w:val="0000FF"/>
                <w:sz w:val="20"/>
                <w:u w:val="single"/>
              </w:rPr>
              <w:t xml:space="preserve"> (Loss)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9">
              <w:r>
                <w:rPr>
                  <w:rStyle w:val="InternetLink"/>
                  <w:rFonts w:ascii="Times New Roman;serif" w:hAnsi="Times New Roman;serif"/>
                  <w:b w:val="false"/>
                  <w:color w:val="0000FF"/>
                  <w:sz w:val="20"/>
                  <w:u w:val="singl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01a507238db4566b6a0e777896c4914_22">
              <w:r>
                <w:rPr>
                  <w:rStyle w:val="InternetLink"/>
                  <w:rFonts w:ascii="Times New Roman;serif" w:hAnsi="Times New Roman;serif"/>
                  <w:b w:val="false"/>
                  <w:color w:val="000080"/>
                  <w:sz w:val="20"/>
                  <w:u w:val="single"/>
                </w:rPr>
                <w:t>Condensed Consolidated Statements of Comprehensive Income</w:t>
              </w:r>
            </w:hyperlink>
            <w:r>
              <w:rPr>
                <w:rFonts w:ascii="Times New Roman;serif" w:hAnsi="Times New Roman;serif"/>
                <w:b w:val="false"/>
                <w:color w:val="0000FF"/>
                <w:sz w:val="20"/>
                <w:u w:val="single"/>
              </w:rPr>
              <w:t xml:space="preserve"> (Loss)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22">
              <w:r>
                <w:rPr>
                  <w:rStyle w:val="InternetLink"/>
                  <w:rFonts w:ascii="Times New Roman;serif" w:hAnsi="Times New Roman;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01a507238db4566b6a0e777896c4914_25">
              <w:r>
                <w:rPr>
                  <w:rStyle w:val="InternetLink"/>
                  <w:rFonts w:ascii="Times New Roman;serif" w:hAnsi="Times New Roman;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25">
              <w:r>
                <w:rPr>
                  <w:rStyle w:val="InternetLink"/>
                  <w:rFonts w:ascii="Times New Roman;serif" w:hAnsi="Times New Roman;serif"/>
                  <w:b w:val="false"/>
                  <w:color w:val="0000FF"/>
                  <w:sz w:val="20"/>
                  <w:u w:val="singl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c01a507238db4566b6a0e777896c4914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31">
              <w:r>
                <w:rPr>
                  <w:rStyle w:val="InternetLink"/>
                  <w:rFonts w:ascii="Times New Roman;serif" w:hAnsi="Times New Roman;serif"/>
                  <w:b w:val="false"/>
                  <w:color w:val="0000FF"/>
                  <w:sz w:val="20"/>
                  <w:u w:val="single"/>
                </w:rPr>
                <w:t>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34">
              <w:r>
                <w:rPr>
                  <w:rStyle w:val="InternetLink"/>
                  <w:rFonts w:ascii="Times New Roman;serif" w:hAnsi="Times New Roman;serif"/>
                  <w:b w:val="false"/>
                  <w:color w:val="0000FF"/>
                  <w:sz w:val="20"/>
                  <w:u w:val="single"/>
                </w:rPr>
                <w:t>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1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15">
              <w:r>
                <w:rPr>
                  <w:rStyle w:val="InternetLink"/>
                  <w:rFonts w:ascii="Times New Roman;serif" w:hAnsi="Times New Roman;serif"/>
                  <w:b w:val="false"/>
                  <w:color w:val="0000FF"/>
                  <w:sz w:val="20"/>
                  <w:u w:val="single"/>
                </w:rPr>
                <w:t>27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45">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45">
              <w:r>
                <w:rPr>
                  <w:rStyle w:val="InternetLink"/>
                  <w:rFonts w:ascii="Times New Roman;serif" w:hAnsi="Times New Roman;serif"/>
                  <w:b w:val="false"/>
                  <w:color w:val="0000FF"/>
                  <w:sz w:val="20"/>
                  <w:u w:val="single"/>
                </w:rPr>
                <w:t>45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48">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48">
              <w:r>
                <w:rPr>
                  <w:rStyle w:val="InternetLink"/>
                  <w:rFonts w:ascii="Times New Roman;serif" w:hAnsi="Times New Roman;serif"/>
                  <w:b w:val="false"/>
                  <w:color w:val="0000FF"/>
                  <w:sz w:val="20"/>
                  <w:u w:val="single"/>
                </w:rPr>
                <w:t>45</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51">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54">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54">
              <w:r>
                <w:rPr>
                  <w:rStyle w:val="InternetLink"/>
                  <w:rFonts w:ascii="Times New Roman;serif" w:hAnsi="Times New Roman;serif"/>
                  <w:b w:val="false"/>
                  <w:color w:val="0000FF"/>
                  <w:sz w:val="20"/>
                  <w:u w:val="single"/>
                </w:rPr>
                <w:t>46</w:t>
              </w:r>
            </w:hyperlink>
          </w:p>
        </w:tc>
      </w:tr>
      <w:tr>
        <w:trPr/>
        <w:tc>
          <w:tcPr>
            <w:tcW w:w="798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60">
              <w:r>
                <w:rPr>
                  <w:rStyle w:val="InternetLink"/>
                  <w:rFonts w:ascii="Times New Roman;serif" w:hAnsi="Times New Roman;serif"/>
                  <w:b w:val="false"/>
                  <w:color w:val="0000FF"/>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60">
              <w:r>
                <w:rPr>
                  <w:rStyle w:val="InternetLink"/>
                  <w:rFonts w:ascii="Times New Roman;serif" w:hAnsi="Times New Roman;serif"/>
                  <w:b w:val="false"/>
                  <w:color w:val="0000FF"/>
                  <w:sz w:val="20"/>
                  <w:u w:val="single"/>
                </w:rPr>
                <w:t>46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66">
              <w:r>
                <w:rPr>
                  <w:rStyle w:val="InternetLink"/>
                  <w:rFonts w:ascii="Times New Roman;serif" w:hAnsi="Times New Roman;serif"/>
                  <w:b w:val="false"/>
                  <w:color w:val="0000FF"/>
                  <w:sz w:val="20"/>
                  <w:u w:val="single"/>
                </w:rPr>
                <w:t xml:space="preserve">Item 5. Other Information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60">
              <w:r>
                <w:rPr>
                  <w:rStyle w:val="InternetLink"/>
                  <w:rFonts w:ascii="Times New Roman;serif" w:hAnsi="Times New Roman;serif"/>
                  <w:b w:val="false"/>
                  <w:color w:val="0000FF"/>
                  <w:sz w:val="20"/>
                  <w:u w:val="single"/>
                </w:rPr>
                <w:t>46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69">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69">
              <w:r>
                <w:rPr>
                  <w:rStyle w:val="InternetLink"/>
                  <w:rFonts w:ascii="Times New Roman;serif" w:hAnsi="Times New Roman;serif"/>
                  <w:b w:val="false"/>
                  <w:color w:val="0000FF"/>
                  <w:sz w:val="20"/>
                  <w:u w:val="single"/>
                </w:rPr>
                <w:t>47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1a507238db4566b6a0e777896c4914_172">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1a507238db4566b6a0e777896c4914_172">
              <w:r>
                <w:rPr>
                  <w:rStyle w:val="InternetLink"/>
                  <w:rFonts w:ascii="Times New Roman;serif" w:hAnsi="Times New Roman;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GLOBAL MEDIA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72"/>
        <w:gridCol w:w="2192"/>
        <w:gridCol w:w="2203"/>
        <w:gridCol w:w="196"/>
        <w:gridCol w:w="871"/>
        <w:gridCol w:w="109"/>
        <w:gridCol w:w="109"/>
        <w:gridCol w:w="109"/>
        <w:gridCol w:w="109"/>
        <w:gridCol w:w="230"/>
        <w:gridCol w:w="1022"/>
        <w:gridCol w:w="183"/>
      </w:tblGrid>
      <w:tr>
        <w:trPr/>
        <w:tc>
          <w:tcPr>
            <w:tcW w:w="287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trade (less allowance for doubtful accounts of $10,163 and $11,523)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1,280,609 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$431,300 and $409,991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 rights,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1,763,084 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3,936,881 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program rights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portion of lease obligations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768,385 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 rights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1,741,225 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2,923,132 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360,000 shares authorized: 66,730 and 66,730 shares issued and 29,766 and 31,215 shares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Class B Common Stock, $0.01 par value, 90,000 shares authorized: 11,484 shares issued and outstanding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45,000 shares authorized: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2,176,124 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Treasury stock, at cost (36,965 and 35,516 shares of Class A Common Stock,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AMC Global Media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981,871 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1,013,749 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3,727,340 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3,936,881 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GLOBAL MEDIA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80"/>
        <w:gridCol w:w="1314"/>
        <w:gridCol w:w="129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8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1,155,257 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Technical and operating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AMC Global Media's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AMC Global Media's stockholders:</w:t>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GLOBAL MEDIA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47"/>
        <w:gridCol w:w="1523"/>
        <w:gridCol w:w="1530"/>
        <w:gridCol w:w="211"/>
        <w:gridCol w:w="775"/>
        <w:gridCol w:w="109"/>
        <w:gridCol w:w="109"/>
        <w:gridCol w:w="109"/>
        <w:gridCol w:w="109"/>
        <w:gridCol w:w="211"/>
        <w:gridCol w:w="721"/>
        <w:gridCol w:w="109"/>
        <w:gridCol w:w="109"/>
        <w:gridCol w:w="109"/>
        <w:gridCol w:w="109"/>
        <w:gridCol w:w="211"/>
        <w:gridCol w:w="775"/>
        <w:gridCol w:w="109"/>
        <w:gridCol w:w="109"/>
        <w:gridCol w:w="109"/>
        <w:gridCol w:w="109"/>
        <w:gridCol w:w="211"/>
        <w:gridCol w:w="826"/>
        <w:gridCol w:w="156"/>
      </w:tblGrid>
      <w:tr>
        <w:trPr/>
        <w:tc>
          <w:tcPr>
            <w:tcW w:w="174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AMC Global Media's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GLOBAL MEDIA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347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736"/>
        <w:gridCol w:w="109"/>
        <w:gridCol w:w="109"/>
        <w:gridCol w:w="109"/>
        <w:gridCol w:w="109"/>
        <w:gridCol w:w="266"/>
        <w:gridCol w:w="876"/>
        <w:gridCol w:w="149"/>
        <w:gridCol w:w="109"/>
        <w:gridCol w:w="109"/>
        <w:gridCol w:w="109"/>
        <w:gridCol w:w="203"/>
        <w:gridCol w:w="763"/>
        <w:gridCol w:w="160"/>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AMC Global Media 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(226,172)</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988,233 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AMC Global Media's stockholders</w:t>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 including excise tax</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associated with shares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418,442 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2,135,147 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(1,419,793)</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(223,352)</w:t>
            </w:r>
          </w:p>
        </w:tc>
        <w:tc>
          <w:tcPr>
            <w:tcW w:w="1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911,226 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35,150 </w:t>
            </w:r>
          </w:p>
        </w:tc>
        <w:tc>
          <w:tcPr>
            <w:tcW w:w="1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946,376 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571"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736"/>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AMC Global Media 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(1,391,334)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(250,218)</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32,296 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921,133 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AMC Global Media's stockholders</w:t>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433,374 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2,155,064 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(1,399,599)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(217,929)</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971,692 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36,015 </w:t>
            </w:r>
          </w:p>
        </w:tc>
        <w:tc>
          <w:tcPr>
            <w:tcW w:w="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1,007,707 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GLOBAL MEDIA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3571"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736"/>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AMC Global Media 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(1,406,027)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(218,910)</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1,013,749 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AMC Global Media's stockholders</w:t>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 including excise tax</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associated with shares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418,442 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2,135,147 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(1,419,793)</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(223,352)</w:t>
            </w:r>
          </w:p>
        </w:tc>
        <w:tc>
          <w:tcPr>
            <w:tcW w:w="12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911,226 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35,150 </w:t>
            </w:r>
          </w:p>
        </w:tc>
        <w:tc>
          <w:tcPr>
            <w:tcW w:w="1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946,376 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571"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736"/>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AMC Global Media 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(1,408,307)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(266,969)</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AMC Global Media's stockholders</w:t>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acquired</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433,374 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2,155,064 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(1,399,599)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(217,929)</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971,692 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36,015 </w:t>
            </w:r>
          </w:p>
        </w:tc>
        <w:tc>
          <w:tcPr>
            <w:tcW w:w="1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1,007,707 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AMC GLOBAL MEDIA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9248" w:type="dxa"/>
        <w:jc w:val="center"/>
        <w:tblInd w:w="0" w:type="dxa"/>
        <w:tblLayout w:type="fixed"/>
        <w:tblCellMar>
          <w:top w:w="28" w:type="dxa"/>
          <w:left w:w="28" w:type="dxa"/>
          <w:bottom w:w="28" w:type="dxa"/>
          <w:right w:w="28" w:type="dxa"/>
        </w:tblCellMar>
      </w:tblPr>
      <w:tblGrid>
        <w:gridCol w:w="2382"/>
        <w:gridCol w:w="2098"/>
        <w:gridCol w:w="2104"/>
        <w:gridCol w:w="211"/>
        <w:gridCol w:w="826"/>
        <w:gridCol w:w="109"/>
        <w:gridCol w:w="109"/>
        <w:gridCol w:w="109"/>
        <w:gridCol w:w="109"/>
        <w:gridCol w:w="211"/>
        <w:gridCol w:w="826"/>
        <w:gridCol w:w="154"/>
      </w:tblGrid>
      <w:tr>
        <w:trPr/>
        <w:tc>
          <w:tcPr>
            <w:tcW w:w="23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program rights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carriage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transaction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discounts on indebtedness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 (including amounts due from related parties,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and obligations,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Redemption of 10.25% Senior Secured Notes due 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A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Tender and repurchase of 4.25% Senior Notes due 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Deemed repurchases of restricted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 Description of Business and Basis of Presentation</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Business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8, 2026, AMC Networks Inc. filed Amended and Restated Articles of Incorporation with the Nevada Secretary of State to effect a change of its corporate name from AMC Networks Inc. to AMC Global Media Inc.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AMC Global Media Inc. ("AMC Global Media") and its subsidiaries (collectively referred to as the "Company," "we," "us," or "our") own and operate entertainment businesses and assets. The Company is comprised of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Domestic Operations:</w:t>
      </w:r>
      <w:r>
        <w:rPr>
          <w:color w:val="000000"/>
        </w:rPr>
        <w:t xml:space="preserve"> </w:t>
      </w:r>
      <w:r>
        <w:rPr>
          <w:rFonts w:ascii="Times New Roman;serif" w:hAnsi="Times New Roman;serif"/>
          <w:b w:val="false"/>
          <w:color w:val="000000"/>
          <w:sz w:val="20"/>
        </w:rPr>
        <w:t>Consists of our streaming services, our five programming networks, our AMC Studios operation and our film distribution business. Our streaming services consist of AMC+ and our targeted subscription streaming services (Acorn TV, Shudder, Sundance Now, ALLBLK, HIDIVE and All Reality). Our programming networks are AMC, We TV, BBC America, IFC, and SundanceTV. Our AMC Studios operation produces original programming for our programming services and third parties and also licenses programming worldwide. Our film distribution business consists of Independent Film Company. The operating segment also includes AMC Networks Broadcasting &amp; Technology, our technical services business, which primarily services the programming networks.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International</w:t>
      </w:r>
      <w:r>
        <w:rPr>
          <w:rFonts w:ascii="Times New Roman;serif" w:hAnsi="Times New Roman;serif"/>
          <w:b w:val="false"/>
          <w:color w:val="000000"/>
          <w:sz w:val="20"/>
        </w:rPr>
        <w:t xml:space="preserve">: Consists of AMC Global Media International, our international programming businesses consisting of a portfolio of channels distributed around the world. </w:t>
      </w:r>
    </w:p>
    <w:p>
      <w:pPr>
        <w:pStyle w:val="TextBody"/>
        <w:bidi w:val="0"/>
        <w:spacing w:lineRule="auto" w:line="268" w:before="120" w:after="1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AMC Global Media and its subsidiaries in which a controlling financial interest is maintained or variable interest entities in which the Company has determined it is the primary beneficiary. All intercompany transactions and balances have been eliminated in consolidation.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Unaudited Interim Financial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2025 contained in the Company's Annual Report on Form 10-K (our "2025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interim periods are not necessarily indicative of the results that might be expected for future interim periods or for the full year ending December 31,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July 2025, the Financial Accounting Standards Board ("FASB") issued guidance that provides a practical expedient for estimating credit losses for current accounts receivable and current contract assets arising from transactions accounted for under Accounting Standards Codification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the new standard, in lieu of developing forecasts of future economic conditions, entities can elect a practical expedient that assumes the current conditions as of the balance sheet date remain consistent for the remaining life of the asset. The new guidance became effective January 1, 2026 and is being applied prospectively. The adoption of this standard did not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guidance on the recognition, measurement, and presentation of government grants. Under the new guidance, government grants are recognized when it is probable that the entity will comply with the conditions of the grant and the grant will be received. The guidance provides accounting models for grants related to assets and grants related to income, including a requirement to recognize a grant related to an asset as the business entity incurs the related costs for which the grant is intended to compensate, either as deferred income or an adjustment to the cost basis of the asset. The guidance also requires disclosures regarding the nature of the government grant received, the accounting policies used to account for the grant, and significant terms and conditions of the grant. The new guidance will be effective January 1, 2029, with early adoption permitted. The Company is currently evaluating the impact of adopting the new guidance.</w:t>
      </w:r>
    </w:p>
    <w:p>
      <w:pPr>
        <w:pStyle w:val="TextBody"/>
        <w:bidi w:val="0"/>
        <w:spacing w:lineRule="auto" w:line="288" w:before="120" w:after="120"/>
        <w:ind w:left="0" w:right="0" w:firstLine="360"/>
        <w:jc w:val="both"/>
        <w:rPr/>
      </w:pPr>
      <w:r>
        <w:rPr>
          <w:rFonts w:ascii="Times New Roman;serif" w:hAnsi="Times New Roman;serif"/>
          <w:b w:val="false"/>
          <w:color w:val="000000"/>
          <w:sz w:val="20"/>
        </w:rPr>
        <w:t>In December 2025, the FASB issued guidance that clarifies the applicability of ASC Topic 270 (</w:t>
      </w:r>
      <w:r>
        <w:rPr>
          <w:rFonts w:ascii="Times New Roman;serif" w:hAnsi="Times New Roman;serif"/>
          <w:b w:val="false"/>
          <w:i/>
          <w:color w:val="000000"/>
          <w:sz w:val="20"/>
        </w:rPr>
        <w:t>Interim Reporting</w:t>
      </w:r>
      <w:r>
        <w:rPr>
          <w:rFonts w:ascii="Times New Roman;serif" w:hAnsi="Times New Roman;serif"/>
          <w:b w:val="false"/>
          <w:color w:val="000000"/>
          <w:sz w:val="20"/>
        </w:rPr>
        <w:t>), the types of interim reporting, and the form and content of interim financial statements in accordance with GAAP. The new guidance provides a comprehensive list of required interim disclosures and includes a disclosure principle that requires entities to disclose events since the end of the last annual reporting period that have a material impact on the entity. The new guidance will be effective January 1, 2028, with early adoption permitted. The Company is currently evaluating the impact of adopting the new guidance.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guidance to simplify the capitalization of costs to develop software for internal use by eliminating the consideration of software development project stages. Instead, costs will be capitalized when management has authorized and committed to funding the project and it is probable that the project will be completed and the software will be used to perform its intended function. The new guidance will be effective January 1, 2028, and can be applied prospectively, retrospectively, or with a modified prospective approach. The Company does not expect the adoption of this standard will have a material impact on its consolidated financial statements.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Revenue Recognition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Transaction Price Allocated to Future Performance Obligations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As of June 30, 2026, other than contracts for which the Company has applied the practical expedients, the aggregate amount of transaction price allocated to remaining performance obligations</w:t>
      </w:r>
      <w:r>
        <w:rPr>
          <w:color w:val="000000"/>
          <w:shd w:fill="FFFFFF" w:val="clear"/>
        </w:rPr>
        <w:t xml:space="preserve"> </w:t>
      </w:r>
      <w:r>
        <w:rPr>
          <w:rFonts w:ascii="Times New Roman;serif" w:hAnsi="Times New Roman;serif"/>
          <w:b w:val="false"/>
          <w:color w:val="000000"/>
          <w:sz w:val="20"/>
          <w:shd w:fill="FFFFFF" w:val="clear"/>
        </w:rPr>
        <w:t xml:space="preserve">was not material </w:t>
      </w:r>
      <w:r>
        <w:rPr>
          <w:rFonts w:ascii="Times New Roman;serif" w:hAnsi="Times New Roman;serif"/>
          <w:b w:val="false"/>
          <w:color w:val="000000"/>
          <w:sz w:val="20"/>
        </w:rPr>
        <w:t>to our consolidated revenues.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Contract Balances from Contracts with Customers </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accounts receivable and contract liabilities from contracts with customers. </w:t>
      </w:r>
    </w:p>
    <w:tbl>
      <w:tblPr>
        <w:tblW w:w="9802" w:type="dxa"/>
        <w:jc w:val="left"/>
        <w:tblInd w:w="0" w:type="dxa"/>
        <w:tblLayout w:type="fixed"/>
        <w:tblCellMar>
          <w:top w:w="28" w:type="dxa"/>
          <w:left w:w="28" w:type="dxa"/>
          <w:bottom w:w="28" w:type="dxa"/>
          <w:right w:w="28" w:type="dxa"/>
        </w:tblCellMar>
      </w:tblPr>
      <w:tblGrid>
        <w:gridCol w:w="2314"/>
        <w:gridCol w:w="2043"/>
        <w:gridCol w:w="2048"/>
        <w:gridCol w:w="109"/>
        <w:gridCol w:w="109"/>
        <w:gridCol w:w="109"/>
        <w:gridCol w:w="212"/>
        <w:gridCol w:w="833"/>
        <w:gridCol w:w="109"/>
        <w:gridCol w:w="109"/>
        <w:gridCol w:w="109"/>
        <w:gridCol w:w="109"/>
        <w:gridCol w:w="281"/>
        <w:gridCol w:w="1103"/>
        <w:gridCol w:w="205"/>
      </w:tblGrid>
      <w:tr>
        <w:trPr/>
        <w:tc>
          <w:tcPr>
            <w:tcW w:w="231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Contract liabilities, short-term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Revenue recognized for the six months ended June 30, 2026 and 2025 relating to the contract liabilities at December 31, 2025 and 2024 was $34.7 million </w:t>
      </w:r>
      <w:r>
        <w:rPr>
          <w:rFonts w:ascii="Times New Roman;serif" w:hAnsi="Times New Roman;serif"/>
          <w:b w:val="false"/>
          <w:color w:val="000000"/>
          <w:sz w:val="20"/>
          <w:shd w:fill="FFFFFF" w:val="clear"/>
        </w:rPr>
        <w:t>and $32.3 million, respectively.</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The Company has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the Company had not yet sold any customer receivables under this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On July 30, 2026, the Company announced that it had entered into a license agreement with Netflix Inc. granting Netflix co-exclusive global streaming rights to all shows in The Walking Dead Universe, including all seasons of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Fear the Walking Dead</w:t>
      </w:r>
      <w:r>
        <w:rPr>
          <w:rFonts w:ascii="Times New Roman;serif" w:hAnsi="Times New Roman;serif"/>
          <w:b w:val="false"/>
          <w:color w:val="000000"/>
          <w:sz w:val="20"/>
        </w:rPr>
        <w:t xml:space="preserve">. The Company retains the global rights to exhibit the shows in The Walking Dead Universe on its own streaming services. Other shows in The Walking Dead Universe include: </w:t>
      </w:r>
      <w:r>
        <w:rPr>
          <w:rFonts w:ascii="Times New Roman;serif" w:hAnsi="Times New Roman;serif"/>
          <w:b w:val="false"/>
          <w:i/>
          <w:color w:val="000000"/>
          <w:sz w:val="20"/>
        </w:rPr>
        <w:t>The Walking Dead: Daryl Dixon</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Dead City</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World Beyond</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The Ones Who Live</w:t>
      </w:r>
      <w:r>
        <w:rPr>
          <w:rFonts w:ascii="Times New Roman;serif" w:hAnsi="Times New Roman;serif"/>
          <w:b w:val="false"/>
          <w:color w:val="000000"/>
          <w:sz w:val="20"/>
        </w:rPr>
        <w:t xml:space="preserve">; and </w:t>
      </w:r>
      <w:r>
        <w:rPr>
          <w:rFonts w:ascii="Times New Roman;serif" w:hAnsi="Times New Roman;serif"/>
          <w:b w:val="false"/>
          <w:i/>
          <w:color w:val="000000"/>
          <w:sz w:val="20"/>
        </w:rPr>
        <w:t>Tales of the Walking Dead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pPr>
      <w:r>
        <w:rPr>
          <w:rFonts w:ascii="Times New Roman;serif" w:hAnsi="Times New Roman;serif"/>
          <w:b w:val="false"/>
          <w:color w:val="000000"/>
          <w:sz w:val="20"/>
        </w:rPr>
        <w:t xml:space="preserve">The license agreement generally provides for a five-year term for each licensed show, with licenses for individual shows commencing on different dates in different geographic territories based on the expiration of streaming rights under the Company's existing licenses. The co-exclusive license for the U.S. streaming rights to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begins on January 6, 2027 and the co-exclusive license for U.S. streaming rights to other series in the Walking Dead Universe begin at various times in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license agreement, Netflix will pay an aggregate content license fee of $500 million payable in quarterly cash installments over the five-year term, with approximately $25 million of such payments expected to be received in 2026. As a result of the extended payment terms, the aggregate revenue that the Company expects to recognize will be based on the present value of future payments, which is estimated to be approximately $445 million. </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Net Income (Loss) per Share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per basic share is based upon net income (loss) attributable to AMC Global Media's stockholders divided by the weighted average number of shares of Class A Common Stock and Class B Common Stock outstanding during the period. Net income (loss) per diluted share reflects the dilutive effects, if any, of AMC Global Media's outstanding equity-based awards and the assumed conversion of the Company's 4.25% Convertible Senior Notes due 2029 (the "Convertible Notes") issued in June 2024. </w:t>
      </w:r>
    </w:p>
    <w:tbl>
      <w:tblPr>
        <w:tblW w:w="10205" w:type="dxa"/>
        <w:jc w:val="left"/>
        <w:tblInd w:w="0" w:type="dxa"/>
        <w:tblLayout w:type="fixed"/>
        <w:tblCellMar>
          <w:top w:w="28" w:type="dxa"/>
          <w:left w:w="28" w:type="dxa"/>
          <w:bottom w:w="28" w:type="dxa"/>
          <w:right w:w="28" w:type="dxa"/>
        </w:tblCellMar>
      </w:tblPr>
      <w:tblGrid>
        <w:gridCol w:w="1777"/>
        <w:gridCol w:w="1568"/>
        <w:gridCol w:w="1581"/>
        <w:gridCol w:w="211"/>
        <w:gridCol w:w="764"/>
        <w:gridCol w:w="109"/>
        <w:gridCol w:w="109"/>
        <w:gridCol w:w="109"/>
        <w:gridCol w:w="109"/>
        <w:gridCol w:w="211"/>
        <w:gridCol w:w="721"/>
        <w:gridCol w:w="109"/>
        <w:gridCol w:w="109"/>
        <w:gridCol w:w="109"/>
        <w:gridCol w:w="109"/>
        <w:gridCol w:w="211"/>
        <w:gridCol w:w="764"/>
        <w:gridCol w:w="109"/>
        <w:gridCol w:w="109"/>
        <w:gridCol w:w="109"/>
        <w:gridCol w:w="109"/>
        <w:gridCol w:w="211"/>
        <w:gridCol w:w="721"/>
        <w:gridCol w:w="157"/>
      </w:tblGrid>
      <w:tr>
        <w:trPr/>
        <w:tc>
          <w:tcPr>
            <w:tcW w:w="177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26" w:type="dxa"/>
            <w:gridSpan w:val="3"/>
            <w:vMerge w:val="continue"/>
            <w:tcBorders/>
            <w:tcMar>
              <w:top w:w="0" w:type="dxa"/>
              <w:left w:w="0" w:type="dxa"/>
              <w:bottom w:w="0" w:type="dxa"/>
              <w:right w:w="0" w:type="dxa"/>
            </w:tcMar>
            <w:vAlign w:val="center"/>
          </w:tcPr>
          <w:p>
            <w:pPr>
              <w:pStyle w:val="Normal"/>
              <w:bidi w:val="0"/>
              <w:jc w:val="left"/>
              <w:rPr/>
            </w:pPr>
            <w:r>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AMC Global Media's stockholders used for basic net income (loss)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Convertible Notes interest expense, net of tax</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AMC Global Media's stockholders used for diluted net income (loss)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dilution:</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AMC Global Media's stockholders: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all 5.6 million of our restricted stock units ("RSUs") and the impact of 11.3 million common shares related to the assumed conversion of the Convertible Notes were excluded from the calculation of diluted net income (loss) per share because their inclusion would have been antidilutive since we reported a net loss.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4.2 million RSUs were excluded from the diluted weighted average common shares outstanding, as their impact would have been antidilutive.</w:t>
      </w:r>
    </w:p>
    <w:p>
      <w:pPr>
        <w:pStyle w:val="TextBody"/>
        <w:bidi w:val="0"/>
        <w:spacing w:lineRule="auto" w:line="288" w:before="60" w:after="6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60" w:after="120"/>
        <w:ind w:left="0" w:right="0" w:firstLine="360"/>
        <w:jc w:val="both"/>
        <w:rPr/>
      </w:pPr>
      <w:r>
        <w:rPr>
          <w:rFonts w:ascii="Times New Roman;serif" w:hAnsi="Times New Roman;serif"/>
          <w:b w:val="false"/>
          <w:color w:val="000000"/>
          <w:sz w:val="20"/>
        </w:rPr>
        <w:t xml:space="preserve">The Company's Board of Directors previously authorized a program to repurchase up to </w:t>
      </w:r>
      <w:r>
        <w:rPr>
          <w:rFonts w:ascii="Times New Roman;serif" w:hAnsi="Times New Roman;serif"/>
          <w:b w:val="false"/>
          <w:color w:val="000000"/>
          <w:sz w:val="20"/>
          <w:shd w:fill="FFFFFF" w:val="clear"/>
        </w:rPr>
        <w:t>$1.5 billion</w:t>
      </w:r>
      <w:r>
        <w:rPr>
          <w:color w:val="000000"/>
        </w:rPr>
        <w:t xml:space="preserve"> </w:t>
      </w:r>
      <w:r>
        <w:rPr>
          <w:rFonts w:ascii="Times New Roman;serif" w:hAnsi="Times New Roman;serif"/>
          <w:b w:val="false"/>
          <w:color w:val="000000"/>
          <w:sz w:val="20"/>
        </w:rPr>
        <w:t xml:space="preserve">of its outstanding shares of Class A Common Stock (the "Stock Repurchase Program"). The Stock Repurchase Program has no pre-established termination date and may be suspended or discontinued at any time. On May 8, 2026, the Company entered into an accelerated share repurchase agreement (the “ASR Agreement”) with Citibank, N.A. (“Citibank”) to repurchase $30.0 million of its outstanding Class A Common Stock. The Company is conducting the accelerated share repurchase as part of its Stock Repurchase Program.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ASR Agreement, on May 11, 2026, the Company made an initial payment to Citibank of $30.0 million, and received an initial delivery of 2,727,272 shares of Class A Common Stock. The Company recorded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increase to Treasury stock of $24.0 million during the three months ended June 30, 2026, representing 80% of the total shares expected to be repurchased under the ASR Agreement (determined based on the closing price of the Class A Common Stock of $8.80 on May 8, 2026). The remaining 20% of the ASR Agreement value of $6.0 million was accounted for as an unsettled forward contract indexed to the Class A Common Stock and recorded as a reduction to Paid-in capital during the three months ended June 30, 2026. The final number of shares to be repurchased will be based on the volume-weighted average price of the Class A Common Stock on specified dates during the term of the transaction, less a discount, and subject to customary adjustments pursuant to the terms and conditions of the ASR Agreement. At settlement, if the final number of shares to be repurchased is greater than the initial share delivery, Citibank will deliver additional shares of Class A Common Stock to the Company, or, if the final number of shares to be repurchased is less than the initial share delivery, the Company will be required to make a payment to Citibank, which at the option of the Company may be in the form of cash or shares of Class A Common Stock. The final settlement of the transaction is expected to occur in the fourth quarter of 2026, but may be completed earlier at Citibank’s election.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As of June 30, 2026, the Company had </w:t>
      </w:r>
      <w:r>
        <w:rPr>
          <w:rFonts w:ascii="Times New Roman;serif" w:hAnsi="Times New Roman;serif"/>
          <w:b w:val="false"/>
          <w:color w:val="000000"/>
          <w:sz w:val="20"/>
          <w:shd w:fill="FFFFFF" w:val="clear"/>
        </w:rPr>
        <w:t>$87.4 million</w:t>
      </w:r>
      <w:r>
        <w:rPr>
          <w:color w:val="000000"/>
        </w:rPr>
        <w:t xml:space="preserve"> </w:t>
      </w:r>
      <w:r>
        <w:rPr>
          <w:rFonts w:ascii="Times New Roman;serif" w:hAnsi="Times New Roman;serif"/>
          <w:b w:val="false"/>
          <w:color w:val="000000"/>
          <w:sz w:val="20"/>
        </w:rPr>
        <w:t>of authorization remaining for repurchase under the Stock Repurchase Program.</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Restructuring and Other Related Charges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 xml:space="preserve">$1.3 million and $5.7 million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he three and six months ended June 30, 2026, respectively. F</w:t>
      </w:r>
      <w:r>
        <w:rPr>
          <w:rFonts w:ascii="Times New Roman;serif" w:hAnsi="Times New Roman;serif"/>
          <w:b w:val="false"/>
          <w:color w:val="000000"/>
          <w:sz w:val="20"/>
          <w:shd w:fill="FFFFFF" w:val="clear"/>
        </w:rPr>
        <w:t>or t</w:t>
      </w:r>
      <w:r>
        <w:rPr>
          <w:rFonts w:ascii="Times New Roman;serif" w:hAnsi="Times New Roman;serif"/>
          <w:b w:val="false"/>
          <w:color w:val="000000"/>
          <w:sz w:val="20"/>
        </w:rPr>
        <w:t>he three and six months ended June 30, 2026, $0.8 million and $2.5 million, respectively, were related to the Company's restructuring plan in its International segment (the "International Plan"), which for the quarter consisted primarily of workforce reductions in Latin America.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announced a voluntary buyout program for U.S. employees, which resulted in modifications to the organizational structure of the Company and reduced employee costs. In connection with this program, the Company recognized $0.5 million and $3.2 million of severance charges during the three and six months ended June 30, 2026, respectively.</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$3.5 million and</w:t>
      </w:r>
      <w:r>
        <w:rPr>
          <w:color w:val="000000"/>
          <w:shd w:fill="FFFFFF" w:val="clear"/>
        </w:rPr>
        <w:t xml:space="preserve"> </w:t>
      </w:r>
      <w:r>
        <w:rPr>
          <w:rFonts w:ascii="Times New Roman;serif" w:hAnsi="Times New Roman;serif"/>
          <w:b w:val="false"/>
          <w:color w:val="000000"/>
          <w:sz w:val="20"/>
        </w:rPr>
        <w:t>$8.3 million</w:t>
      </w:r>
      <w:r>
        <w:rPr>
          <w:color w:val="000000"/>
          <w:shd w:fill="FFFFFF" w:val="clear"/>
        </w:rPr>
        <w:t xml:space="preserve">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 xml:space="preserve">he three and six months ended June 30, 2025, respectively, primarily related to the </w:t>
      </w:r>
      <w:r>
        <w:rPr>
          <w:rFonts w:ascii="Times New Roman;serif" w:hAnsi="Times New Roman;serif"/>
          <w:b w:val="false"/>
          <w:color w:val="000000"/>
          <w:sz w:val="20"/>
          <w:shd w:fill="FFFFFF" w:val="clear"/>
        </w:rPr>
        <w:t xml:space="preserve">planned wind-down of a joint venture held by the Company's U.K. business with operations in EMEA as part of its International segment, as well as the commencement of the International Plan in Southern Europe. </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and other related charges (credits) recognized by operating segment:</w:t>
      </w:r>
    </w:p>
    <w:tbl>
      <w:tblPr>
        <w:tblW w:w="9513" w:type="dxa"/>
        <w:jc w:val="left"/>
        <w:tblInd w:w="0" w:type="dxa"/>
        <w:tblLayout w:type="fixed"/>
        <w:tblCellMar>
          <w:top w:w="28" w:type="dxa"/>
          <w:left w:w="28" w:type="dxa"/>
          <w:bottom w:w="28" w:type="dxa"/>
          <w:right w:w="28" w:type="dxa"/>
        </w:tblCellMar>
      </w:tblPr>
      <w:tblGrid>
        <w:gridCol w:w="1599"/>
        <w:gridCol w:w="1411"/>
        <w:gridCol w:w="1414"/>
        <w:gridCol w:w="234"/>
        <w:gridCol w:w="685"/>
        <w:gridCol w:w="121"/>
        <w:gridCol w:w="121"/>
        <w:gridCol w:w="121"/>
        <w:gridCol w:w="121"/>
        <w:gridCol w:w="234"/>
        <w:gridCol w:w="685"/>
        <w:gridCol w:w="121"/>
        <w:gridCol w:w="109"/>
        <w:gridCol w:w="109"/>
        <w:gridCol w:w="109"/>
        <w:gridCol w:w="211"/>
        <w:gridCol w:w="616"/>
        <w:gridCol w:w="109"/>
        <w:gridCol w:w="109"/>
        <w:gridCol w:w="109"/>
        <w:gridCol w:w="109"/>
        <w:gridCol w:w="211"/>
        <w:gridCol w:w="691"/>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Operations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restructuring and other related charges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related charges that were not allocated to operating segments were $0.2 million and $0.9 million for the three and six months ended June 30, 2026, respectively. There were no restructuring and other related charges that were not allocated to operating segments for the three and six months ended June 30, 2025.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accrued restructuring and other related costs:</w:t>
      </w:r>
    </w:p>
    <w:tbl>
      <w:tblPr>
        <w:tblW w:w="10205" w:type="dxa"/>
        <w:jc w:val="left"/>
        <w:tblInd w:w="0" w:type="dxa"/>
        <w:tblLayout w:type="fixed"/>
        <w:tblCellMar>
          <w:top w:w="28" w:type="dxa"/>
          <w:left w:w="28" w:type="dxa"/>
          <w:bottom w:w="28" w:type="dxa"/>
          <w:right w:w="28" w:type="dxa"/>
        </w:tblCellMar>
      </w:tblPr>
      <w:tblGrid>
        <w:gridCol w:w="867"/>
        <w:gridCol w:w="754"/>
        <w:gridCol w:w="757"/>
        <w:gridCol w:w="592"/>
        <w:gridCol w:w="2024"/>
        <w:gridCol w:w="307"/>
        <w:gridCol w:w="109"/>
        <w:gridCol w:w="109"/>
        <w:gridCol w:w="109"/>
        <w:gridCol w:w="710"/>
        <w:gridCol w:w="2080"/>
        <w:gridCol w:w="369"/>
        <w:gridCol w:w="109"/>
        <w:gridCol w:w="109"/>
        <w:gridCol w:w="109"/>
        <w:gridCol w:w="211"/>
        <w:gridCol w:w="721"/>
        <w:gridCol w:w="159"/>
      </w:tblGrid>
      <w:tr>
        <w:trPr/>
        <w:tc>
          <w:tcPr>
            <w:tcW w:w="86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and Employee-Related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Content Impairments and 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2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Accrued restructuring and other related costs of $2.4 million and $16.4 million are included in Accrued liabilities in the condensed consolidated balance sheets at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Program Rights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capitalized produced and licensed content by predominant monetization strategy is as follows:</w:t>
      </w:r>
    </w:p>
    <w:tbl>
      <w:tblPr>
        <w:tblW w:w="10205" w:type="dxa"/>
        <w:jc w:val="left"/>
        <w:tblInd w:w="0" w:type="dxa"/>
        <w:tblLayout w:type="fixed"/>
        <w:tblCellMar>
          <w:top w:w="28" w:type="dxa"/>
          <w:left w:w="28" w:type="dxa"/>
          <w:bottom w:w="28" w:type="dxa"/>
          <w:right w:w="28" w:type="dxa"/>
        </w:tblCellMar>
      </w:tblPr>
      <w:tblGrid>
        <w:gridCol w:w="1118"/>
        <w:gridCol w:w="828"/>
        <w:gridCol w:w="831"/>
        <w:gridCol w:w="550"/>
        <w:gridCol w:w="1927"/>
        <w:gridCol w:w="287"/>
        <w:gridCol w:w="109"/>
        <w:gridCol w:w="109"/>
        <w:gridCol w:w="109"/>
        <w:gridCol w:w="424"/>
        <w:gridCol w:w="2003"/>
        <w:gridCol w:w="222"/>
        <w:gridCol w:w="109"/>
        <w:gridCol w:w="109"/>
        <w:gridCol w:w="109"/>
        <w:gridCol w:w="211"/>
        <w:gridCol w:w="991"/>
        <w:gridCol w:w="159"/>
      </w:tblGrid>
      <w:tr>
        <w:trPr/>
        <w:tc>
          <w:tcPr>
            <w:tcW w:w="11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Total </w:t>
            </w:r>
          </w:p>
        </w:tc>
      </w:tr>
      <w:tr>
        <w:trPr/>
        <w:tc>
          <w:tcPr>
            <w:tcW w:w="2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Owned original program rights, net:</w:t>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original program rights, net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35,973 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887,244 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923,217 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Licensed program rights, net:</w:t>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film and acquired series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originals</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licensed program rights, net</w:t>
            </w:r>
          </w:p>
        </w:tc>
        <w:tc>
          <w:tcPr>
            <w:tcW w:w="2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709,845 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709,845 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 rights, net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35,973</w:t>
            </w:r>
            <w:r>
              <w:rPr>
                <w:color w:val="000000"/>
              </w:rPr>
              <w:t>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1,597,089</w:t>
            </w:r>
            <w:r>
              <w:rPr>
                <w:color w:val="000000"/>
              </w:rPr>
              <w:t>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1,633,062</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program rights, net</w:t>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net (long-term)</w:t>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1,633,062</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118"/>
        <w:gridCol w:w="828"/>
        <w:gridCol w:w="831"/>
        <w:gridCol w:w="550"/>
        <w:gridCol w:w="1927"/>
        <w:gridCol w:w="287"/>
        <w:gridCol w:w="109"/>
        <w:gridCol w:w="109"/>
        <w:gridCol w:w="109"/>
        <w:gridCol w:w="424"/>
        <w:gridCol w:w="2003"/>
        <w:gridCol w:w="222"/>
        <w:gridCol w:w="109"/>
        <w:gridCol w:w="109"/>
        <w:gridCol w:w="109"/>
        <w:gridCol w:w="211"/>
        <w:gridCol w:w="991"/>
        <w:gridCol w:w="159"/>
      </w:tblGrid>
      <w:tr>
        <w:trPr/>
        <w:tc>
          <w:tcPr>
            <w:tcW w:w="11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Total </w:t>
            </w:r>
          </w:p>
        </w:tc>
      </w:tr>
      <w:tr>
        <w:trPr/>
        <w:tc>
          <w:tcPr>
            <w:tcW w:w="27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Owned original program rights, net:</w:t>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5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597,009 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original program rights, net</w:t>
            </w:r>
          </w:p>
        </w:tc>
        <w:tc>
          <w:tcPr>
            <w:tcW w:w="5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44,258 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930,577 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974,835 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Licensed program rights, net:</w:t>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film and acquired series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593,491 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originals</w:t>
            </w:r>
          </w:p>
        </w:tc>
        <w:tc>
          <w:tcPr>
            <w:tcW w:w="24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licensed program rights, net</w:t>
            </w:r>
          </w:p>
        </w:tc>
        <w:tc>
          <w:tcPr>
            <w:tcW w:w="24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791,779 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791,779 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 rights, net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44,258</w:t>
            </w:r>
            <w:r>
              <w:rPr>
                <w:color w:val="000000"/>
              </w:rPr>
              <w:t>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1,722,356</w:t>
            </w:r>
            <w:r>
              <w:rPr>
                <w:color w:val="000000"/>
              </w:rPr>
              <w:t>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1,766,614</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program rights, net</w:t>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net (long-term)</w:t>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1,763,084 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1,766,614</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owned and licensed program rights included in Technical and operating expenses is as follows:</w:t>
      </w:r>
    </w:p>
    <w:tbl>
      <w:tblPr>
        <w:tblW w:w="10205" w:type="dxa"/>
        <w:jc w:val="left"/>
        <w:tblInd w:w="0" w:type="dxa"/>
        <w:tblLayout w:type="fixed"/>
        <w:tblCellMar>
          <w:top w:w="28" w:type="dxa"/>
          <w:left w:w="28" w:type="dxa"/>
          <w:bottom w:w="28" w:type="dxa"/>
          <w:right w:w="28" w:type="dxa"/>
        </w:tblCellMar>
      </w:tblPr>
      <w:tblGrid>
        <w:gridCol w:w="378"/>
        <w:gridCol w:w="322"/>
        <w:gridCol w:w="323"/>
        <w:gridCol w:w="293"/>
        <w:gridCol w:w="856"/>
        <w:gridCol w:w="153"/>
        <w:gridCol w:w="109"/>
        <w:gridCol w:w="109"/>
        <w:gridCol w:w="109"/>
        <w:gridCol w:w="239"/>
        <w:gridCol w:w="937"/>
        <w:gridCol w:w="123"/>
        <w:gridCol w:w="109"/>
        <w:gridCol w:w="109"/>
        <w:gridCol w:w="109"/>
        <w:gridCol w:w="211"/>
        <w:gridCol w:w="826"/>
        <w:gridCol w:w="109"/>
        <w:gridCol w:w="109"/>
        <w:gridCol w:w="109"/>
        <w:gridCol w:w="109"/>
        <w:gridCol w:w="293"/>
        <w:gridCol w:w="856"/>
        <w:gridCol w:w="153"/>
        <w:gridCol w:w="109"/>
        <w:gridCol w:w="109"/>
        <w:gridCol w:w="109"/>
        <w:gridCol w:w="239"/>
        <w:gridCol w:w="937"/>
        <w:gridCol w:w="123"/>
        <w:gridCol w:w="109"/>
        <w:gridCol w:w="109"/>
        <w:gridCol w:w="109"/>
        <w:gridCol w:w="211"/>
        <w:gridCol w:w="826"/>
        <w:gridCol w:w="162"/>
      </w:tblGrid>
      <w:tr>
        <w:trPr/>
        <w:tc>
          <w:tcPr>
            <w:tcW w:w="3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original program rights</w:t>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94,516 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8,278 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187,852 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196,130 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206,258 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209,167 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8,278 </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407,151 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415,429 </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8"/>
        <w:gridCol w:w="322"/>
        <w:gridCol w:w="323"/>
        <w:gridCol w:w="263"/>
        <w:gridCol w:w="902"/>
        <w:gridCol w:w="137"/>
        <w:gridCol w:w="109"/>
        <w:gridCol w:w="109"/>
        <w:gridCol w:w="109"/>
        <w:gridCol w:w="239"/>
        <w:gridCol w:w="937"/>
        <w:gridCol w:w="123"/>
        <w:gridCol w:w="109"/>
        <w:gridCol w:w="109"/>
        <w:gridCol w:w="109"/>
        <w:gridCol w:w="211"/>
        <w:gridCol w:w="826"/>
        <w:gridCol w:w="109"/>
        <w:gridCol w:w="109"/>
        <w:gridCol w:w="109"/>
        <w:gridCol w:w="109"/>
        <w:gridCol w:w="263"/>
        <w:gridCol w:w="902"/>
        <w:gridCol w:w="137"/>
        <w:gridCol w:w="109"/>
        <w:gridCol w:w="109"/>
        <w:gridCol w:w="109"/>
        <w:gridCol w:w="239"/>
        <w:gridCol w:w="937"/>
        <w:gridCol w:w="123"/>
        <w:gridCol w:w="109"/>
        <w:gridCol w:w="109"/>
        <w:gridCol w:w="109"/>
        <w:gridCol w:w="211"/>
        <w:gridCol w:w="826"/>
        <w:gridCol w:w="162"/>
      </w:tblGrid>
      <w:tr>
        <w:trPr/>
        <w:tc>
          <w:tcPr>
            <w:tcW w:w="3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original program rights</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91,290 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178,433 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193,971 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11,708 </w:t>
            </w:r>
          </w:p>
        </w:tc>
        <w:tc>
          <w:tcPr>
            <w:tcW w:w="1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200,042 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15,680 </w:t>
            </w:r>
          </w:p>
        </w:tc>
        <w:tc>
          <w:tcPr>
            <w:tcW w:w="1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393,951 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409,631 </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360"/>
        <w:jc w:val="both"/>
        <w:rPr/>
      </w:pPr>
      <w:r>
        <w:rPr>
          <w:rFonts w:ascii="Times New Roman;serif" w:hAnsi="Times New Roman;serif"/>
          <w:b w:val="false"/>
          <w:color w:val="000000"/>
          <w:sz w:val="20"/>
          <w:shd w:fill="FFFFFF" w:val="clear"/>
        </w:rPr>
        <w:t>There were</w:t>
      </w:r>
      <w:r>
        <w:rPr>
          <w:color w:val="000000"/>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significant program rights write-offs included in technical and operating expenses f</w:t>
      </w:r>
      <w:r>
        <w:rPr>
          <w:rFonts w:ascii="Times New Roman;serif" w:hAnsi="Times New Roman;serif"/>
          <w:b w:val="false"/>
          <w:color w:val="000000"/>
          <w:sz w:val="20"/>
        </w:rPr>
        <w:t>or the three and six months ended June 30, 2026 or 2025.</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may qualify for tax incentives through eligible spend on productions. Receivables related to tax incentives earned on production spend as of June 30, 2026 consisted of $124.8 million recorded in Prepaid expenses and other current assets and $74.3 million recorded in Other assets. Receivables related to tax incentives earned on production spend as of December 31, 2025 consisted of $125.3 million recorded in Prepaid expenses and other current assets and $95.0 million recorded in Other assets.</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Investments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Company holds several investments in and loans to non-consolidated entities that are included in Other assets in the condensed consolidated balance sheets. Equity method investments were</w:t>
      </w:r>
      <w:r>
        <w:rPr>
          <w:color w:val="000000"/>
          <w:shd w:fill="FFFFFF" w:val="clear"/>
        </w:rPr>
        <w:t xml:space="preserve"> </w:t>
      </w:r>
      <w:r>
        <w:rPr>
          <w:rFonts w:ascii="Times New Roman;serif" w:hAnsi="Times New Roman;serif"/>
          <w:b w:val="false"/>
          <w:color w:val="000000"/>
          <w:sz w:val="20"/>
        </w:rPr>
        <w:t>$93.1 million</w:t>
      </w:r>
      <w:r>
        <w:rPr>
          <w:color w:val="000000"/>
          <w:shd w:fill="FFFFFF" w:val="clear"/>
        </w:rPr>
        <w:t xml:space="preserve"> </w:t>
      </w:r>
      <w:r>
        <w:rPr>
          <w:rFonts w:ascii="Times New Roman;serif" w:hAnsi="Times New Roman;serif"/>
          <w:b w:val="false"/>
          <w:color w:val="000000"/>
          <w:sz w:val="20"/>
        </w:rPr>
        <w:t xml:space="preserve">and $94.8 million at June 30, 2026 and December 31, 2025, respectively. Investments in non-marketable equity securities were $46.1 million and </w:t>
      </w:r>
      <w:r>
        <w:rPr>
          <w:rFonts w:ascii="Times New Roman;serif" w:hAnsi="Times New Roman;serif"/>
          <w:b w:val="false"/>
          <w:color w:val="000000"/>
          <w:sz w:val="20"/>
          <w:shd w:fill="FFFFFF" w:val="clear"/>
        </w:rPr>
        <w:t>$45.5 million a</w:t>
      </w:r>
      <w:r>
        <w:rPr>
          <w:rFonts w:ascii="Times New Roman;serif" w:hAnsi="Times New Roman;serif"/>
          <w:b w:val="false"/>
          <w:color w:val="000000"/>
          <w:sz w:val="20"/>
        </w:rPr>
        <w:t xml:space="preserve">t June 30, 2026 and December 31, 2025, respectively.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Goodwill and Other Intangible Assets</w:t>
      </w:r>
    </w:p>
    <w:p>
      <w:pPr>
        <w:pStyle w:val="TextBody"/>
        <w:bidi w:val="0"/>
        <w:spacing w:lineRule="auto" w:line="288" w:before="12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by operating segment, is as follows:</w:t>
      </w:r>
    </w:p>
    <w:tbl>
      <w:tblPr>
        <w:tblW w:w="7096" w:type="dxa"/>
        <w:jc w:val="left"/>
        <w:tblInd w:w="0" w:type="dxa"/>
        <w:tblLayout w:type="fixed"/>
        <w:tblCellMar>
          <w:top w:w="28" w:type="dxa"/>
          <w:left w:w="28" w:type="dxa"/>
          <w:bottom w:w="28" w:type="dxa"/>
          <w:right w:w="28" w:type="dxa"/>
        </w:tblCellMar>
      </w:tblPr>
      <w:tblGrid>
        <w:gridCol w:w="872"/>
        <w:gridCol w:w="770"/>
        <w:gridCol w:w="773"/>
        <w:gridCol w:w="346"/>
        <w:gridCol w:w="1185"/>
        <w:gridCol w:w="179"/>
        <w:gridCol w:w="109"/>
        <w:gridCol w:w="109"/>
        <w:gridCol w:w="109"/>
        <w:gridCol w:w="228"/>
        <w:gridCol w:w="779"/>
        <w:gridCol w:w="119"/>
        <w:gridCol w:w="109"/>
        <w:gridCol w:w="109"/>
        <w:gridCol w:w="109"/>
        <w:gridCol w:w="211"/>
        <w:gridCol w:w="82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80,038 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accumulated impairment charges totaled $649.6 million, with $268.7 million attributed to the Domestic Operations operating segment and $380.9 million attributed to the International operating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information relating to the Company's identifiable intangible assets:</w:t>
      </w:r>
    </w:p>
    <w:tbl>
      <w:tblPr>
        <w:tblW w:w="10205" w:type="dxa"/>
        <w:jc w:val="left"/>
        <w:tblInd w:w="0" w:type="dxa"/>
        <w:tblLayout w:type="fixed"/>
        <w:tblCellMar>
          <w:top w:w="28" w:type="dxa"/>
          <w:left w:w="28" w:type="dxa"/>
          <w:bottom w:w="28" w:type="dxa"/>
          <w:right w:w="28" w:type="dxa"/>
        </w:tblCellMar>
      </w:tblPr>
      <w:tblGrid>
        <w:gridCol w:w="1286"/>
        <w:gridCol w:w="1073"/>
        <w:gridCol w:w="1084"/>
        <w:gridCol w:w="211"/>
        <w:gridCol w:w="826"/>
        <w:gridCol w:w="109"/>
        <w:gridCol w:w="109"/>
        <w:gridCol w:w="109"/>
        <w:gridCol w:w="109"/>
        <w:gridCol w:w="326"/>
        <w:gridCol w:w="1377"/>
        <w:gridCol w:w="168"/>
        <w:gridCol w:w="109"/>
        <w:gridCol w:w="109"/>
        <w:gridCol w:w="109"/>
        <w:gridCol w:w="211"/>
        <w:gridCol w:w="826"/>
        <w:gridCol w:w="109"/>
        <w:gridCol w:w="109"/>
        <w:gridCol w:w="109"/>
        <w:gridCol w:w="109"/>
        <w:gridCol w:w="471"/>
        <w:gridCol w:w="471"/>
        <w:gridCol w:w="676"/>
      </w:tblGrid>
      <w:tr>
        <w:trPr/>
        <w:tc>
          <w:tcPr>
            <w:tcW w:w="1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w:t>
            </w:r>
          </w:p>
        </w:tc>
      </w:tr>
      <w:tr>
        <w:trPr/>
        <w:tc>
          <w:tcPr>
            <w:tcW w:w="34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(508,092)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 to 25 years</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 years</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20 years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(610,189)</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784,036 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(614,589)</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ind w:left="0" w:right="0" w:firstLine="720"/>
        <w:jc w:val="both"/>
        <w:rPr/>
      </w:pPr>
      <w:r>
        <w:rPr/>
      </w:r>
    </w:p>
    <w:tbl>
      <w:tblPr>
        <w:tblW w:w="9747" w:type="dxa"/>
        <w:jc w:val="left"/>
        <w:tblInd w:w="0" w:type="dxa"/>
        <w:tblLayout w:type="fixed"/>
        <w:tblCellMar>
          <w:top w:w="28" w:type="dxa"/>
          <w:left w:w="28" w:type="dxa"/>
          <w:bottom w:w="28" w:type="dxa"/>
          <w:right w:w="28" w:type="dxa"/>
        </w:tblCellMar>
      </w:tblPr>
      <w:tblGrid>
        <w:gridCol w:w="1568"/>
        <w:gridCol w:w="1383"/>
        <w:gridCol w:w="1398"/>
        <w:gridCol w:w="211"/>
        <w:gridCol w:w="826"/>
        <w:gridCol w:w="109"/>
        <w:gridCol w:w="109"/>
        <w:gridCol w:w="109"/>
        <w:gridCol w:w="109"/>
        <w:gridCol w:w="378"/>
        <w:gridCol w:w="1616"/>
        <w:gridCol w:w="195"/>
        <w:gridCol w:w="109"/>
        <w:gridCol w:w="109"/>
        <w:gridCol w:w="109"/>
        <w:gridCol w:w="211"/>
        <w:gridCol w:w="826"/>
        <w:gridCol w:w="109"/>
        <w:gridCol w:w="109"/>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1736" w:type="dxa"/>
            <w:gridSpan w:val="8"/>
            <w:tcBorders/>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5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(498,146)</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(597,735)</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786,938 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(602,135)</w:t>
            </w:r>
          </w:p>
        </w:tc>
        <w:tc>
          <w:tcPr>
            <w:tcW w:w="1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184,803 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(1) Related to an impairment charge recorded on the Company's SundanceTV trademarks during the fourth quarter of 2025.</w:t>
      </w:r>
    </w:p>
    <w:p>
      <w:pPr>
        <w:pStyle w:val="TextBody"/>
        <w:bidi w:val="0"/>
        <w:spacing w:lineRule="auto" w:line="288" w:before="120" w:after="120"/>
        <w:ind w:left="0" w:right="0" w:firstLine="360"/>
        <w:jc w:val="both"/>
        <w:rPr/>
      </w:pPr>
      <w:r>
        <w:rPr>
          <w:rFonts w:ascii="Times New Roman;serif" w:hAnsi="Times New Roman;serif"/>
          <w:b w:val="false"/>
          <w:color w:val="000000"/>
          <w:sz w:val="20"/>
        </w:rPr>
        <w:t>Aggregate amortization expense for amortizable intangible assets for the three months ended June 30, 2026 and 2025 was $7.6 million</w:t>
      </w:r>
      <w:r>
        <w:rPr>
          <w:color w:val="000000"/>
          <w:shd w:fill="FFFFFF" w:val="clear"/>
        </w:rPr>
        <w:t xml:space="preserve"> </w:t>
      </w:r>
      <w:r>
        <w:rPr>
          <w:rFonts w:ascii="Times New Roman;serif" w:hAnsi="Times New Roman;serif"/>
          <w:b w:val="false"/>
          <w:color w:val="000000"/>
          <w:sz w:val="20"/>
        </w:rPr>
        <w:t>and $8.0 million, respectively, and for the six months ended June 30, 2026 and 2025 was $15.2 million and $15.8 million,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Estimated aggregate amortization expense for intangible assets subject to amortization for each of the following five years is:</w:t>
      </w:r>
    </w:p>
    <w:tbl>
      <w:tblPr>
        <w:tblW w:w="3350" w:type="dxa"/>
        <w:jc w:val="left"/>
        <w:tblInd w:w="0" w:type="dxa"/>
        <w:tblLayout w:type="fixed"/>
        <w:tblCellMar>
          <w:top w:w="28" w:type="dxa"/>
          <w:left w:w="28" w:type="dxa"/>
          <w:bottom w:w="28" w:type="dxa"/>
          <w:right w:w="28" w:type="dxa"/>
        </w:tblCellMar>
      </w:tblPr>
      <w:tblGrid>
        <w:gridCol w:w="818"/>
        <w:gridCol w:w="722"/>
        <w:gridCol w:w="724"/>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Note 8. Accrued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w:t>
      </w:r>
    </w:p>
    <w:tbl>
      <w:tblPr>
        <w:tblW w:w="6369" w:type="dxa"/>
        <w:jc w:val="left"/>
        <w:tblInd w:w="0" w:type="dxa"/>
        <w:tblLayout w:type="fixed"/>
        <w:tblCellMar>
          <w:top w:w="28" w:type="dxa"/>
          <w:left w:w="28" w:type="dxa"/>
          <w:bottom w:w="28" w:type="dxa"/>
          <w:right w:w="28" w:type="dxa"/>
        </w:tblCellMar>
      </w:tblPr>
      <w:tblGrid>
        <w:gridCol w:w="1192"/>
        <w:gridCol w:w="1052"/>
        <w:gridCol w:w="1055"/>
        <w:gridCol w:w="212"/>
        <w:gridCol w:w="833"/>
        <w:gridCol w:w="109"/>
        <w:gridCol w:w="109"/>
        <w:gridCol w:w="109"/>
        <w:gridCol w:w="109"/>
        <w:gridCol w:w="281"/>
        <w:gridCol w:w="1103"/>
        <w:gridCol w:w="205"/>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costs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77,635 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Participations and residuals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323,029 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9. Long-term Debt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consists of:</w:t>
      </w:r>
    </w:p>
    <w:tbl>
      <w:tblPr>
        <w:tblW w:w="7952" w:type="dxa"/>
        <w:jc w:val="left"/>
        <w:tblInd w:w="0" w:type="dxa"/>
        <w:tblLayout w:type="fixed"/>
        <w:tblCellMar>
          <w:top w:w="28" w:type="dxa"/>
          <w:left w:w="28" w:type="dxa"/>
          <w:bottom w:w="28" w:type="dxa"/>
          <w:right w:w="28" w:type="dxa"/>
        </w:tblCellMar>
      </w:tblPr>
      <w:tblGrid>
        <w:gridCol w:w="1713"/>
        <w:gridCol w:w="1511"/>
        <w:gridCol w:w="1516"/>
        <w:gridCol w:w="211"/>
        <w:gridCol w:w="976"/>
        <w:gridCol w:w="109"/>
        <w:gridCol w:w="109"/>
        <w:gridCol w:w="109"/>
        <w:gridCol w:w="109"/>
        <w:gridCol w:w="250"/>
        <w:gridCol w:w="1157"/>
        <w:gridCol w:w="182"/>
      </w:tblGrid>
      <w:tr>
        <w:trPr/>
        <w:tc>
          <w:tcPr>
            <w:tcW w:w="17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10.25% Senior Secured Notes due January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Senior Notes due February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Convertible Senior Notes due February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10.50% Senior Secured Notes due July 2032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1,778,251 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1,752,293 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1,741,225 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Senior Secured Credit Facility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12, 2026, the Company, pursuant to the terms of its credit agreement (as amended, the "Credit Agreement"), repaid the $80.0 million remaining balance under the Term Loan A facility under the Credit Agreement (the "Term Loan A Facility") and terminated its revolving credit facility. In connection with the repayment, the Company recorded a charge of $3.1 million for the three and six months ended June 30, 2026, comprised of $3.0 million to write-off the remaining unamortized discount and deferred financing costs and $0.1 million of additional third-party expenses associated with the repayment and the termination of the Credit Agreement, which are included in Gain (loss) on extinguishment of debt, net in the condensed consolidated statements of income (loss).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repaid $2.8 million of principal amount of the Term Loan A Facility.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Consent Solicitation to Amend the 10.50% Senior Secured Notes due 2032</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23, 2026, the Company received requisite consents from holders of its 10.50% Senior Secured Notes due 2032 related to the effectiveness of amendments to the indenture governing the 10.50% Senior Secured Notes due 2032 to (1) amend the covenant that limits restricted payments in order to permit buybacks, purchases, redemptions, retirements or other acquisitions of AMC Global Media's equity interests in an aggregate amount not to exceed $50.0 million; (2) revise the covenant that limits transfers or licenses of certain trademarks to unrestricted subsidiaries to only permit transfers of non-exclusive licenses; and (3) restrict investments in unrestricted subsidiaries made pursuant to the definition of “Permitted Investments” to certain specified clauses in such definition. As a result of the receipt of requisite consents, the Company made a consent fee cash payment of $2.0 million in aggregate to all holders of the 10.50% Senior Secured Notes due 2032 who validly delivered and did not validly revoke their consents. The consent fee was accounted for as a debt modification in accordance with ASC Topic 470 and capitalized as a deferred financing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Exchange Offer and Consent Solicitation to Amend the 10.25% Senior Secured Notes due 2029</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2026, the Company commenced a private exchange offer (the “Exchange Offer”) and related consent solicitation (the “Consent Solicitation”) with respect to its outstanding 10.25% Senior Secured Notes due 2029 (the "2029 Notes"). Pursuant to the Exchange Offer, the Company offered to issue additional 10.50% Senior Secured Notes due 2032 (the “2032 Notes”) in exchange for any and all of the $875 million aggregate principal amount of 2029 Notes held by eligible holders of 2029 Notes. The 2032 Notes issued in the Exchange Offer form part of the same series as the 2032 Notes issued in July 2025. In addition, pursuant to the Consent Solicitation, the Company solicited consents from eligible holders to amend certain of the covenants in the indenture governing the 2029 Notes. For 2029 Notes tendered and not validly withdrawn before 5:00 p.m., New York City time, on March 6, 2026 (the "Early Tender Time"), eligible holders received the “Total Consideration” of $1,065 in aggregate principal amount of 2032 Notes (including an early tender premium of $50 in principal amount of 2032 Notes) for each $1,000 principal amount of 2029 Notes validly tendered and accepted for exchange by the Company. For 2029 Notes tendered after the Early Tender Time and on or before 5:00 p.m., New York City time, on March 23, 2026 (the “Expiration Time”), eligible holders received the “Exchange Consideration” of $1,015 in aggregate principal amount of 2032 Notes for each $1,000 principal amount of 2029 Notes validly tendered and accepted for exchange by the Company. The Total Consideration and Exchange Consideration, as applicable, were reduced by an amount equal to the result of (x) the aggregate amount of accrued and unpaid interest due on the 2032 Notes issued to eligible holders from and including the last interest payment date for the original 2032 Notes to but not including the applicable settlement date less (y) the aggregate amount of accrued and unpaid interest due on the 2029 Notes validly tendered and accepted by the Company from and including the last interest payment date for such 2029 Notes to but not including the applicable settlement date.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2026, the Company completed the early settlement of the Exchange Offer. As of the Early Tender Time, approximately $830.6 million in aggregate principal amount of outstanding 2029 Notes had been validly tendered and not validly withdrawn. In connection with early settlement of the Exchange Offer, the Company issued $884 million in aggregate principal amount of the 2032 Notes.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25, 2026, the Company completed the final settlement of the Exchange Offer. As of the Expiration Time, an additional approximately $30.7 million in aggregate principal amount of 2029 Notes was validly tendered in the Exchange Offer. In connection with the final settlement of the Exchange Offer, the Company issued approximately $31.1 million in aggregate principal amount of 2032 Notes. All tendered 2029 Notes exchanged in the Exchange offer were cancelled. The incremental aggregate principal issued on the 2032 Notes included in the Total Consideration and Exchange Consideration was $53.8 million and was accounted for as a debt modification in accordance with ASC Topic 470. As such, this noncash aggregate principal increase resulted in a corresponding capitalized debt discount. The Company also incurred third-party fees specifically attributable to the Exchange Offer of $16.7 million, which are included in Miscellaneous, net in the condensed consolidated statement of income (loss) for the six months ended June 30, 2026.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6, 2026, the Company redeemed all of its remaining outstanding 2029 Notes, totaling approximately $13.7 million in aggregate principal amount. The 2029 Notes were redeemed at a redemption price equal to 105.125% of the principal amount thereof, plus accrued and unpaid interest to, but excluding, the redemption date, resulting in a $0.7 million charge for the three and six months ended June 30, 2026, recorded in Gain (loss) on extinguishment of debt, net in the condensed consolidated statements of income (loss).</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Company's leases consist of non-cancelable agreements for office space, and to a lesser extent, equipment leases for satellite transponders, which</w:t>
      </w:r>
      <w:r>
        <w:rPr>
          <w:color w:val="000000"/>
          <w:shd w:fill="FFFFFF" w:val="clear"/>
        </w:rPr>
        <w:t xml:space="preserve"> </w:t>
      </w:r>
      <w:r>
        <w:rPr>
          <w:rFonts w:ascii="Times New Roman;serif" w:hAnsi="Times New Roman;serif"/>
          <w:b w:val="false"/>
          <w:color w:val="000000"/>
          <w:sz w:val="20"/>
          <w:shd w:fill="FFFFFF" w:val="clear"/>
        </w:rPr>
        <w:t>expire at various dates through 2033</w:t>
      </w:r>
      <w:r>
        <w:rPr>
          <w:rFonts w:ascii="Times New Roman;serif" w:hAnsi="Times New Roman;serif"/>
          <w:b w:val="false"/>
          <w:color w:val="000000"/>
          <w:sz w:val="20"/>
        </w:rPr>
        <w:t>.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lives of assets and leasehold improvements are limited by the expected lease term, unless there is a transfer of title or purchase option reasonably certain of exercise.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leases generally provide for fixed annual rentals plus certain other costs or credits (e.g., a tenant improvement allowance). Some leases include rental payments based on a percentage of revenue over contractual levels or based on an index or rate. Our lease agreements do not include any material residual value guarantees or material restrictive covenants.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rate implicit in its leases is not readily determinable, the Company uses its incremental borrowing rate based on the information available at the lease commencement date to determine the present value of the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leases included in the condensed consolidated balance sheets:</w:t>
      </w:r>
    </w:p>
    <w:tbl>
      <w:tblPr>
        <w:tblW w:w="8228" w:type="dxa"/>
        <w:jc w:val="left"/>
        <w:tblInd w:w="0" w:type="dxa"/>
        <w:tblLayout w:type="fixed"/>
        <w:tblCellMar>
          <w:top w:w="28" w:type="dxa"/>
          <w:left w:w="28" w:type="dxa"/>
          <w:bottom w:w="28" w:type="dxa"/>
          <w:right w:w="28" w:type="dxa"/>
        </w:tblCellMar>
      </w:tblPr>
      <w:tblGrid>
        <w:gridCol w:w="661"/>
        <w:gridCol w:w="584"/>
        <w:gridCol w:w="585"/>
        <w:gridCol w:w="999"/>
        <w:gridCol w:w="999"/>
        <w:gridCol w:w="1001"/>
        <w:gridCol w:w="109"/>
        <w:gridCol w:w="109"/>
        <w:gridCol w:w="109"/>
        <w:gridCol w:w="234"/>
        <w:gridCol w:w="800"/>
        <w:gridCol w:w="121"/>
        <w:gridCol w:w="109"/>
        <w:gridCol w:w="109"/>
        <w:gridCol w:w="109"/>
        <w:gridCol w:w="309"/>
        <w:gridCol w:w="1056"/>
        <w:gridCol w:w="225"/>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85,023 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99,906 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Fair Value Measurement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 The fair value hierarchy consists of the following three levels: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I - Quoted prices for identical instruments in active markets.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III - Instruments whose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for each of these hierarchy levels, the Company's financial assets and liabilities that are measured at fair value on a recurring basis at June 30, 2026 and December 31, 2025:</w:t>
      </w:r>
    </w:p>
    <w:tbl>
      <w:tblPr>
        <w:tblW w:w="8104" w:type="dxa"/>
        <w:jc w:val="left"/>
        <w:tblInd w:w="0" w:type="dxa"/>
        <w:tblLayout w:type="fixed"/>
        <w:tblCellMar>
          <w:top w:w="28" w:type="dxa"/>
          <w:left w:w="28" w:type="dxa"/>
          <w:bottom w:w="28" w:type="dxa"/>
          <w:right w:w="28" w:type="dxa"/>
        </w:tblCellMar>
      </w:tblPr>
      <w:tblGrid>
        <w:gridCol w:w="1029"/>
        <w:gridCol w:w="910"/>
        <w:gridCol w:w="911"/>
        <w:gridCol w:w="109"/>
        <w:gridCol w:w="109"/>
        <w:gridCol w:w="109"/>
        <w:gridCol w:w="211"/>
        <w:gridCol w:w="826"/>
        <w:gridCol w:w="109"/>
        <w:gridCol w:w="109"/>
        <w:gridCol w:w="109"/>
        <w:gridCol w:w="109"/>
        <w:gridCol w:w="246"/>
        <w:gridCol w:w="475"/>
        <w:gridCol w:w="109"/>
        <w:gridCol w:w="109"/>
        <w:gridCol w:w="109"/>
        <w:gridCol w:w="109"/>
        <w:gridCol w:w="226"/>
        <w:gridCol w:w="436"/>
        <w:gridCol w:w="117"/>
        <w:gridCol w:w="109"/>
        <w:gridCol w:w="109"/>
        <w:gridCol w:w="109"/>
        <w:gridCol w:w="211"/>
        <w:gridCol w:w="826"/>
        <w:gridCol w:w="154"/>
      </w:tblGrid>
      <w:tr>
        <w:trPr/>
        <w:tc>
          <w:tcPr>
            <w:tcW w:w="102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equivalents (comprised of money market mutual funds) are classified within Level I of the fair value hierarchy because they are valued using quoted market prices.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measurements are also used in nonrecurring valuations performed in connection with impairment testing, including the valuation of program rights, goodwill, intangible assets and property and equipment. All of our nonrecurring valuations use significant unobservable inputs and therefore fall under Level III of the fair value hierarchy.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Credit Facility Debt and Senior Notes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6939" w:type="dxa"/>
        <w:jc w:val="left"/>
        <w:tblInd w:w="0" w:type="dxa"/>
        <w:tblLayout w:type="fixed"/>
        <w:tblCellMar>
          <w:top w:w="28" w:type="dxa"/>
          <w:left w:w="28" w:type="dxa"/>
          <w:bottom w:w="28" w:type="dxa"/>
          <w:right w:w="28" w:type="dxa"/>
        </w:tblCellMar>
      </w:tblPr>
      <w:tblGrid>
        <w:gridCol w:w="1437"/>
        <w:gridCol w:w="1266"/>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97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 Senior Notes due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10.50% Senior Secured Notes due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518" w:type="dxa"/>
        <w:jc w:val="center"/>
        <w:tblInd w:w="0" w:type="dxa"/>
        <w:tblLayout w:type="fixed"/>
        <w:tblCellMar>
          <w:top w:w="28" w:type="dxa"/>
          <w:left w:w="28" w:type="dxa"/>
          <w:bottom w:w="28" w:type="dxa"/>
          <w:right w:w="28" w:type="dxa"/>
        </w:tblCellMar>
      </w:tblPr>
      <w:tblGrid>
        <w:gridCol w:w="1285"/>
        <w:gridCol w:w="1131"/>
        <w:gridCol w:w="1138"/>
        <w:gridCol w:w="211"/>
        <w:gridCol w:w="976"/>
        <w:gridCol w:w="109"/>
        <w:gridCol w:w="109"/>
        <w:gridCol w:w="109"/>
        <w:gridCol w:w="109"/>
        <w:gridCol w:w="211"/>
        <w:gridCol w:w="97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10.50% Senior Secured Notes due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Derivative Financial Instruments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financial instruments included in the condensed consolidated balance sheets are as follows:</w:t>
      </w:r>
    </w:p>
    <w:tbl>
      <w:tblPr>
        <w:tblW w:w="10205" w:type="dxa"/>
        <w:jc w:val="left"/>
        <w:tblInd w:w="0" w:type="dxa"/>
        <w:tblLayout w:type="fixed"/>
        <w:tblCellMar>
          <w:top w:w="28" w:type="dxa"/>
          <w:left w:w="28" w:type="dxa"/>
          <w:bottom w:w="28" w:type="dxa"/>
          <w:right w:w="28" w:type="dxa"/>
        </w:tblCellMar>
      </w:tblPr>
      <w:tblGrid>
        <w:gridCol w:w="1376"/>
        <w:gridCol w:w="1214"/>
        <w:gridCol w:w="1210"/>
        <w:gridCol w:w="1051"/>
        <w:gridCol w:w="1051"/>
        <w:gridCol w:w="1052"/>
        <w:gridCol w:w="109"/>
        <w:gridCol w:w="109"/>
        <w:gridCol w:w="109"/>
        <w:gridCol w:w="251"/>
        <w:gridCol w:w="733"/>
        <w:gridCol w:w="129"/>
        <w:gridCol w:w="109"/>
        <w:gridCol w:w="109"/>
        <w:gridCol w:w="109"/>
        <w:gridCol w:w="318"/>
        <w:gridCol w:w="929"/>
        <w:gridCol w:w="237"/>
      </w:tblGrid>
      <w:tr>
        <w:trPr/>
        <w:tc>
          <w:tcPr>
            <w:tcW w:w="137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gains and losses related to the Company's derivative financial instruments not designated as hedging instruments are as follows:</w:t>
      </w:r>
    </w:p>
    <w:tbl>
      <w:tblPr>
        <w:tblW w:w="10205" w:type="dxa"/>
        <w:jc w:val="left"/>
        <w:tblInd w:w="0" w:type="dxa"/>
        <w:tblLayout w:type="fixed"/>
        <w:tblCellMar>
          <w:top w:w="28" w:type="dxa"/>
          <w:left w:w="28" w:type="dxa"/>
          <w:bottom w:w="28" w:type="dxa"/>
          <w:right w:w="28" w:type="dxa"/>
        </w:tblCellMar>
      </w:tblPr>
      <w:tblGrid>
        <w:gridCol w:w="662"/>
        <w:gridCol w:w="568"/>
        <w:gridCol w:w="537"/>
        <w:gridCol w:w="1174"/>
        <w:gridCol w:w="990"/>
        <w:gridCol w:w="993"/>
        <w:gridCol w:w="109"/>
        <w:gridCol w:w="109"/>
        <w:gridCol w:w="109"/>
        <w:gridCol w:w="218"/>
        <w:gridCol w:w="639"/>
        <w:gridCol w:w="113"/>
        <w:gridCol w:w="113"/>
        <w:gridCol w:w="113"/>
        <w:gridCol w:w="113"/>
        <w:gridCol w:w="218"/>
        <w:gridCol w:w="688"/>
        <w:gridCol w:w="113"/>
        <w:gridCol w:w="109"/>
        <w:gridCol w:w="109"/>
        <w:gridCol w:w="109"/>
        <w:gridCol w:w="211"/>
        <w:gridCol w:w="617"/>
        <w:gridCol w:w="109"/>
        <w:gridCol w:w="109"/>
        <w:gridCol w:w="109"/>
        <w:gridCol w:w="109"/>
        <w:gridCol w:w="211"/>
        <w:gridCol w:w="662"/>
        <w:gridCol w:w="162"/>
      </w:tblGrid>
      <w:tr>
        <w:trPr/>
        <w:tc>
          <w:tcPr>
            <w:tcW w:w="6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Earnings on Derivatives</w:t>
            </w:r>
          </w:p>
        </w:tc>
      </w:tr>
      <w:tr>
        <w:trPr/>
        <w:tc>
          <w:tcPr>
            <w:tcW w:w="1767" w:type="dxa"/>
            <w:gridSpan w:val="3"/>
            <w:vMerge w:val="continue"/>
            <w:tcBorders/>
            <w:tcMar>
              <w:top w:w="0" w:type="dxa"/>
              <w:left w:w="0" w:type="dxa"/>
              <w:bottom w:w="0" w:type="dxa"/>
              <w:right w:w="0" w:type="dxa"/>
            </w:tcMar>
            <w:vAlign w:val="center"/>
          </w:tcPr>
          <w:p>
            <w:pPr>
              <w:pStyle w:val="Normal"/>
              <w:bidi w:val="0"/>
              <w:jc w:val="left"/>
              <w:rPr/>
            </w:pPr>
            <w:r>
              <w:rPr/>
            </w:r>
          </w:p>
        </w:tc>
        <w:tc>
          <w:tcPr>
            <w:tcW w:w="3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67" w:type="dxa"/>
            <w:gridSpan w:val="3"/>
            <w:vMerge w:val="continue"/>
            <w:tcBorders/>
            <w:tcMar>
              <w:top w:w="0" w:type="dxa"/>
              <w:left w:w="0" w:type="dxa"/>
              <w:bottom w:w="0" w:type="dxa"/>
              <w:right w:w="0" w:type="dxa"/>
            </w:tcMar>
            <w:vAlign w:val="center"/>
          </w:tcPr>
          <w:p>
            <w:pPr>
              <w:pStyle w:val="Normal"/>
              <w:bidi w:val="0"/>
              <w:jc w:val="left"/>
              <w:rPr/>
            </w:pPr>
            <w:r>
              <w:rPr/>
            </w:r>
          </w:p>
        </w:tc>
        <w:tc>
          <w:tcPr>
            <w:tcW w:w="3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derivatives </w:t>
            </w:r>
          </w:p>
        </w:tc>
        <w:tc>
          <w:tcPr>
            <w:tcW w:w="31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3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8, 2026, the Company entered into the ASR Agreement with Citibank to repurchase $30.0 million of its outstanding Class A Common Stock. The Company recorded an increase to Treasury stock of $24.0 million during the three months ended June 30, 2026, representing 80% of the total shares expected to be repurchased under the ASR Agreement (determined based on the closing price of the Class A Common Stock of $8.80 on May 8, 2026). The remaining 20% of the ASR Agreement value of $6.0 million was accounted for as an unsettled forward contract indexed to the Class A Common Stock and recorded as a reduction to Paid-in capital during the three months ended June 30, 2026. The ASR Agreement met all of the applicable criteria for equity classification under ASC 815-40, and therefore, was not accounted for as a derivative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the Company is required to use an estimated annual effective rate to measure the tax benefit or tax expense recognized in an interim period. The estimated annual effective rate is revised on a quarterly basis.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income tax benefit was $4.7 million on a loss from operations before income taxes of $24.4 million and $11.4 million on a loss from operations before income taxes of $48.3 million, respectively, representing an effective rate of 19% and 24%, respectively. Items resulting in variances from the federal statutory rate of 21% for the three and six months ended June 30, 2026 primarily consisted of state and local income tax expense, tax expense related to non-deductible compensation, and tax expense, including interest, related to an increase in uncertain tax positions, partially offset by a tax benefit from foreign operations and a tax benefit related to foreign-derived deduction eligible income.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income tax expense was $16.1 million on income from operations before income taxes of $68.8 million, and $31.0 million on income from operations before income taxes of $105.9 million, respectively, representing an effective rate of 23% and 29%, respectively. The variance from the federal statutory rate of 21% for the three months ended June 30, 2025 primarily consisted of state and local income tax expense. Items resulting in variances from the federal statutory rate of 21% for the six months ended June 30, 2025 primarily consisted of state and local income tax expense, tax expense related to share-based compensation, tax expense for an increase in the valuation allowance for foreign taxes and tax expense related to non-deductible compensation.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foreign tax credit carryforwards of approximately $52.7 million, expiring on various dates from 2026 through 2036. These carryforwards have been reduced to zero by a valuation allowance of $52.7 million as it is more likely than not that these carryforwards will not be realized.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cash and cash equivalents balance of $464.0 million included approximately $136.5 million held by foreign subsidiaries. Of this amount, approximately $22.5 million is expected to be repatriated to the United States with the remaining amount continuing to be reinvested in foreign operations. Tax expense related to the expected repatriation amount has been accrued and the Company does not expect to incur any significant, additional taxes related to the remaining balance.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Pillar Two minimum tax requirement has not had, and is not expected to have, a material impact on the Company's results of operations or financial position for the year ending December 31, 2026.</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As of June 30, 2026, the Company's contractual obligations not reflected on the Company's condensed consolidated balance sheets increased</w:t>
      </w:r>
      <w:r>
        <w:rPr>
          <w:color w:val="000000"/>
        </w:rPr>
        <w:t xml:space="preserve"> </w:t>
      </w:r>
      <w:r>
        <w:rPr>
          <w:rFonts w:ascii="Times New Roman;serif" w:hAnsi="Times New Roman;serif"/>
          <w:b w:val="false"/>
          <w:color w:val="000000"/>
          <w:sz w:val="20"/>
        </w:rPr>
        <w:t>$91.3 million, as compared to December 31, 2025, to</w:t>
      </w:r>
      <w:r>
        <w:rPr>
          <w:color w:val="000000"/>
        </w:rPr>
        <w:t xml:space="preserve"> </w:t>
      </w:r>
      <w:r>
        <w:rPr>
          <w:rFonts w:ascii="Times New Roman;serif" w:hAnsi="Times New Roman;serif"/>
          <w:b w:val="false"/>
          <w:color w:val="000000"/>
          <w:sz w:val="20"/>
        </w:rPr>
        <w:t>$590.3 million. The increase was primarily related to commitments for marketing and third-party service contracts.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14, 2022, Robert Kirkman, Robert Kirkman, LLC, Glen Mazzara, 44 Strong Productions, Inc., David Alpert, Circle of Confusion Productions, LLC, New Circle of Confusion Productions, Inc., Charles Eglee, United Bongo Drum, Inc.; Gale Anne Hurd, and Valhalla Entertainment, Inc. f/k/a Valhalla Motion Pictures, Inc. (together, the "Plaintiffs") filed a complaint in California Superior Court (the “MFN Litigation”) in connection with the Company’s July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On December 15, 2022, the Company removed the MFN Litigation to the United States District Court for the Central District of California.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On November 5, 2025, the Company filed a motion for summary judgment seeking dismissal of all the claims in the MFN Litigation. The Plaintiffs’ opposition to the Company’s motion was filed on December 4, 2025 and the Company’s reply was filed on December 22, 2025. The parties are also completing limited remaining expert and fact discovery. As a result of a February 23, 2026 Court 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extending the case deadlines, the trial for this matter, previously scheduled for April 21, 2026, has been rescheduled to October 27,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15. Equity Plans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During the three months ended June 30, 2026, AMC </w:t>
      </w:r>
      <w:r>
        <w:rPr>
          <w:rFonts w:ascii="Times New Roman;serif" w:hAnsi="Times New Roman;serif"/>
          <w:b w:val="false"/>
          <w:color w:val="000000"/>
          <w:sz w:val="20"/>
        </w:rPr>
        <w:t>Global Media</w:t>
      </w:r>
      <w:r>
        <w:rPr>
          <w:color w:val="000000"/>
          <w:shd w:fill="FFFFFF" w:val="clear"/>
        </w:rPr>
        <w:t xml:space="preserve"> </w:t>
      </w:r>
      <w:r>
        <w:rPr>
          <w:rFonts w:ascii="Times New Roman;serif" w:hAnsi="Times New Roman;serif"/>
          <w:b w:val="false"/>
          <w:color w:val="000000"/>
          <w:sz w:val="20"/>
          <w:shd w:fill="FFFFFF" w:val="clear"/>
        </w:rPr>
        <w:t xml:space="preserve">granted 98,334 director stock units to non-employee directors under the </w:t>
      </w:r>
      <w:r>
        <w:rPr>
          <w:rFonts w:ascii="Times New Roman;serif" w:hAnsi="Times New Roman;serif"/>
          <w:b w:val="false"/>
          <w:color w:val="000000"/>
          <w:sz w:val="20"/>
        </w:rPr>
        <w:t>AMC Global Media Inc.</w:t>
      </w:r>
      <w:r>
        <w:rPr>
          <w:color w:val="000000"/>
          <w:shd w:fill="FFFFFF" w:val="clear"/>
        </w:rPr>
        <w:t xml:space="preserve"> </w:t>
      </w:r>
      <w:r>
        <w:rPr>
          <w:rFonts w:ascii="Times New Roman;serif" w:hAnsi="Times New Roman;serif"/>
          <w:b w:val="false"/>
          <w:color w:val="000000"/>
          <w:sz w:val="20"/>
          <w:shd w:fill="FFFFFF" w:val="clear"/>
        </w:rPr>
        <w:t>Amended and Restated 2011 Stock Plan for Non-Employee Directors that vested on the date of grant and, pursuant to the terms of the grant agreement, will be cash-settled 90 days after each non-employee director’s separation from service as a member of the Board of Directors. In accordance with ASC Topic 718, the Company recognized an expense for the fair value of these awards at June 30, 2026 with the associated liability included within Other Liabilities in the condensed consolidated balance sheet.</w:t>
      </w:r>
      <w:r>
        <w:rPr>
          <w:color w:val="000000"/>
        </w:rPr>
        <w:t xml:space="preserve"> </w:t>
      </w:r>
      <w:r>
        <w:rPr>
          <w:rFonts w:ascii="Times New Roman;serif" w:hAnsi="Times New Roman;serif"/>
          <w:b w:val="false"/>
          <w:color w:val="000000"/>
          <w:sz w:val="20"/>
          <w:shd w:fill="FFFFFF" w:val="clear"/>
        </w:rPr>
        <w:t xml:space="preserve">In accordance with ASC Topic 718, the Company will remeasure to fair value each of these </w:t>
      </w:r>
      <w:r>
        <w:rPr>
          <w:rFonts w:ascii="Times New Roman;serif" w:hAnsi="Times New Roman;serif"/>
          <w:b w:val="false"/>
          <w:color w:val="000000"/>
          <w:sz w:val="20"/>
        </w:rPr>
        <w:t xml:space="preserve">liability classified share-based compensation </w:t>
      </w:r>
      <w:r>
        <w:rPr>
          <w:rFonts w:ascii="Times New Roman;serif" w:hAnsi="Times New Roman;serif"/>
          <w:b w:val="false"/>
          <w:color w:val="000000"/>
          <w:sz w:val="20"/>
          <w:shd w:fill="FFFFFF" w:val="clear"/>
        </w:rPr>
        <w:t>awards at each quarterly reporting date until settlement.</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During the three months ended March 31, 2026, </w:t>
      </w:r>
      <w:r>
        <w:rPr>
          <w:rFonts w:ascii="Times New Roman;serif" w:hAnsi="Times New Roman;serif"/>
          <w:b w:val="false"/>
          <w:color w:val="000000"/>
          <w:sz w:val="20"/>
        </w:rPr>
        <w:t>AMC Global Media</w:t>
      </w:r>
      <w:r>
        <w:rPr>
          <w:color w:val="000000"/>
          <w:shd w:fill="FFFFFF" w:val="clear"/>
        </w:rPr>
        <w:t xml:space="preserve"> </w:t>
      </w:r>
      <w:r>
        <w:rPr>
          <w:rFonts w:ascii="Times New Roman;serif" w:hAnsi="Times New Roman;serif"/>
          <w:b w:val="false"/>
          <w:color w:val="000000"/>
          <w:sz w:val="20"/>
          <w:shd w:fill="FFFFFF" w:val="clear"/>
        </w:rPr>
        <w:t xml:space="preserve">granted </w:t>
      </w:r>
      <w:r>
        <w:rPr>
          <w:rFonts w:ascii="Times New Roman;serif" w:hAnsi="Times New Roman;serif"/>
          <w:b w:val="false"/>
          <w:color w:val="000000"/>
          <w:sz w:val="20"/>
        </w:rPr>
        <w:t>3,398,929</w:t>
      </w:r>
      <w:r>
        <w:rPr>
          <w:color w:val="000000"/>
          <w:shd w:fill="FFFFFF" w:val="clear"/>
        </w:rPr>
        <w:t xml:space="preserve"> </w:t>
      </w:r>
      <w:r>
        <w:rPr>
          <w:rFonts w:ascii="Times New Roman;serif" w:hAnsi="Times New Roman;serif"/>
          <w:b w:val="false"/>
          <w:color w:val="000000"/>
          <w:sz w:val="20"/>
          <w:shd w:fill="FFFFFF" w:val="clear"/>
        </w:rPr>
        <w:t xml:space="preserve">RSUs to certain executive officers and employees under the </w:t>
      </w:r>
      <w:r>
        <w:rPr>
          <w:rFonts w:ascii="Times New Roman;serif" w:hAnsi="Times New Roman;serif"/>
          <w:b w:val="false"/>
          <w:color w:val="000000"/>
          <w:sz w:val="20"/>
        </w:rPr>
        <w:t>AMC Global Media Inc.</w:t>
      </w:r>
      <w:r>
        <w:rPr>
          <w:color w:val="000000"/>
          <w:shd w:fill="FFFFFF" w:val="clear"/>
        </w:rPr>
        <w:t xml:space="preserve"> </w:t>
      </w:r>
      <w:r>
        <w:rPr>
          <w:rFonts w:ascii="Times New Roman;serif" w:hAnsi="Times New Roman;serif"/>
          <w:b w:val="false"/>
          <w:color w:val="000000"/>
          <w:sz w:val="20"/>
          <w:shd w:fill="FFFFFF" w:val="clear"/>
        </w:rPr>
        <w:t xml:space="preserve">Amended and Restated 2016 Employee Stock Plan, which vest ratably over a three-year period.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During the three months ended June 30, 2026, 101,186</w:t>
      </w:r>
      <w:r>
        <w:rPr>
          <w:color w:val="000000"/>
          <w:shd w:fill="FFFFFF" w:val="clear"/>
        </w:rPr>
        <w:t xml:space="preserve"> </w:t>
      </w:r>
      <w:r>
        <w:rPr>
          <w:rFonts w:ascii="Times New Roman;serif" w:hAnsi="Times New Roman;serif"/>
          <w:b w:val="false"/>
          <w:color w:val="000000"/>
          <w:sz w:val="20"/>
          <w:shd w:fill="FFFFFF" w:val="clear"/>
        </w:rPr>
        <w:t xml:space="preserve">RSUs </w:t>
      </w:r>
      <w:r>
        <w:rPr>
          <w:rFonts w:ascii="Times New Roman;serif" w:hAnsi="Times New Roman;serif"/>
          <w:b w:val="false"/>
          <w:color w:val="000000"/>
          <w:sz w:val="20"/>
        </w:rPr>
        <w:t>previously issued to employees of the Company vested. On the vesting dat</w:t>
      </w:r>
      <w:r>
        <w:rPr>
          <w:rFonts w:ascii="Times New Roman;serif" w:hAnsi="Times New Roman;serif"/>
          <w:b w:val="false"/>
          <w:color w:val="000000"/>
          <w:sz w:val="20"/>
          <w:shd w:fill="FFFFFF" w:val="clear"/>
        </w:rPr>
        <w:t xml:space="preserve">e, 51,655 RSUs </w:t>
      </w:r>
      <w:r>
        <w:rPr>
          <w:rFonts w:ascii="Times New Roman;serif" w:hAnsi="Times New Roman;serif"/>
          <w:b w:val="false"/>
          <w:color w:val="000000"/>
          <w:sz w:val="20"/>
        </w:rPr>
        <w:t>were surrendered to AMC Global Media to cover the required statutory tax withholding obligations an</w:t>
      </w:r>
      <w:r>
        <w:rPr>
          <w:rFonts w:ascii="Times New Roman;serif" w:hAnsi="Times New Roman;serif"/>
          <w:b w:val="false"/>
          <w:color w:val="000000"/>
          <w:sz w:val="20"/>
          <w:shd w:fill="FFFFFF" w:val="clear"/>
        </w:rPr>
        <w:t>d 49,531</w:t>
      </w:r>
      <w:r>
        <w:rPr>
          <w:color w:val="000000"/>
        </w:rPr>
        <w:t xml:space="preserve"> </w:t>
      </w:r>
      <w:r>
        <w:rPr>
          <w:rFonts w:ascii="Times New Roman;serif" w:hAnsi="Times New Roman;serif"/>
          <w:b w:val="false"/>
          <w:color w:val="000000"/>
          <w:sz w:val="20"/>
        </w:rPr>
        <w:t>shares of Class A Common Stock were issued. During the six months ended June 30, 2026, 2,113,228</w:t>
      </w:r>
      <w:r>
        <w:rPr>
          <w:color w:val="000000"/>
          <w:shd w:fill="FFFFFF" w:val="clear"/>
        </w:rPr>
        <w:t xml:space="preserve"> </w:t>
      </w:r>
      <w:r>
        <w:rPr>
          <w:rFonts w:ascii="Times New Roman;serif" w:hAnsi="Times New Roman;serif"/>
          <w:b w:val="false"/>
          <w:color w:val="000000"/>
          <w:sz w:val="20"/>
          <w:shd w:fill="FFFFFF" w:val="clear"/>
        </w:rPr>
        <w:t xml:space="preserve">RSUs </w:t>
      </w:r>
      <w:r>
        <w:rPr>
          <w:rFonts w:ascii="Times New Roman;serif" w:hAnsi="Times New Roman;serif"/>
          <w:b w:val="false"/>
          <w:color w:val="000000"/>
          <w:sz w:val="20"/>
        </w:rPr>
        <w:t>previously issued to employees of the Company vested. On the vesting dat</w:t>
      </w:r>
      <w:r>
        <w:rPr>
          <w:rFonts w:ascii="Times New Roman;serif" w:hAnsi="Times New Roman;serif"/>
          <w:b w:val="false"/>
          <w:color w:val="000000"/>
          <w:sz w:val="20"/>
          <w:shd w:fill="FFFFFF" w:val="clear"/>
        </w:rPr>
        <w:t xml:space="preserve">e, 850,066 RSUs </w:t>
      </w:r>
      <w:r>
        <w:rPr>
          <w:rFonts w:ascii="Times New Roman;serif" w:hAnsi="Times New Roman;serif"/>
          <w:b w:val="false"/>
          <w:color w:val="000000"/>
          <w:sz w:val="20"/>
        </w:rPr>
        <w:t>were surrendered to AMC Global Media to cover the required statutory tax withholding obligations an</w:t>
      </w:r>
      <w:r>
        <w:rPr>
          <w:rFonts w:ascii="Times New Roman;serif" w:hAnsi="Times New Roman;serif"/>
          <w:b w:val="false"/>
          <w:color w:val="000000"/>
          <w:sz w:val="20"/>
          <w:shd w:fill="FFFFFF" w:val="clear"/>
        </w:rPr>
        <w:t>d 1,263,162</w:t>
      </w:r>
      <w:r>
        <w:rPr>
          <w:color w:val="000000"/>
        </w:rPr>
        <w:t xml:space="preserve"> </w:t>
      </w:r>
      <w:r>
        <w:rPr>
          <w:rFonts w:ascii="Times New Roman;serif" w:hAnsi="Times New Roman;serif"/>
          <w:b w:val="false"/>
          <w:color w:val="000000"/>
          <w:sz w:val="20"/>
        </w:rPr>
        <w:t>shares of Class A Common Stock were issued. RSUs are surrendered to satisfy the employees' statutory minimu</w:t>
      </w:r>
      <w:r>
        <w:rPr>
          <w:rFonts w:ascii="Times New Roman;serif" w:hAnsi="Times New Roman;serif"/>
          <w:b w:val="false"/>
          <w:color w:val="000000"/>
          <w:sz w:val="20"/>
          <w:shd w:fill="FFFFFF" w:val="clear"/>
        </w:rPr>
        <w:t>m tax withholding obligations for the applicable income and other employment tax. The RSUs surrendered during the</w:t>
      </w:r>
      <w:r>
        <w:rPr>
          <w:color w:val="000000"/>
        </w:rPr>
        <w:t xml:space="preserve"> </w:t>
      </w:r>
      <w:r>
        <w:rPr>
          <w:rFonts w:ascii="Times New Roman;serif" w:hAnsi="Times New Roman;serif"/>
          <w:b w:val="false"/>
          <w:color w:val="000000"/>
          <w:sz w:val="20"/>
        </w:rPr>
        <w:t>six months ended June 30, 2026 h</w:t>
      </w:r>
      <w:r>
        <w:rPr>
          <w:rFonts w:ascii="Times New Roman;serif" w:hAnsi="Times New Roman;serif"/>
          <w:b w:val="false"/>
          <w:color w:val="000000"/>
          <w:sz w:val="20"/>
          <w:shd w:fill="FFFFFF" w:val="clear"/>
        </w:rPr>
        <w:t xml:space="preserve">ad an aggregate value of </w:t>
      </w:r>
      <w:r>
        <w:rPr>
          <w:rFonts w:ascii="Times New Roman;serif" w:hAnsi="Times New Roman;serif"/>
          <w:b w:val="false"/>
          <w:color w:val="000000"/>
          <w:sz w:val="20"/>
        </w:rPr>
        <w:t>$7.1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which has been reflected as a financing activity in the condensed consolidated statements of cash flows for the six months ended June 30, 2026. </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share-based compensation expenses, which are recognized in the condensed consolidated statements of income (loss) as part of Selling, general and administrative expenses:</w:t>
      </w:r>
    </w:p>
    <w:tbl>
      <w:tblPr>
        <w:tblW w:w="7488" w:type="dxa"/>
        <w:jc w:val="left"/>
        <w:tblInd w:w="0" w:type="dxa"/>
        <w:tblLayout w:type="fixed"/>
        <w:tblCellMar>
          <w:top w:w="28" w:type="dxa"/>
          <w:left w:w="28" w:type="dxa"/>
          <w:bottom w:w="28" w:type="dxa"/>
          <w:right w:w="28" w:type="dxa"/>
        </w:tblCellMar>
      </w:tblPr>
      <w:tblGrid>
        <w:gridCol w:w="817"/>
        <w:gridCol w:w="721"/>
        <w:gridCol w:w="726"/>
        <w:gridCol w:w="234"/>
        <w:gridCol w:w="685"/>
        <w:gridCol w:w="121"/>
        <w:gridCol w:w="121"/>
        <w:gridCol w:w="121"/>
        <w:gridCol w:w="121"/>
        <w:gridCol w:w="234"/>
        <w:gridCol w:w="685"/>
        <w:gridCol w:w="121"/>
        <w:gridCol w:w="109"/>
        <w:gridCol w:w="109"/>
        <w:gridCol w:w="109"/>
        <w:gridCol w:w="211"/>
        <w:gridCol w:w="721"/>
        <w:gridCol w:w="109"/>
        <w:gridCol w:w="109"/>
        <w:gridCol w:w="109"/>
        <w:gridCol w:w="109"/>
        <w:gridCol w:w="211"/>
        <w:gridCol w:w="721"/>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Equity-classified awards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Liability-classified awards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As of June 30, 2026, there was </w:t>
      </w:r>
      <w:r>
        <w:rPr>
          <w:rFonts w:ascii="Times New Roman;serif" w:hAnsi="Times New Roman;serif"/>
          <w:b w:val="false"/>
          <w:color w:val="000000"/>
          <w:sz w:val="20"/>
          <w:shd w:fill="FFFFFF" w:val="clear"/>
        </w:rPr>
        <w:t xml:space="preserve">$31.0 million </w:t>
      </w:r>
      <w:r>
        <w:rPr>
          <w:rFonts w:ascii="Times New Roman;serif" w:hAnsi="Times New Roman;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shd w:fill="FFFFFF" w:val="clear"/>
        </w:rPr>
        <w:t xml:space="preserve"> </w:t>
      </w:r>
      <w:r>
        <w:rPr>
          <w:rFonts w:ascii="Times New Roman;serif" w:hAnsi="Times New Roman;serif"/>
          <w:b w:val="false"/>
          <w:color w:val="000000"/>
          <w:sz w:val="20"/>
        </w:rPr>
        <w:t>2.4 years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its related parties enter into transactions with each other in the ordinary course of business. Revenues, net from these transactions amounted to $1.2 million for the three months ended June 30, 2026 and 2025, and $2.4 million for the six months ended June 30, 2026 and 2025. Amounts charged to the Company in connection with these transactions, included in Selling, general and administrative expenses, amounted to $0.5 million and $0.4 million for the three months ended June 30, 2026 and 2025, respectively, and $1.0 million and $0.9 million for the six months ended June 30, 2026 and 2025, respectively.</w:t>
      </w:r>
    </w:p>
    <w:p>
      <w:pPr>
        <w:pStyle w:val="TextBody"/>
        <w:bidi w:val="0"/>
        <w:spacing w:lineRule="auto" w:line="26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on September 2, 2025, the Company entered into a consulting agreement with MSG Networks Inc. ("MSG Networks") to provide certain advisory services to MSG Networks. Under this agreement, the Company recorded $0.7 million and $1.2 million of income, representing cost reimbursements for the three and six months ended June 30, 2026, which is recorded as a credit in Selling, general and administrative expenses in the condensed consolidated statements of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17. Cash Flows</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non-cash investing and financing activities and other supplemental data:</w:t>
      </w:r>
    </w:p>
    <w:tbl>
      <w:tblPr>
        <w:tblW w:w="6895" w:type="dxa"/>
        <w:jc w:val="left"/>
        <w:tblInd w:w="0" w:type="dxa"/>
        <w:tblLayout w:type="fixed"/>
        <w:tblCellMar>
          <w:top w:w="28" w:type="dxa"/>
          <w:left w:w="28" w:type="dxa"/>
          <w:bottom w:w="28" w:type="dxa"/>
          <w:right w:w="28" w:type="dxa"/>
        </w:tblCellMar>
      </w:tblPr>
      <w:tblGrid>
        <w:gridCol w:w="1669"/>
        <w:gridCol w:w="1473"/>
        <w:gridCol w:w="1477"/>
        <w:gridCol w:w="214"/>
        <w:gridCol w:w="626"/>
        <w:gridCol w:w="110"/>
        <w:gridCol w:w="110"/>
        <w:gridCol w:w="110"/>
        <w:gridCol w:w="110"/>
        <w:gridCol w:w="214"/>
        <w:gridCol w:w="626"/>
        <w:gridCol w:w="156"/>
      </w:tblGrid>
      <w:tr>
        <w:trPr/>
        <w:tc>
          <w:tcPr>
            <w:tcW w:w="166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19" w:type="dxa"/>
            <w:gridSpan w:val="3"/>
            <w:vMerge w:val="continue"/>
            <w:tcBorders/>
            <w:tcMar>
              <w:top w:w="0" w:type="dxa"/>
              <w:left w:w="0" w:type="dxa"/>
              <w:bottom w:w="0" w:type="dxa"/>
              <w:right w:w="0" w:type="dxa"/>
            </w:tcMar>
            <w:vAlign w:val="center"/>
          </w:tcPr>
          <w:p>
            <w:pPr>
              <w:pStyle w:val="Normal"/>
              <w:bidi w:val="0"/>
              <w:jc w:val="left"/>
              <w:rPr/>
            </w:pPr>
            <w:r>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Non-Cash Investing and Financing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additions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incurred but not yet paid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issuance - exchange offer consideration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Data:</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18. Segment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operations into two operating segments: Domestic Operations and International. These operating segments represent strategic business units that are managed separately.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segment performance based on operating segment adjusted operating income ("AOI"). The Company defines AOI as operating income (loss) before depreciation and amortization, cloud computing amortization, share-based compensation expenses or benefit (including equity-classified share-based compensation expenses or benefit and liability-classified share-based compensation expense or benefit for non-employee directors),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income from operations before income taxes, and other information as to the continuing operations of the Company's operating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70" w:type="dxa"/>
        <w:jc w:val="left"/>
        <w:tblInd w:w="0" w:type="dxa"/>
        <w:tblLayout w:type="fixed"/>
        <w:tblCellMar>
          <w:top w:w="28" w:type="dxa"/>
          <w:left w:w="28" w:type="dxa"/>
          <w:bottom w:w="28" w:type="dxa"/>
          <w:right w:w="28" w:type="dxa"/>
        </w:tblCellMar>
      </w:tblPr>
      <w:tblGrid>
        <w:gridCol w:w="1767"/>
        <w:gridCol w:w="1559"/>
        <w:gridCol w:w="1563"/>
        <w:gridCol w:w="315"/>
        <w:gridCol w:w="1233"/>
        <w:gridCol w:w="162"/>
        <w:gridCol w:w="109"/>
        <w:gridCol w:w="109"/>
        <w:gridCol w:w="109"/>
        <w:gridCol w:w="228"/>
        <w:gridCol w:w="779"/>
        <w:gridCol w:w="119"/>
        <w:gridCol w:w="109"/>
        <w:gridCol w:w="109"/>
        <w:gridCol w:w="109"/>
        <w:gridCol w:w="211"/>
        <w:gridCol w:w="82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6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470,170 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470,390 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related charges </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services performed by AMC Global Media International on behalf of businesses within the Domestic Operations segment, as well as Domestic Operations content licensing sales to International.</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00" w:type="dxa"/>
        <w:jc w:val="center"/>
        <w:tblInd w:w="0" w:type="dxa"/>
        <w:tblLayout w:type="fixed"/>
        <w:tblCellMar>
          <w:top w:w="28" w:type="dxa"/>
          <w:left w:w="28" w:type="dxa"/>
          <w:bottom w:w="28" w:type="dxa"/>
          <w:right w:w="28" w:type="dxa"/>
        </w:tblCellMar>
      </w:tblPr>
      <w:tblGrid>
        <w:gridCol w:w="1778"/>
        <w:gridCol w:w="1568"/>
        <w:gridCol w:w="1573"/>
        <w:gridCol w:w="315"/>
        <w:gridCol w:w="1233"/>
        <w:gridCol w:w="162"/>
        <w:gridCol w:w="109"/>
        <w:gridCol w:w="109"/>
        <w:gridCol w:w="109"/>
        <w:gridCol w:w="228"/>
        <w:gridCol w:w="779"/>
        <w:gridCol w:w="119"/>
        <w:gridCol w:w="109"/>
        <w:gridCol w:w="109"/>
        <w:gridCol w:w="109"/>
        <w:gridCol w:w="211"/>
        <w:gridCol w:w="82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6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525,242 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526,853 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Domestic Operations content licensing sales to International, as well as services performed by AMC Global Media International on behalf of businesses within the Domestic Operations segment.</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70" w:type="dxa"/>
        <w:jc w:val="left"/>
        <w:tblInd w:w="0" w:type="dxa"/>
        <w:tblLayout w:type="fixed"/>
        <w:tblCellMar>
          <w:top w:w="28" w:type="dxa"/>
          <w:left w:w="28" w:type="dxa"/>
          <w:bottom w:w="28" w:type="dxa"/>
          <w:right w:w="28" w:type="dxa"/>
        </w:tblCellMar>
      </w:tblPr>
      <w:tblGrid>
        <w:gridCol w:w="1778"/>
        <w:gridCol w:w="1568"/>
        <w:gridCol w:w="1573"/>
        <w:gridCol w:w="315"/>
        <w:gridCol w:w="1233"/>
        <w:gridCol w:w="162"/>
        <w:gridCol w:w="109"/>
        <w:gridCol w:w="109"/>
        <w:gridCol w:w="109"/>
        <w:gridCol w:w="211"/>
        <w:gridCol w:w="826"/>
        <w:gridCol w:w="109"/>
        <w:gridCol w:w="109"/>
        <w:gridCol w:w="109"/>
        <w:gridCol w:w="109"/>
        <w:gridCol w:w="211"/>
        <w:gridCol w:w="97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940,857 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941,077 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related charges </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Miscellaneous,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services performed by AMC Global Media International on behalf of businesses within the Domestic Operations segment, as well as Domestic Operations content licensing sales to International.</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69" w:type="dxa"/>
        <w:jc w:val="center"/>
        <w:tblInd w:w="0" w:type="dxa"/>
        <w:tblLayout w:type="fixed"/>
        <w:tblCellMar>
          <w:top w:w="28" w:type="dxa"/>
          <w:left w:w="28" w:type="dxa"/>
          <w:bottom w:w="28" w:type="dxa"/>
          <w:right w:w="28" w:type="dxa"/>
        </w:tblCellMar>
      </w:tblPr>
      <w:tblGrid>
        <w:gridCol w:w="1778"/>
        <w:gridCol w:w="1568"/>
        <w:gridCol w:w="1573"/>
        <w:gridCol w:w="278"/>
        <w:gridCol w:w="1288"/>
        <w:gridCol w:w="143"/>
        <w:gridCol w:w="109"/>
        <w:gridCol w:w="109"/>
        <w:gridCol w:w="109"/>
        <w:gridCol w:w="211"/>
        <w:gridCol w:w="826"/>
        <w:gridCol w:w="109"/>
        <w:gridCol w:w="109"/>
        <w:gridCol w:w="109"/>
        <w:gridCol w:w="109"/>
        <w:gridCol w:w="211"/>
        <w:gridCol w:w="97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 from external customers</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1,011,229 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(Content licensing and other) </w:t>
            </w:r>
            <w:r>
              <w:rPr>
                <w:rFonts w:ascii="Times New Roman;serif" w:hAnsi="Times New Roman;serif"/>
                <w:b w:val="false"/>
                <w:color w:val="000000"/>
                <w:sz w:val="13"/>
              </w:rPr>
              <w:t>(a)</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1,013,160 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Elimination of inter-segment revenues </w:t>
            </w:r>
            <w:r>
              <w:rPr>
                <w:rFonts w:ascii="Times New Roman;serif" w:hAnsi="Times New Roman;serif"/>
                <w:b w:val="false"/>
                <w:color w:val="000000"/>
                <w:sz w:val="13"/>
              </w:rPr>
              <w:t>(a)</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 net</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(b)</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research, and advertising sales expenses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(c)</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250,263 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operating income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Elimination of inter-segment profits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Unallocated corporate overhead costs </w:t>
            </w:r>
            <w:r>
              <w:rPr>
                <w:rFonts w:ascii="Times New Roman;serif" w:hAnsi="Times New Roman;serif"/>
                <w:b w:val="false"/>
                <w:color w:val="000000"/>
                <w:sz w:val="13"/>
              </w:rPr>
              <w:t>(d)</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income</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Miscellaneous, net</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 Inter-segment revenues primarily relate to Domestic Operations content licensing sales to International, as well as services performed by AMC Global Media International on behalf of businesses within the Domestic Operations segment.</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CODM.</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erif" w:hAnsi="Times New Roman;serif"/>
          <w:b w:val="false"/>
          <w:color w:val="000000"/>
          <w:sz w:val="16"/>
        </w:rPr>
      </w:pPr>
      <w:r>
        <w:rPr>
          <w:rFonts w:ascii="Times New Roman;serif" w:hAnsi="Times New Roman;serif"/>
          <w:b w:val="false"/>
          <w:color w:val="000000"/>
          <w:sz w:val="16"/>
        </w:rPr>
        <w:t>(d) Unallocated corporate overhead costs include costs such as executive salaries and benefits and costs of maintaining corporate headquarters, facilities and common support functions.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revenues in the Domestic Operations segment include revenues related to the Company's streaming services of $179.7 million and $169.0 million for the three months ended June 30, 2026 and 2025, respectively, and $353.6 million and $326.1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0"/>
        </w:rPr>
        <w:t xml:space="preserve">AMC </w:t>
      </w:r>
      <w:r>
        <w:rPr>
          <w:rFonts w:ascii="Times New Roman;serif" w:hAnsi="Times New Roman;serif"/>
          <w:b w:val="false"/>
          <w:color w:val="000000"/>
          <w:sz w:val="18"/>
        </w:rPr>
        <w:t>GLOBAL MEDIA</w:t>
      </w:r>
      <w:r>
        <w:rPr>
          <w:color w:val="000000"/>
        </w:rPr>
        <w:t xml:space="preserve"> </w:t>
      </w:r>
      <w:r>
        <w:rPr>
          <w:rFonts w:ascii="Times New Roman;serif" w:hAnsi="Times New Roman;serif"/>
          <w:b w:val="false"/>
          <w:color w:val="000000"/>
          <w:sz w:val="20"/>
        </w:rPr>
        <w:t>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total assets for each operating segment because these amounts are not regularly reviewed by the CODM nor are they used in assessing segment performance or deciding how to allocate resources to the segments.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revenues based on customer location:</w:t>
      </w:r>
    </w:p>
    <w:tbl>
      <w:tblPr>
        <w:tblW w:w="7109" w:type="dxa"/>
        <w:jc w:val="left"/>
        <w:tblInd w:w="0" w:type="dxa"/>
        <w:tblLayout w:type="fixed"/>
        <w:tblCellMar>
          <w:top w:w="28" w:type="dxa"/>
          <w:left w:w="28" w:type="dxa"/>
          <w:bottom w:w="28" w:type="dxa"/>
          <w:right w:w="28" w:type="dxa"/>
        </w:tblCellMar>
      </w:tblPr>
      <w:tblGrid>
        <w:gridCol w:w="433"/>
        <w:gridCol w:w="382"/>
        <w:gridCol w:w="38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One customer within the Domestic Operations segment accounted for approximately 20% of consolidated revenues, net for the three and six months ended June 30, 2026. For the three and six months ended June 30, 2025, one customer within the Domestic Operations segment accounted for approximately 18% of consolidated revenues, net.</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one customer within the Domestic Operations segment filed a voluntary petition for relief under Chapter 11 of the U.S. Bankruptcy Code. The proposed plan contemplates a significant deleveraging of the customer's balance sheet while generally providing for the payment of trade and other general unsecured claims. Concurrently with the Chapter 11 filing, the customer filed a motion requesting authority to pay prepetition ordinary-course claims with respect to which the Company is named as a vendor. The bankruptcy court granted the motion on July 23, 2026. Based on the relief granted and the Company's historical collection experience with the customer, the Company expects to fully recover its outstanding receivables due from the customer and continue business with the customer in the ordinary course. </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property and equipment based on asset location: </w:t>
      </w:r>
    </w:p>
    <w:tbl>
      <w:tblPr>
        <w:tblW w:w="5589" w:type="dxa"/>
        <w:jc w:val="left"/>
        <w:tblInd w:w="0" w:type="dxa"/>
        <w:tblLayout w:type="fixed"/>
        <w:tblCellMar>
          <w:top w:w="28" w:type="dxa"/>
          <w:left w:w="28" w:type="dxa"/>
          <w:bottom w:w="28" w:type="dxa"/>
          <w:right w:w="28" w:type="dxa"/>
        </w:tblCellMar>
      </w:tblPr>
      <w:tblGrid>
        <w:gridCol w:w="910"/>
        <w:gridCol w:w="803"/>
        <w:gridCol w:w="806"/>
        <w:gridCol w:w="212"/>
        <w:gridCol w:w="833"/>
        <w:gridCol w:w="109"/>
        <w:gridCol w:w="109"/>
        <w:gridCol w:w="109"/>
        <w:gridCol w:w="109"/>
        <w:gridCol w:w="281"/>
        <w:gridCol w:w="1103"/>
        <w:gridCol w:w="205"/>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115,978 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level of our revenues;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market demand, including changes in viewer consumption patterns, for our programming networks, our subscription streaming services, our programming (including our owned original programming and our film content) and our production services;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demand for advertising inventory and our ability to deliver guaranteed viewer ratings;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highly competitive nature of the cable, telecommunications, streaming and programming industries;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loss of any of our key personnel or artistic talent;</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impact and lingering effects of strikes, including those related to the Writers, Directors, and Screen Actors guilds;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security of our program rights and other electronic data;</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breaches or failures of our or our vendors’ information technology systems or products, including by cyber-attack, malware, data leakage, unauthorized access or theft, or other cybersecurity incidents;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our ability to maintain and renew distribution or affiliation agreements with distributors;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economic and business conditions and industry trends in the countries in which we operate, including fluctuations in inflation rates, recession risk, the impacts of tariffs, U.S. federal government shutdowns, and uncertainty regarding the foregoing;</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fluctuations in currency exchange rates and interest rates;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changes in domestic and foreign laws or regulations under which we operate;</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changes in laws or treaties relating to taxation, or the interpretation thereof, in the United States or in the countries in which we operate;</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impact of existing and proposed federal, state and international laws and regulations relating to data protection, privacy and security, including the European Union's General Data Protection Regulation ("GDPR"), the California Consumer Privacy Act ("CCPA") and other similar comprehensive privacy and security laws that have been or may be enacted in other states;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our substantial debt and high leverage, as well as our liquidity;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reduced access to, or inability to access, capital or credit markets, or significant increases in costs to borrow;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level of our expenses;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changes in our business strategy;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future acquisitions and dispositions of assets;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our ability to successfully acquire new businesses and, if acquired, to integrate, and implement our plan with respect to businesses we acquire;</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problems we may discover post-closing with the operations, including the internal controls and financial reporting process, of businesses we acquire;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outcome of litigation, arbitration and other proceedings or investigations;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whether pending uncompleted transactions, if any, are completed on the terms and at the times set forth (if at all);</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financial community and rating agency perceptions of our business, operations, financial condition and the industry in which we operate;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impairment charges related to our goodwill and other intangible assets;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impact of pandemics or other health emergencies on the economy and our business;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 xml:space="preserve">the direct and indirect impact of events that are outside our control, such as geopolitical conditions (including international wars or conflicts), political unrest in international markets, terrorist attacks, natural disasters and other similar events; and </w:t>
      </w:r>
    </w:p>
    <w:p>
      <w:pPr>
        <w:pStyle w:val="TextBody"/>
        <w:bidi w:val="0"/>
        <w:spacing w:lineRule="auto" w:line="288" w:before="0" w:after="60"/>
        <w:ind w:left="0" w:right="0" w:hanging="270"/>
        <w:jc w:val="left"/>
        <w:rPr/>
      </w:pPr>
      <w:r>
        <w:rPr>
          <w:color w:val="000000"/>
        </w:rPr>
        <w:t>•</w:t>
      </w:r>
      <w:r>
        <w:rPr>
          <w:rFonts w:ascii="Times New Roman;serif" w:hAnsi="Times New Roman;serif"/>
          <w:b w:val="false"/>
          <w:color w:val="000000"/>
          <w:sz w:val="20"/>
        </w:rPr>
        <w:t>the factors described under Item 1A, "Risk Factors" in our 2025 Annual Report on Form 10-K (the "2025 Form 10-K"), as filed with the Securities and Exchange Commission.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disclaim any obligation to update or revise the forward-looking statements contained herein, except as otherwise required by applicable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Introduction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2025 Form 10-K to enhance the understanding of our financial condition, changes in financial condition and results of our operations. Unless the context otherwise requires, all references to "we," "us," "our," "AMC Global Media" or the "Company" refer to AMC Global Media Inc., together with its subsidiaries. The MD&amp;A is organized as follows: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Business Overview.</w:t>
      </w:r>
      <w:r>
        <w:rPr>
          <w:color w:val="000000"/>
        </w:rPr>
        <w:t xml:space="preserve"> </w:t>
      </w:r>
      <w:r>
        <w:rPr>
          <w:rFonts w:ascii="Times New Roman;serif" w:hAnsi="Times New Roman;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Consolidated Results of Operations.</w:t>
      </w:r>
      <w:r>
        <w:rPr>
          <w:color w:val="000000"/>
        </w:rPr>
        <w:t xml:space="preserve"> </w:t>
      </w:r>
      <w:r>
        <w:rPr>
          <w:rFonts w:ascii="Times New Roman;serif" w:hAnsi="Times New Roman;serif"/>
          <w:b w:val="false"/>
          <w:color w:val="000000"/>
          <w:sz w:val="20"/>
        </w:rPr>
        <w:t>This section provides an analysis of our results of operations for the three and six months ended June 30, 2026 compared to the three and six months ended June 30, 2025. Our discussion is presented on both a consolidated and segment basis.</w:t>
      </w:r>
      <w:r>
        <w:rPr>
          <w:color w:val="000000"/>
          <w:shd w:fill="FFFFFF" w:val="clear"/>
        </w:rPr>
        <w:t xml:space="preserve"> </w:t>
      </w:r>
      <w:r>
        <w:rPr>
          <w:rFonts w:ascii="Times New Roman;serif" w:hAnsi="Times New Roman;serif"/>
          <w:b w:val="false"/>
          <w:color w:val="000000"/>
          <w:sz w:val="20"/>
          <w:shd w:fill="FFFFFF" w:val="clear"/>
        </w:rPr>
        <w:t>Our two segments are: (i) Domestic Operations and (ii) International.</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This section provides a discussion of our financial condition as of June 30, 2026, as well as an analysis of our cash flows for the six months ended June 30, 2026 and 2025. The discussion of our financial condition and liquidity also includes summaries of (i) our primary sources of liquidity and (ii) our contractual obligations that existed at June 30, 2026 as compared to December 31, 2025.</w:t>
      </w:r>
    </w:p>
    <w:p>
      <w:pPr>
        <w:pStyle w:val="TextBody"/>
        <w:bidi w:val="0"/>
        <w:spacing w:lineRule="auto" w:line="288" w:before="120" w:after="120"/>
        <w:ind w:left="0" w:right="0" w:firstLine="360"/>
        <w:jc w:val="both"/>
        <w:rPr/>
      </w:pPr>
      <w:r>
        <w:rPr>
          <w:rFonts w:ascii="Times New Roman;serif" w:hAnsi="Times New Roman;serif"/>
          <w:b w:val="false"/>
          <w:i/>
          <w:color w:val="000000"/>
          <w:sz w:val="20"/>
        </w:rPr>
        <w:t>Critical Accounting Policies and Estimates</w:t>
      </w:r>
      <w:r>
        <w:rPr>
          <w:rFonts w:ascii="Times New Roman;serif" w:hAnsi="Times New Roman;serif"/>
          <w:b w:val="false"/>
          <w:color w:val="000000"/>
          <w:sz w:val="20"/>
        </w:rPr>
        <w:t xml:space="preserve">. This section provides an update, if any, to our significant accounting policies or critical accounting estimates since December 31, 2025.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Financial Highlights</w:t>
      </w:r>
    </w:p>
    <w:p>
      <w:pPr>
        <w:pStyle w:val="TextBody"/>
        <w:bidi w:val="0"/>
        <w:spacing w:lineRule="auto" w:line="288" w:before="120" w:after="120"/>
        <w:ind w:left="0" w:right="0" w:firstLine="450"/>
        <w:jc w:val="both"/>
        <w:rPr/>
      </w:pPr>
      <w:r>
        <w:rPr>
          <w:rFonts w:ascii="Times New Roman;serif" w:hAnsi="Times New Roman;serif"/>
          <w:b w:val="false"/>
          <w:color w:val="000000"/>
          <w:sz w:val="20"/>
        </w:rPr>
        <w:t>The tables presented below set forth our consolidated revenues, net, operating income and adjusted operating income ("AOI")</w:t>
      </w:r>
      <w:r>
        <w:rPr>
          <w:rFonts w:ascii="Times New Roman;serif" w:hAnsi="Times New Roman;serif"/>
          <w:b w:val="false"/>
          <w:color w:val="000000"/>
          <w:sz w:val="13"/>
        </w:rPr>
        <w:t>1</w:t>
      </w:r>
      <w:r>
        <w:rPr>
          <w:rFonts w:ascii="Times New Roman;serif" w:hAnsi="Times New Roman;serif"/>
          <w:b w:val="false"/>
          <w:color w:val="000000"/>
          <w:sz w:val="20"/>
        </w:rPr>
        <w:t>, for the periods indicated.</w:t>
      </w:r>
    </w:p>
    <w:tbl>
      <w:tblPr>
        <w:tblW w:w="8415" w:type="dxa"/>
        <w:jc w:val="left"/>
        <w:tblInd w:w="0" w:type="dxa"/>
        <w:tblLayout w:type="fixed"/>
        <w:tblCellMar>
          <w:top w:w="28" w:type="dxa"/>
          <w:left w:w="28" w:type="dxa"/>
          <w:bottom w:w="28" w:type="dxa"/>
          <w:right w:w="28" w:type="dxa"/>
        </w:tblCellMar>
      </w:tblPr>
      <w:tblGrid>
        <w:gridCol w:w="883"/>
        <w:gridCol w:w="780"/>
        <w:gridCol w:w="782"/>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547,495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600,024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1,089,622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1,155,257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15,854</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64,469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47,115</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128,666</w:t>
            </w: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46,068</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109,386</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115,042</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213,871</w:t>
            </w:r>
            <w:r>
              <w:rPr>
                <w:color w:val="000000"/>
              </w:rPr>
              <w:t>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business through the following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Domestic Operations:</w:t>
      </w:r>
      <w:r>
        <w:rPr>
          <w:color w:val="000000"/>
        </w:rPr>
        <w:t xml:space="preserve"> </w:t>
      </w:r>
      <w:r>
        <w:rPr>
          <w:rFonts w:ascii="Times New Roman;serif" w:hAnsi="Times New Roman;serif"/>
          <w:b w:val="false"/>
          <w:color w:val="000000"/>
          <w:sz w:val="20"/>
        </w:rPr>
        <w:t>Consists of our streaming services, our five programming networks, our AMC Studios operation and our film distribution business. Our streaming services consist of AMC+ and our targeted subscription streaming services (Acorn TV, Shudder, Sundance Now, ALLBLK, HIDIVE and All Reality). Our programming networks are AMC, We TV, BBC America, IFC, and SundanceTV. Our AMC Studios operation produces original programming for our programming services and third parties and also licenses programming worldwide. Our film distribution business consists of Independent Film Company. The operating segment also includes AMC Networks Broadcasting &amp; Technology, our technical services business, which primarily services the programming networks.</w:t>
      </w:r>
    </w:p>
    <w:p>
      <w:pPr>
        <w:pStyle w:val="TextBody"/>
        <w:bidi w:val="0"/>
        <w:spacing w:lineRule="auto" w:line="288" w:before="120" w:after="240"/>
        <w:ind w:left="0" w:right="0" w:hanging="360"/>
        <w:jc w:val="both"/>
        <w:rPr/>
      </w:pPr>
      <w:r>
        <w:rPr>
          <w:color w:val="000000"/>
          <w:shd w:fill="FFFFFF" w:val="clear"/>
        </w:rPr>
        <w:t>•</w:t>
      </w:r>
      <w:r>
        <w:rPr>
          <w:rFonts w:ascii="Times New Roman;serif" w:hAnsi="Times New Roman;serif"/>
          <w:b w:val="false"/>
          <w:i/>
          <w:color w:val="000000"/>
          <w:sz w:val="20"/>
        </w:rPr>
        <w:t>International</w:t>
      </w:r>
      <w:r>
        <w:rPr>
          <w:rFonts w:ascii="Times New Roman;serif" w:hAnsi="Times New Roman;serif"/>
          <w:b w:val="false"/>
          <w:color w:val="000000"/>
          <w:sz w:val="20"/>
        </w:rPr>
        <w:t>: Consists of AMC Global Media International, our international programming businesses consisting of a portfolio of channels distributed around the world.</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Adjusted Operating Income is a non-GAAP financial measure. See the "Non-GAAP Financial Measures" section in this MD&amp;A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Domestic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our Domestic Operations segment, we earn revenue principally from: (i) subscription revenues in connection with the distribution of our programming through our streaming services and programming networks, (ii) the sale of advertising, and (iii) the licensing of our original programming to distributors, including the distribution of programming of Independent Film Company.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our subscription revenues are based on a per subscriber fee. The subscription revenues we earn vary from period to period, distributor to distributor and also vary among our streaming services and programming networks. Subscription revenues are generally based on the impact of renewals of distributor agreements and upon the number of each distributor's subscribers who receive our programming, referred to as viewing subscribers. Subscription fees for our services are generally paid by distributors and consumers on a monthly basis. In negotiating for additional subscribers or extended carriage, we have agreed, in some instances, to make payments to a distributor which we record as deferred carriage fees and which are amortized as a reduction of revenue over the period of the related affiliation agreement. We also may support the distributors' efforts to market our networks. We believe that these transactions generate a positive return on investment over the contract period.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units or the guarantee obligation contractually expires. Most of our advertising revenues vary based on the timing of our original programming series and the popularity of our programming as measured by Nielsen. Our domestic programming networks have advertisers representing companies in a broad range of sectors, including the automotive, restaurants/food, health, technology and telecommunications industries. We seek to increase our advertising revenues by increasing the rates we charge for such advertising, which depend in part on the overall distribution and popularity of our programming, including among desirable demographic groups as measured by Nielsen, the penetration of our services across digital platforms, including AVOD and FAST services, and the integration of our advanced advertising products.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and availability of programming to distributors.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The Walking Dead Universe Licensing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On July 30, 2026, we announced that we had entered into a license agreement with Netflix granting Netflix co-exclusive global streaming rights to all shows in The Walking Dead Universe, including all seasons of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Fear the Walking Dead</w:t>
      </w:r>
      <w:r>
        <w:rPr>
          <w:rFonts w:ascii="Times New Roman;serif" w:hAnsi="Times New Roman;serif"/>
          <w:b w:val="false"/>
          <w:color w:val="000000"/>
          <w:sz w:val="20"/>
        </w:rPr>
        <w:t xml:space="preserve">. We retain the global rights to exhibit the shows in The Walking Dead Universe on our own streaming services. Other shows in The Walking Dead Universe include: </w:t>
      </w:r>
      <w:r>
        <w:rPr>
          <w:rFonts w:ascii="Times New Roman;serif" w:hAnsi="Times New Roman;serif"/>
          <w:b w:val="false"/>
          <w:i/>
          <w:color w:val="000000"/>
          <w:sz w:val="20"/>
        </w:rPr>
        <w:t>The Walking Dead: Daryl Dixon</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Dead City</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World Beyond</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The Ones Who Live</w:t>
      </w:r>
      <w:r>
        <w:rPr>
          <w:rFonts w:ascii="Times New Roman;serif" w:hAnsi="Times New Roman;serif"/>
          <w:b w:val="false"/>
          <w:color w:val="000000"/>
          <w:sz w:val="20"/>
        </w:rPr>
        <w:t xml:space="preserve">; and </w:t>
      </w:r>
      <w:r>
        <w:rPr>
          <w:rFonts w:ascii="Times New Roman;serif" w:hAnsi="Times New Roman;serif"/>
          <w:b w:val="false"/>
          <w:i/>
          <w:color w:val="000000"/>
          <w:sz w:val="20"/>
        </w:rPr>
        <w:t>Tales of the Walking Dead</w:t>
      </w:r>
      <w:r>
        <w:rPr>
          <w:rFonts w:ascii="Times New Roman;serif" w:hAnsi="Times New Roman;serif"/>
          <w:b w:val="false"/>
          <w:color w:val="000000"/>
          <w:sz w:val="20"/>
        </w:rPr>
        <w:t xml:space="preserve">. The license agreement generally provides for a five-year term for each licensed show, with licenses for individual shows commencing on different dates in different geographic territories based on the expiration of streaming rights under our existing licenses. The co-exclusive license for the U.S. streaming rights to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begins on January 6, 2027 and the co-exclusive license for U.S. streaming rights to other series in the Walking Dead Universe begin at various times in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license agreement, Netflix will pay an aggregate content license fee of $500 million payable in quarterly cash installments over the five-year term, with approximately $25 million of such payments expected to be received in 2026. As a result of the extended payment terms, the aggregate revenue that we expect to recognize will be based on the present value of future payments which is estimated to be approximately $445 million.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opportunities for licensing our programming through digital distribution platforms, foreign distribution and home video services.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we will write off the excess to technical and operating expenses in the condensed consolidated statements of income (loss). Program rights with no future programming usefulness are substantively abandoned resulting in the write-off of remaining unamortized cost. There were no material program rights write-offs included in technical and operating expense for the three and six months ended June 30, 2026 and 2025. </w:t>
      </w:r>
    </w:p>
    <w:p>
      <w:pPr>
        <w:pStyle w:val="TextBody"/>
        <w:bidi w:val="0"/>
        <w:spacing w:lineRule="auto" w:line="288" w:before="120" w:after="120"/>
        <w:ind w:left="0" w:right="0" w:firstLine="36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International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our International segment, we earn revenue principally from subscription revenue in connection with the international distribution of programming and, to a lesser extent, the sale of advertising from our international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expenses and programming operating costs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international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we will write off the excess to technical and operating expenses in the condensed consolidated statements of income (loss). Program rights with no future programming usefulness are substantively abandoned, resulting in the write-off of remaining unamortized cost. There were no material programming write-offs included in technical and operating expense for the three and six months ended June 30, 2026 and 2025. For the three and six months ended June 30, 2025, $1.2 million and $4.7 million, respectively, of program write-offs were recorded to restructuring and other related charges, primarily related to the wind-down of a joint venture held by our U.K. business with operations in EMEA.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 to our Domestic Operations businesses, the most significant business challenges we expect to encounter in our International business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(i.e.,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Impact of Economic Conditions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performance is dependent, to a large extent, on general economic conditions, which can impact, among other things, our ability to manage our businesses effectively and our relative strength and leverage in the marketplace, with both suppliers and customers. Additionally, macroeconomic and geopolitical risks, particularly high inflation and interest rates, as well as potential or implemented tariffs and changes to the U.S. and other countries' trade policies, the direct and indirect impacts of international wars or conflicts, including the ongoing conflict involving Iran, and uncertainty regarding further changes to any of the foregoing, may adversely impact our results of operations, cash flows and financial position or our ability to refinance our indebtedness on terms favorable to us, or at all.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 and credit market disruptions, as well as other events such as pandemics or other health emergencies, inflation, tariffs and changes to the U.S. and other countries' trade policies, international conflict and recession, have in the past caused and could in the future cause market volatility and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presented and discussed below represent 100% of each operating segment's revenues, net and expenses. Where we have management control of an entity, we consolidate 100% of such entity in our condensed consolidated statements of income (loss) notwithstanding that a third-party owns an interest, which may be significant, in such entity. The noncontrolling owner's interest in the operating results of consolidated subsidiaries are reflected in net income attributable to noncontrolling interests in our condensed consolidated statements of income (loss).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and Six Months Ended June 30, 2026 and 2025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44"/>
        <w:gridCol w:w="649"/>
        <w:gridCol w:w="534"/>
        <w:gridCol w:w="211"/>
        <w:gridCol w:w="826"/>
        <w:gridCol w:w="109"/>
        <w:gridCol w:w="109"/>
        <w:gridCol w:w="109"/>
        <w:gridCol w:w="109"/>
        <w:gridCol w:w="211"/>
        <w:gridCol w:w="826"/>
        <w:gridCol w:w="109"/>
        <w:gridCol w:w="109"/>
        <w:gridCol w:w="109"/>
        <w:gridCol w:w="109"/>
        <w:gridCol w:w="267"/>
        <w:gridCol w:w="269"/>
        <w:gridCol w:w="367"/>
        <w:gridCol w:w="109"/>
        <w:gridCol w:w="109"/>
        <w:gridCol w:w="109"/>
        <w:gridCol w:w="211"/>
        <w:gridCol w:w="826"/>
        <w:gridCol w:w="109"/>
        <w:gridCol w:w="109"/>
        <w:gridCol w:w="109"/>
        <w:gridCol w:w="109"/>
        <w:gridCol w:w="211"/>
        <w:gridCol w:w="826"/>
        <w:gridCol w:w="109"/>
        <w:gridCol w:w="109"/>
        <w:gridCol w:w="109"/>
        <w:gridCol w:w="109"/>
        <w:gridCol w:w="267"/>
        <w:gridCol w:w="269"/>
        <w:gridCol w:w="420"/>
      </w:tblGrid>
      <w:tr>
        <w:trPr/>
        <w:tc>
          <w:tcPr>
            <w:tcW w:w="9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Technical and operating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AMC Global Media's stockholders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Absolute percentages greater than 100% and comparisons between positive and negative values or zero values are considered not meaningful.</w:t>
            </w:r>
          </w:p>
        </w:tc>
      </w:tr>
    </w:tbl>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 xml:space="preserve">creased 4.5% in our Domestic Operations segment primarily due to a decline in affiliate revenues from basic subscriber declines, partially offset by an increase in streaming revenues primarily due to the impact of price increases across our services. </w:t>
      </w: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creased 1.0% in our International segment primarily due to the wind-down of a joint venture that operated primarily in Poland and Africa, partially offset by the favorable impact of foreign currency translation. We expect linear subscriber declines to continue in our Domestic Operations segment, consistent with the declines across the cable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11.2% in our Domestic Operations segment primarily due to lower ratings and marketplace pricing as well as a now resolved system integration issue, partially offset by digital advertising growth. Advertising revenues increased 13.0% in our International segment primarily due to the outperformance of advertising in the fourth quarter of 2025 that has since returned to normal levels and the favorable impact of foreign currency translation. We generally expect advertising revenue to continue to decline as the advertising market gravitates toward other distribution platforms.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licensing and other revenues decreased 33.7% in our Domestic Operations segment primarily due to the timing and availability of deliveries in the period and the sale of our music catalog and additional revenues earned in connection with the production of Silo, a series originally produced by AMC Studios for a third party, that occurred in the second quarter of 2025. We expect content licensing revenues to vary in 2026 based on the timing and availability of our programming to distributors.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68" w:before="120" w:after="120"/>
        <w:ind w:left="0" w:right="0" w:firstLine="360"/>
        <w:jc w:val="both"/>
        <w:rPr/>
      </w:pP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 xml:space="preserve">creased 3.6% in our Domestic Operations segment primarily due to a decline in affiliate revenues from basic subscriber declines, partially offset by an increase in streaming revenues primarily due to the impact of price increases across our services. </w:t>
      </w:r>
      <w:r>
        <w:rPr>
          <w:rFonts w:ascii="Times New Roman;serif" w:hAnsi="Times New Roman;serif"/>
          <w:b w:val="false"/>
          <w:color w:val="000000"/>
          <w:sz w:val="20"/>
          <w:shd w:fill="FFFFFF" w:val="clear"/>
        </w:rPr>
        <w:t>Subscription revenues in</w:t>
      </w:r>
      <w:r>
        <w:rPr>
          <w:rFonts w:ascii="Times New Roman;serif" w:hAnsi="Times New Roman;serif"/>
          <w:b w:val="false"/>
          <w:color w:val="000000"/>
          <w:sz w:val="20"/>
        </w:rPr>
        <w:t xml:space="preserve">creased 1.3% in our International segment primarily due to the favorable impact of foreign currency translation, partially offset by lower revenues primarily from the wind-down of a joint venture that operated primarily in Poland and Africa.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8.3% in our Domestic Operations segment primarily due to lower ratings and marketplace pricing as well as a now resolved system integration issue in the second quarter of 2026, partially offset by digital advertising growth. Advertising revenues increased 8.5% in our International segment primarily due to the outperformance of advertising in the fourth quarter of 2025 that has since returned to normal levels and the favorable impact of foreign currency translation</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Content licensing and other revenues decreased</w:t>
      </w:r>
      <w:r>
        <w:rPr>
          <w:color w:val="000000"/>
        </w:rPr>
        <w:t xml:space="preserve"> </w:t>
      </w:r>
      <w:r>
        <w:rPr>
          <w:rFonts w:ascii="Times New Roman;serif" w:hAnsi="Times New Roman;serif"/>
          <w:b w:val="false"/>
          <w:color w:val="000000"/>
          <w:sz w:val="20"/>
        </w:rPr>
        <w:t xml:space="preserve">21.3% in our Domestic Operations segment primarily due to the timing and availability of deliveries in the period and the sale of our music catalog and additional revenues earned in connection with the production of Silo, a series originally produced by AMC Studios for a third party, that occurred in the second quarter of 2025. </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Technical and operating expenses (excluding depreciation and amortization)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Technical and operating expenses primarily consist of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Technical and operating expenses (excluding depreciation and amortization) increased 1.9% in our Domestic Operations segment primarily due to higher other direct programming costs, partially offset by lower program rights amortization. Technical and operating expenses (excluding depreciation and amortization) increased 3.4% in our International segment due to higher program rights amortization driven by the unfavorable impact of foreign currency translation. </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Technical and operating expenses (excluding depreciation and amortization) increased 3.9% in our Domestic Operations segment primarily due to higher other direct programming costs and higher program rights amortization. Technical and operating expenses (excluding depreciation and amortization) increased 5.7% in our International segment due to higher program rights amortization driven by the unfavorable impact of foreign currency translation. </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our operating segments primarily consist of sales, marketing, research and advertising expenses, employee related costs (excluding share-based compensation), costs of non-production facilities, and an allocation of certain corporate overhead costs. Selling, general and administrative expenses on a consolidated basis also include share-based compensation and executive management and administrative support services not allocated to our operating segments, such as executive salaries and benefits costs, costs of maintaining our corporate headquarters, facilities and common support functions.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and may continue to be significant changes in the level of our selling, general and administrative expenses due to the timing of promotions and marketing of original programming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Selling, general and administrative expenses increased 2.1% in our Domestic Operations segment primarily due to higher marketing expenses associated with increased media spend for the premiere season of </w:t>
      </w:r>
      <w:r>
        <w:rPr>
          <w:rFonts w:ascii="Times New Roman;serif" w:hAnsi="Times New Roman;serif"/>
          <w:b w:val="false"/>
          <w:i/>
          <w:color w:val="000000"/>
          <w:sz w:val="20"/>
        </w:rPr>
        <w:t xml:space="preserve">The Audacity </w:t>
      </w:r>
      <w:r>
        <w:rPr>
          <w:rFonts w:ascii="Times New Roman;serif" w:hAnsi="Times New Roman;serif"/>
          <w:b w:val="false"/>
          <w:color w:val="000000"/>
          <w:sz w:val="20"/>
        </w:rPr>
        <w:t xml:space="preserve">and an increase in corporate allocated employee related costs partially offset by lower committed advertising spend with customers from contract renewals. Selling, general and administrative expenses increased 8.3% in our International segment primarily due to an increase in revenue share fees and commissions in the U.K. driven by the outperformance of advertising in the fourth quarter of 2025 that has since returned to normal levels and the unfavorable impact of foreign currency translation.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Unallocated corporate overhead costs decreased 3.0% to $29.7 million primarily due to lower employee related costs.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68" w:before="120" w:after="120"/>
        <w:ind w:left="0" w:right="0" w:firstLine="360"/>
        <w:jc w:val="both"/>
        <w:rPr/>
      </w:pPr>
      <w:r>
        <w:rPr>
          <w:rFonts w:ascii="Times New Roman;serif" w:hAnsi="Times New Roman;serif"/>
          <w:b w:val="false"/>
          <w:color w:val="000000"/>
          <w:sz w:val="20"/>
        </w:rPr>
        <w:t xml:space="preserve">Selling, general and administrative expenses increased 1.0% in our Domestic Operations segment primarily due to higher marketing expenses associated with increased media spend for the premiere season of </w:t>
      </w:r>
      <w:r>
        <w:rPr>
          <w:rFonts w:ascii="Times New Roman;serif" w:hAnsi="Times New Roman;serif"/>
          <w:b w:val="false"/>
          <w:i/>
          <w:color w:val="000000"/>
          <w:sz w:val="20"/>
        </w:rPr>
        <w:t>The Audacity,</w:t>
      </w:r>
      <w:r>
        <w:rPr>
          <w:color w:val="000000"/>
        </w:rPr>
        <w:t xml:space="preserve"> </w:t>
      </w:r>
      <w:r>
        <w:rPr>
          <w:rFonts w:ascii="Times New Roman;serif" w:hAnsi="Times New Roman;serif"/>
          <w:b w:val="false"/>
          <w:color w:val="000000"/>
          <w:sz w:val="20"/>
        </w:rPr>
        <w:t>an increase in corporate allocated employee related costs and an increase in legal fees, partially offset by lower committed advertising spend with customers from contract renewals.</w:t>
      </w:r>
      <w:r>
        <w:rPr>
          <w:color w:val="000000"/>
        </w:rPr>
        <w:t xml:space="preserve"> </w:t>
      </w:r>
      <w:r>
        <w:rPr>
          <w:rFonts w:ascii="Times New Roman;serif" w:hAnsi="Times New Roman;serif"/>
          <w:b w:val="false"/>
          <w:color w:val="000000"/>
          <w:sz w:val="20"/>
        </w:rPr>
        <w:t>Selling, general and administrative expenses increased 11.9% in our International segment primarily due to the unfavorable impact of foreign currency translation, a decrease in costs allocable to the Domestic Operations segment and an increase in revenue share fees and commissions in the U.K. driven by the outperformance of advertising in the fourth quarter of 2025 that has since returned to normal levels.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Unallocated corporate overhead costs remained flat at $59.9 million.</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Depreciation and amortization expenses</w:t>
      </w:r>
    </w:p>
    <w:p>
      <w:pPr>
        <w:pStyle w:val="TextBody"/>
        <w:bidi w:val="0"/>
        <w:spacing w:lineRule="auto" w:line="26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include depreciation of fixed assets and amortization of finite-lived intangible assets.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decreased primarily due to the retirement of broadcasting and technology assets in the second quarter of 2025 related to the outsourcing of back-end content distribution in our Domestic Operations segment as well as reduced depreciation on leasehold improvements at our corporate headquarters associated with the extension of our lease in December 2025.</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and other related charges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w:t>
      </w:r>
    </w:p>
    <w:p>
      <w:pPr>
        <w:pStyle w:val="TextBody"/>
        <w:bidi w:val="0"/>
        <w:spacing w:lineRule="auto" w:line="26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 xml:space="preserve">$1.3 million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 xml:space="preserve">he three months ended June 30, 2026, with $0.8 million associated with the Company's ongoing restructuring plan in our International segment (the "International Plan"), which for the quarter consisted primarily of workforce reductions in Latin America, and $0.5 million related to the Company's voluntary buyout program for U.S. employees, which was announced in October 2025. </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p>
      <w:pPr>
        <w:pStyle w:val="TextBody"/>
        <w:bidi w:val="0"/>
        <w:spacing w:lineRule="auto" w:line="268"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w:t>
      </w:r>
      <w:r>
        <w:rPr>
          <w:rFonts w:ascii="Times New Roman;serif" w:hAnsi="Times New Roman;serif"/>
          <w:b w:val="false"/>
          <w:color w:val="000000"/>
          <w:sz w:val="20"/>
        </w:rPr>
        <w:t xml:space="preserve">$5.7 million </w:t>
      </w:r>
      <w:r>
        <w:rPr>
          <w:rFonts w:ascii="Times New Roman;serif" w:hAnsi="Times New Roman;serif"/>
          <w:b w:val="false"/>
          <w:color w:val="000000"/>
          <w:sz w:val="20"/>
          <w:shd w:fill="FFFFFF" w:val="clear"/>
        </w:rPr>
        <w:t>for t</w:t>
      </w:r>
      <w:r>
        <w:rPr>
          <w:rFonts w:ascii="Times New Roman;serif" w:hAnsi="Times New Roman;serif"/>
          <w:b w:val="false"/>
          <w:color w:val="000000"/>
          <w:sz w:val="20"/>
        </w:rPr>
        <w:t>he six months ended June 30, 2026, with $3.2 million related to the Company's voluntary buyout program for U.S. employees and $2.5 million associated with the International Plan, which consisted primarily of workforce reductions in Latin America.</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2025</w:t>
      </w:r>
    </w:p>
    <w:p>
      <w:pPr>
        <w:pStyle w:val="TextBody"/>
        <w:bidi w:val="0"/>
        <w:spacing w:lineRule="auto" w:line="276" w:before="120" w:after="120"/>
        <w:ind w:left="0" w:right="0" w:firstLine="360"/>
        <w:jc w:val="both"/>
        <w:rPr/>
      </w:pPr>
      <w:r>
        <w:rPr>
          <w:rFonts w:ascii="Times New Roman;serif" w:hAnsi="Times New Roman;serif"/>
          <w:b w:val="false"/>
          <w:color w:val="000000"/>
          <w:sz w:val="20"/>
          <w:shd w:fill="FFFFFF" w:val="clear"/>
        </w:rPr>
        <w:t xml:space="preserve">Restructuring and other related charges were $3.5 million and $8.3 million for the three and six months ended June 30, 2025, respectively, primarily related to the </w:t>
      </w:r>
      <w:r>
        <w:rPr>
          <w:rFonts w:ascii="Times New Roman;serif" w:hAnsi="Times New Roman;serif"/>
          <w:b w:val="false"/>
          <w:color w:val="000000"/>
          <w:sz w:val="20"/>
        </w:rPr>
        <w:t>wind-down of a joint venture that operated primarily in Poland and Africa</w:t>
      </w:r>
      <w:r>
        <w:rPr>
          <w:color w:val="000000"/>
          <w:shd w:fill="FFFFFF" w:val="clear"/>
        </w:rPr>
        <w:t xml:space="preserve"> </w:t>
      </w:r>
      <w:r>
        <w:rPr>
          <w:rFonts w:ascii="Times New Roman;serif" w:hAnsi="Times New Roman;serif"/>
          <w:b w:val="false"/>
          <w:color w:val="000000"/>
          <w:sz w:val="20"/>
          <w:shd w:fill="FFFFFF" w:val="clear"/>
        </w:rPr>
        <w:t xml:space="preserve">as part of our International segment, as well as the commencement of the International Plan in Southern Europe. </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income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operating income was primarily attributable to a $52.5 million decrease in revenues,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operating income was primarily attributable to a $65.6 million decrease in revenues, net, and a $20.7 million increase in technical and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interest expense was primarily due to an increase in average interest rates associated with the July 2025 issuance of our 10.50% Senior Secured Notes due 2032, (the “2032 Notes”) and the March 2026 issuance of additional 2032 Notes in the private exchange offer (the “Exchange Offer”) with respect to our outstanding 10.25% Senior Secured Notes due 2029 (the “2029 Notes”), partially offset by lower outstanding balances under our Term Loan A facility (the "Term Loan A Facility") under our credit agreement (the “Credit Agreement”) and our 4.25% Senior Notes due 2029 (the “Senior Notes”).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was primarily due to the impact of lower outstanding balances under our Term Loan A Facility and the Senior Notes, partially offset by an increase in average interest rates associated with the 2032 Notes and the Exchange Offer with respect to our outstanding 2029 Notes.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was primarily attributable to lower average cash balances and lower interest rates for our money market fund accounts.</w:t>
      </w:r>
    </w:p>
    <w:p>
      <w:pPr>
        <w:pStyle w:val="TextBody"/>
        <w:bidi w:val="0"/>
        <w:spacing w:lineRule="auto" w:line="26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(loss) on extinguishment of debt,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2026</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repaid the $80.0 million remaining balance under the Term Loan A Facility and terminated our revolving credit facility (the "Revolving Credit Facility"). In connection with the repayment, we recorded a charge of $3.1 million, comprised of the write-off of the remaining unamortized discount and deferred financing costs and additional expenses associated with the repayment and the termination of the Credit Agreement. Additionally, we redeemed all of our remaining outstanding 2029 Notes, totaling approximately $13.7 million in aggregate principal amount during the second quarter of 2026. The 2029 Notes were redeemed at a redemption price equal to 105.125% of the principal amount, resulting in a $0.7 million charge.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repurchased $99.1 million principal amount of our outstanding Senior Notes through open market repurchases, at a discount of $26.7 million, and retired the repurchased notes. We recorded a $25.8 million gain which reflects the discount, net of $0.9 million to write off a portion of the unamortized discount and deferred financing costs associated with the Senior Notes.</w:t>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Miscellaneous, net </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miscellaneous, net was primarily related to the impact of foreign currency fluctuations.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miscellaneous, net was primarily related to third-party fees of $16.7 million specifically attributable to the Exchange Offer and the impact of foreign currency fluctuations.</w:t>
      </w:r>
    </w:p>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 expense (benefit)</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we are required to use an estimated annual effective rate to measure the tax benefit or tax expense recognized in an interim period. The estimated annual effective rate is revised on a quarterly basis.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income tax benefit was $4.7 million on a loss from operations before income taxes of $24.4 million, representing an effective rate of 19%. Items resulting in variances from the federal statutory rate of 21% primarily consisted of state and local income tax expense, tax expense related to non-deductible compensation, and tax expense, including interest, related to an increase in uncertain tax positions, partially offset by a tax benefit from foreign operations and a tax benefit related to foreign-derived deduction eligible income.</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income tax expense was $16.1 million on income from operations before income taxes of $68.8 million, representing an effective tax rate of 23%. The variance from the federal statutory rate of 21% primarily consisted of state and local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income tax benefit was $11.4 million on a loss from operations before income taxes of $48.3 million, representing an effective rate of 24%. Items resulting in variances from the federal statutory rate of 21% primarily consisted of state and local income tax expense, tax expense related to non-deductible compensation, and tax expense, including interest, related to an increase in uncertain tax positions, partially offset by a tax benefit from foreign operations and a tax benefit related to foreign-derived deduction eligible income.</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income tax expense was $31.0 million on income from operations before income taxes of $105.9 million, representing an effective tax rate of 29%. Items resulting in variances from the federal statutory rate of 21% primarily consisted of state and local income tax expense, tax expense related to share-based compensation, tax expense for an increase in the valuation allowance for foreign taxes and tax expense related to non-deductible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consolidated basis. The segment financial information set forth below, including the discussion related to the individual line items, does not reflect inter-segment eliminations unless specifically indicated.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Domestic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Domestic Operations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93"/>
        <w:gridCol w:w="543"/>
        <w:gridCol w:w="412"/>
        <w:gridCol w:w="213"/>
        <w:gridCol w:w="834"/>
        <w:gridCol w:w="110"/>
        <w:gridCol w:w="110"/>
        <w:gridCol w:w="110"/>
        <w:gridCol w:w="110"/>
        <w:gridCol w:w="213"/>
        <w:gridCol w:w="834"/>
        <w:gridCol w:w="110"/>
        <w:gridCol w:w="110"/>
        <w:gridCol w:w="110"/>
        <w:gridCol w:w="110"/>
        <w:gridCol w:w="110"/>
        <w:gridCol w:w="266"/>
        <w:gridCol w:w="269"/>
        <w:gridCol w:w="370"/>
        <w:gridCol w:w="110"/>
        <w:gridCol w:w="110"/>
        <w:gridCol w:w="110"/>
        <w:gridCol w:w="213"/>
        <w:gridCol w:w="834"/>
        <w:gridCol w:w="110"/>
        <w:gridCol w:w="110"/>
        <w:gridCol w:w="110"/>
        <w:gridCol w:w="110"/>
        <w:gridCol w:w="213"/>
        <w:gridCol w:w="834"/>
        <w:gridCol w:w="110"/>
        <w:gridCol w:w="110"/>
        <w:gridCol w:w="110"/>
        <w:gridCol w:w="110"/>
        <w:gridCol w:w="109"/>
        <w:gridCol w:w="263"/>
        <w:gridCol w:w="266"/>
        <w:gridCol w:w="426"/>
      </w:tblGrid>
      <w:tr>
        <w:trPr/>
        <w:tc>
          <w:tcPr>
            <w:tcW w:w="89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64" w:type="dxa"/>
            <w:gridSpan w:val="4"/>
            <w:tcBorders/>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526,853 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941,077 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1,013,160 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Technical and operating expenses (excluding depreciation and amortization)</w:t>
            </w:r>
            <w:r>
              <w:rPr>
                <w:rFonts w:ascii="Times New Roman;serif" w:hAnsi="Times New Roman;serif"/>
                <w:b w:val="false"/>
                <w:color w:val="000000"/>
                <w:sz w:val="13"/>
              </w:rPr>
              <w:t>(a)</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(b)</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Majority-owned equity investees AOI</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250,263 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41"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Technical and operating expenses exclude cloud computing amortization</w:t>
            </w:r>
          </w:p>
        </w:tc>
        <w:tc>
          <w:tcPr>
            <w:tcW w:w="1064" w:type="dxa"/>
            <w:gridSpan w:val="4"/>
            <w:tcBorders/>
          </w:tcPr>
          <w:p>
            <w:pPr>
              <w:pStyle w:val="TableContents"/>
              <w:bidi w:val="0"/>
              <w:spacing w:before="0" w:after="283"/>
              <w:jc w:val="left"/>
              <w:rPr>
                <w:sz w:val="4"/>
                <w:szCs w:val="4"/>
              </w:rPr>
            </w:pPr>
            <w:r>
              <w:rPr>
                <w:sz w:val="4"/>
                <w:szCs w:val="4"/>
              </w:rPr>
            </w:r>
          </w:p>
        </w:tc>
      </w:tr>
      <w:tr>
        <w:trPr/>
        <w:tc>
          <w:tcPr>
            <w:tcW w:w="9141"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Selling, general and administrative expenses exclude equity-classified share-based compensation expenses, liability-classified share-based compensation expenses for non-employee directors and cloud computing amortization</w:t>
            </w:r>
          </w:p>
        </w:tc>
        <w:tc>
          <w:tcPr>
            <w:tcW w:w="1064"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w:t>
      </w:r>
      <w:r>
        <w:rPr>
          <w:color w:val="000000"/>
        </w:rPr>
        <w:t xml:space="preserve"> </w:t>
      </w:r>
      <w:r>
        <w:rPr>
          <w:rFonts w:ascii="Times New Roman;serif" w:hAnsi="Times New Roman;serif"/>
          <w:b w:val="false"/>
          <w:color w:val="000000"/>
          <w:sz w:val="20"/>
        </w:rPr>
        <w:t xml:space="preserve">decreased primarily due to a 16.6% decline in affiliate revenues, partially offset by a 6.3% increase in streaming revenues. Affiliate revenues decreased primarily due to basic subscriber declines, while streaming revenues increased primarily due to the impact of price increases across our services. Revenues related to the Company's streaming services were $179.7 million and $169.0 million for the three months ended June 30, 2026 and 2025, respectively.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revenues decreased primarily due to lower ratings and marketplace pricing as well as a now resolved system integration issue, partially offset by digital advertising growth. </w:t>
      </w:r>
    </w:p>
    <w:p>
      <w:pPr>
        <w:pStyle w:val="TextBody"/>
        <w:bidi w:val="0"/>
        <w:spacing w:lineRule="auto" w:line="276" w:before="120" w:after="180"/>
        <w:ind w:left="0" w:right="0" w:firstLine="360"/>
        <w:jc w:val="both"/>
        <w:rPr/>
      </w:pPr>
      <w:r>
        <w:rPr>
          <w:rFonts w:ascii="Times New Roman;serif" w:hAnsi="Times New Roman;serif"/>
          <w:b w:val="false"/>
          <w:color w:val="000000"/>
          <w:sz w:val="20"/>
          <w:shd w:fill="FFFFFF" w:val="clear"/>
        </w:rPr>
        <w:t>Content licensing and other revenues</w:t>
      </w:r>
      <w:r>
        <w:rPr>
          <w:color w:val="000000"/>
        </w:rPr>
        <w:t xml:space="preserve"> </w:t>
      </w:r>
      <w:r>
        <w:rPr>
          <w:rFonts w:ascii="Times New Roman;serif" w:hAnsi="Times New Roman;serif"/>
          <w:b w:val="false"/>
          <w:color w:val="000000"/>
          <w:sz w:val="20"/>
        </w:rPr>
        <w:t>decreased primarily due to the timing and availability of deliveries in the period and the sale of our music catalog and additional revenues earned in connection with the production of Silo, a series originally produced by AMC Studios for a third party, that occurred in the second quarter of 2025.</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w:t>
      </w:r>
      <w:r>
        <w:rPr>
          <w:color w:val="000000"/>
        </w:rPr>
        <w:t xml:space="preserve"> </w:t>
      </w:r>
      <w:r>
        <w:rPr>
          <w:rFonts w:ascii="Times New Roman;serif" w:hAnsi="Times New Roman;serif"/>
          <w:b w:val="false"/>
          <w:color w:val="000000"/>
          <w:sz w:val="20"/>
        </w:rPr>
        <w:t xml:space="preserve">decreased primarily due to a 16.3% decline in affiliate revenues, partially offset by a 8.4% increase in streaming revenues. Affiliate revenues decreased primarily due to basic subscriber declines, while streaming revenues increased primarily due to the impact of price increases across our services. Revenues related to the Company's streaming services were $353.6 million and $326.1 million for the six months ended June 30, 2026 and 2025, respectively.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decreased primarily due to lower ratings and marketplace pricing as well as a now resolved system integration issue in the second quarter of 2026, partially offset by digital advertising growth.</w:t>
      </w:r>
    </w:p>
    <w:p>
      <w:pPr>
        <w:pStyle w:val="TextBody"/>
        <w:bidi w:val="0"/>
        <w:spacing w:lineRule="auto" w:line="276" w:before="120" w:after="180"/>
        <w:ind w:left="0" w:right="0" w:firstLine="360"/>
        <w:jc w:val="both"/>
        <w:rPr/>
      </w:pPr>
      <w:r>
        <w:rPr>
          <w:rFonts w:ascii="Times New Roman;serif" w:hAnsi="Times New Roman;serif"/>
          <w:b w:val="false"/>
          <w:color w:val="000000"/>
          <w:sz w:val="20"/>
          <w:shd w:fill="FFFFFF" w:val="clear"/>
        </w:rPr>
        <w:t>Content licensing and other revenues</w:t>
      </w:r>
      <w:r>
        <w:rPr>
          <w:color w:val="000000"/>
        </w:rPr>
        <w:t xml:space="preserve"> </w:t>
      </w:r>
      <w:r>
        <w:rPr>
          <w:rFonts w:ascii="Times New Roman;serif" w:hAnsi="Times New Roman;serif"/>
          <w:b w:val="false"/>
          <w:color w:val="000000"/>
          <w:sz w:val="20"/>
        </w:rPr>
        <w:t>decreased primarily due to the timing and availability of deliveries in the period and the sale of our music catalog and additional revenues in connection with the production of Silo, a series originally produced by AMC Studios for a third party, that occurred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Technical and operating expenses (excluding depreciation and amortization)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increased primarily due to higher other direct programming costs, partially offset by lower program rights amortization.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increased primarily due to higher other direct programming costs and higher program rights amortization.</w:t>
      </w:r>
    </w:p>
    <w:p>
      <w:pPr>
        <w:pStyle w:val="TextBody"/>
        <w:bidi w:val="0"/>
        <w:spacing w:lineRule="auto" w:line="26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80"/>
        <w:ind w:left="0" w:right="0" w:firstLine="360"/>
        <w:jc w:val="both"/>
        <w:rPr/>
      </w:pPr>
      <w:r>
        <w:rPr>
          <w:rFonts w:ascii="Times New Roman;serif" w:hAnsi="Times New Roman;serif"/>
          <w:b w:val="false"/>
          <w:color w:val="000000"/>
          <w:sz w:val="20"/>
        </w:rPr>
        <w:t xml:space="preserve">Selling, general and administrative expenses increased primarily due to higher marketing expenses associated with increased media spend for the premiere season of </w:t>
      </w:r>
      <w:r>
        <w:rPr>
          <w:rFonts w:ascii="Times New Roman;serif" w:hAnsi="Times New Roman;serif"/>
          <w:b w:val="false"/>
          <w:i/>
          <w:color w:val="000000"/>
          <w:sz w:val="20"/>
        </w:rPr>
        <w:t xml:space="preserve">The Audacity </w:t>
      </w:r>
      <w:r>
        <w:rPr>
          <w:rFonts w:ascii="Times New Roman;serif" w:hAnsi="Times New Roman;serif"/>
          <w:b w:val="false"/>
          <w:color w:val="000000"/>
          <w:sz w:val="20"/>
        </w:rPr>
        <w:t>and an increase in corporate allocated employee related costs, partially offset by lower committed advertising spend with customers from contract renewals.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80"/>
        <w:ind w:left="0" w:right="0" w:firstLine="360"/>
        <w:jc w:val="both"/>
        <w:rPr/>
      </w:pPr>
      <w:r>
        <w:rPr>
          <w:rFonts w:ascii="Times New Roman;serif" w:hAnsi="Times New Roman;serif"/>
          <w:b w:val="false"/>
          <w:color w:val="000000"/>
          <w:sz w:val="20"/>
        </w:rPr>
        <w:t xml:space="preserve">Selling, general and administrative expenses increased primarily due to higher marketing expenses associated with increased media spend for the premiere season of </w:t>
      </w:r>
      <w:r>
        <w:rPr>
          <w:rFonts w:ascii="Times New Roman;serif" w:hAnsi="Times New Roman;serif"/>
          <w:b w:val="false"/>
          <w:i/>
          <w:color w:val="000000"/>
          <w:sz w:val="20"/>
        </w:rPr>
        <w:t xml:space="preserve">The Audacity, </w:t>
      </w:r>
      <w:r>
        <w:rPr>
          <w:rFonts w:ascii="Times New Roman;serif" w:hAnsi="Times New Roman;serif"/>
          <w:b w:val="false"/>
          <w:color w:val="000000"/>
          <w:sz w:val="20"/>
        </w:rPr>
        <w:t xml:space="preserve">an increase in corporate allocated employee related costs and an increase in legal fees, partially offset by lower committed advertising spend with customers from contract renewals. </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adjusted operating income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2026 vs.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was primarily attributable to lower content licensing and other sales, the continued revenue declines in our linear businesses, an increase in technical and operating expenses (excluding depreciation and amortization), and an increase in media spend.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International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International segment results for the periods indicated.</w:t>
      </w:r>
    </w:p>
    <w:tbl>
      <w:tblPr>
        <w:tblW w:w="10205" w:type="dxa"/>
        <w:jc w:val="left"/>
        <w:tblInd w:w="0" w:type="dxa"/>
        <w:tblLayout w:type="fixed"/>
        <w:tblCellMar>
          <w:top w:w="28" w:type="dxa"/>
          <w:left w:w="28" w:type="dxa"/>
          <w:bottom w:w="28" w:type="dxa"/>
          <w:right w:w="28" w:type="dxa"/>
        </w:tblCellMar>
      </w:tblPr>
      <w:tblGrid>
        <w:gridCol w:w="948"/>
        <w:gridCol w:w="730"/>
        <w:gridCol w:w="617"/>
        <w:gridCol w:w="212"/>
        <w:gridCol w:w="727"/>
        <w:gridCol w:w="109"/>
        <w:gridCol w:w="109"/>
        <w:gridCol w:w="109"/>
        <w:gridCol w:w="109"/>
        <w:gridCol w:w="212"/>
        <w:gridCol w:w="727"/>
        <w:gridCol w:w="109"/>
        <w:gridCol w:w="109"/>
        <w:gridCol w:w="109"/>
        <w:gridCol w:w="109"/>
        <w:gridCol w:w="109"/>
        <w:gridCol w:w="256"/>
        <w:gridCol w:w="259"/>
        <w:gridCol w:w="370"/>
        <w:gridCol w:w="109"/>
        <w:gridCol w:w="109"/>
        <w:gridCol w:w="109"/>
        <w:gridCol w:w="212"/>
        <w:gridCol w:w="727"/>
        <w:gridCol w:w="109"/>
        <w:gridCol w:w="109"/>
        <w:gridCol w:w="109"/>
        <w:gridCol w:w="109"/>
        <w:gridCol w:w="212"/>
        <w:gridCol w:w="727"/>
        <w:gridCol w:w="109"/>
        <w:gridCol w:w="109"/>
        <w:gridCol w:w="109"/>
        <w:gridCol w:w="109"/>
        <w:gridCol w:w="109"/>
        <w:gridCol w:w="267"/>
        <w:gridCol w:w="269"/>
        <w:gridCol w:w="444"/>
      </w:tblGrid>
      <w:tr>
        <w:trPr/>
        <w:tc>
          <w:tcPr>
            <w:tcW w:w="94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89" w:type="dxa"/>
            <w:gridSpan w:val="4"/>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(a)</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6"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Selling, general and administrative expenses exclude equity-classified share-based compensation expenses and liability-classified share-based compensation expenses for non-employee directors.</w:t>
            </w:r>
          </w:p>
        </w:tc>
        <w:tc>
          <w:tcPr>
            <w:tcW w:w="1089"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 net</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68" w:before="120" w:after="120"/>
        <w:ind w:left="0" w:right="0" w:firstLine="360"/>
        <w:jc w:val="both"/>
        <w:rPr/>
      </w:pPr>
      <w:r>
        <w:rPr>
          <w:rFonts w:ascii="Times New Roman;serif" w:hAnsi="Times New Roman;serif"/>
          <w:b w:val="false"/>
          <w:color w:val="000000"/>
          <w:sz w:val="20"/>
          <w:shd w:fill="FFFFFF" w:val="clear"/>
        </w:rPr>
        <w:t>Subscription revenues de</w:t>
      </w:r>
      <w:r>
        <w:rPr>
          <w:rFonts w:ascii="Times New Roman;serif" w:hAnsi="Times New Roman;serif"/>
          <w:b w:val="false"/>
          <w:color w:val="000000"/>
          <w:sz w:val="20"/>
        </w:rPr>
        <w:t>creased 1.0% primarily due to the wind-down of a joint venture that operated primarily in Poland and Africa, partially offset by the favorable impact of foreign currency translation. Excluding the impact of foreign currency translation, subscription revenues decreased 3.3%.</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increased 13.0% primarily due to the outperformance of advertising in the fourth quarter of 2025 that has since returned to normal levels and the favorable impact of foreign currency translation. Excluding the impact of foreign currency translation, advertising revenues increased 11.1%.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Subscription revenues in</w:t>
      </w:r>
      <w:r>
        <w:rPr>
          <w:rFonts w:ascii="Times New Roman;serif" w:hAnsi="Times New Roman;serif"/>
          <w:b w:val="false"/>
          <w:color w:val="000000"/>
          <w:sz w:val="20"/>
        </w:rPr>
        <w:t>creased 1.3% primarily due to the favorable impact of foreign currency translation. Excluding the impact of foreign currency translation, subscription revenues decreased 4.3% primarily from the wind-down of a joint venture that operated primarily in Poland and Africa.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revenues increased 8.5% primarily due to the outperformance of advertising in the fourth quarter of 2025 that has since returned to normal levels and the favorable impact of foreign currency translation. Excluding the impact of foreign currency translation, advertising revenues increased 3.5%.</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Technical and operating expenses (excluding depreciation and amortization)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increased 3.4% due to higher program rights amortization driven by the unfavorable impact of foreign currency translation. Excluding the impact of foreign currency translation, technical and operating expenses (excluding depreciation and amortization) increased 0.4%.</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Technical and operating expenses (excluding depreciation and amortization) increased 5.7% due to higher program rights amortization driven by the unfavorable impact of foreign currency translation. Excluding the impact of foreign currency translation, technical and operating expenses (excluding depreciation and amortization) decreased 0.9%.</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8.3% primarily due to an increase in revenue share fees and commissions in the U.K. driven by the outperformance of advertising in the fourth quarter of 2025 that has since returned to normal levels and the unfavorable impact of foreign currency translation. Excluding the impact of foreign currency translation, selling, general and administrative expenses increased 4.6%.</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vs. 2025</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11.9% primarily due to the unfavorable impact of foreign currency translation, a decrease in costs allocable to the Domestic Operations segment and an increase in revenue share fees and commissions in the U.K. driven by the outperformance of advertising in the fourth quarter of 2025 that has since returned to normal levels. Excluding the impact of foreign currency translation, selling, general and administrative expenses increased 4.9%.</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adjusted operating income</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Three and six months ended June 30, 2026 vs. 2025</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adjusted operating income decreased primarily due to lower subscription revenues and higher selling, general and administrative expenses, excluding the impact of foreign currency translation.</w:t>
      </w:r>
    </w:p>
    <w:p>
      <w:pPr>
        <w:pStyle w:val="TextBody"/>
        <w:bidi w:val="0"/>
        <w:spacing w:before="12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and cash equivalents balance of $464.0 million included approximately $136.5 million held by foreign subsidiaries. Of this amount, approximately $22.5 million is expected to be repatriated to the United States with the remaining amount continuing to be reinvested in foreign operations. Tax expense related to the expected repatriation amount has been accrued and we do not expect to incur any significant, additional taxes related to the remaining balance.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is cash flow from operations. Sources of cash also may include, subject to market conditions, access to capital and credit markets. As a public company, we may have access to capital and credit markets, although adverse conditions in the financial markets have in the past impacted, and are expected in the future to impact, access to those markets.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 combination of cash-on-hand, cash generated from operating activities, availability under our accounts receivable monetization program and proceeds 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combined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cash-on-hand,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Transactions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2026, we commenced the Exchange Offer and related consent solicitation (the “Consent Solicitation”) with respect to our outstanding 2029 Notes. Pursuant to the Exchange Offer, we offered to issue additional 2032 Notes in exchange for any and all of the $875 million aggregate principal amount of 2029 Notes held by eligible holders. In addition, pursuant to the Consent Solicitation, we solicited consents from eligible holders to amend certain of the covenants in the indenture governing the 2029 Notes. For 2029 Notes tendered and not validly withdrawn before 5:00 p.m., New York City time, on March 6, 2026 (the "Early Tender Time"), eligible holders received the “Total Consideration” of $1,065 in aggregate principal amount of 2032 Notes (including an early tender premium of $50 in principal amount of 2032 Notes) for each $1,000 principal amount of 2029 Notes validly tendered and accepted for exchange by the Company. For 2029 Notes tendered after the Early Tender Time and on or before 5:00 p.m., New York City time, on March 23, 2026 (the “Expiration Time”), eligible holders received the “Exchange Consideration” of $1,015 in aggregate principal amount of 2032 Notes for each $1,000 principal amount of 2029 Notes validly tendered and accepted for exchange by the Company. The Total Consideration and Exchange Consideration, as applicable, were reduced by an amount equal to the result of (x) the aggregate amount of accrued and unpaid interest due on the 2032 Notes issued to eligible holders from and including the last interest payment date for the original 2032 Notes to but not including the applicable settlement date less (y) the aggregate amount of accrued and unpaid interest due on the 2029 Notes validly tendered and accepted by the Company from and including the last interest payment date for such 2029 Notes to but not including the applicable settlement date.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2026, we completed the early settlement of the Exchange Offer. As of the Early Tender Time, approximately $830.6 million in aggregate principal amount of outstanding 2029 Notes had been validly tendered and not validly withdrawn. In connection with early settlement of the Exchange Offer, we issued approximately $884 million in aggregate principal amount of the 2032 Notes.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25, 2026, we completed the final settlement of the Exchange Offer. As of the Expiration Time, an additional approximately $30.7 million in aggregate principal amount of 2029 Notes was validly tendered in the Exchange Offer. In connection with the final settlement of the Exchange Offer, we issued approximately $31.1 million in aggregate principal amount of 2032 Notes. All 2029 Notes exchanged were cancelled.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6, 2026, we redeemed all of our remaining outstanding 2029 Notes, totaling approximately $13.7 million in aggregate principal amount. The 2029 Notes were redeemed at a redemption price equal to 105.125% of the principal amount thereof, plus accrued and unpaid interest to, but excluding, the redemption date.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pursuant to the Credit Agreement, we repaid the $80.0 million remaining balance under the Term Loan A Facility and terminated the Revolving Credit Facility.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evaluate our liquidity profile in connection with our consideration of our funding and investment needs. Depending on market conditions, we may purchase, redeem, prepay, refinance, amend, exchange, extend or otherwise retire any amount of our outstanding indebtedness at any time and from time to time, in open market or privately negotiated transactions with the holders of such indebtedness or otherwise. We may decide not to proceed with any such transactions in light of market conditions or other relevant factors and, if we do proceed, the terms of any such transaction would be subject to market and other conditions.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of our debt covenants as of June 30,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2025 Form 10-K. 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Customer Chapter 11 Bankruptcy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one customer filed a voluntary petition for relief under Chapter 11 of the U.S. Bankruptcy Code. The proposed plan contemplates a significant deleveraging of the customer's balance sheet while generally providing for the payment of trade and other general unsecured claims. Concurrently with the Chapter 11 filing, the customer filed a motion requesting authority to pay prepetition ordinary-course claims with respect to which the we are named as a vendor.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bankruptcy court granted the motion on July 23, 2026. Based on the relief granted and our historical collection experience with the customer, we expect to fully recover our outstanding receivables due from the customer and continue business with the customer in the ordinary course. We do not currently expect the customer's Chapter 11 proceedings to have a material adverse effect on our liquidity.</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Repurchase Program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authorized a program to repurchase up to $1.5 billion of our outstanding Class A Common Stock (the "Stock Repurchase Program"). The Stock Repurchase Program has no pre-established termination date and may be suspended or discontinued at any time. On May 8, 2026, we entered into an accelerated share repurchase agreement (the “ASR Agreement”) with Citibank, N.A. (“Citibank”) to repurchase $30.0 million of our outstanding Class A Common Stock. We are conducting the accelerated share repurchase as part of our Stock Repurchase Program.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ASR Agreement, on May 11, 2026, we made an initial payment to Citibank of $30.0 million, and received an initial delivery of 2,727,272 shares of Class A Common Stock representing 80% of the total shares expected to be repurchased under the ASR Agreement (determined based on the closing price of the Class A Common Stock of $8.80 on May 8, 2026). The final number of shares to be repurchased will be based on the volume-weighted average price of the Class A Common Stock on specified dates during the term of the transaction, less a discount, and subject to customary adjustments pursuant to the terms and conditions of the ASR Agreement. At settlement, if the final number of shares to be repurchased is greater than the initial share delivery, Citibank will deliver additional shares of Class A Common Stock to us, or, if the final number of shares to be repurchased is less than the initial share delivery, we will be required to make a payment to Citibank, which at our option may be in the form of cash or shares of Class A Common Stock. The final settlement of the transaction is expected to occur in the fourth quarter of 2026, but may be completed earlier at Citibank’s election.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As of June 30, 2026, we had </w:t>
      </w:r>
      <w:r>
        <w:rPr>
          <w:rFonts w:ascii="Times New Roman;serif" w:hAnsi="Times New Roman;serif"/>
          <w:b w:val="false"/>
          <w:color w:val="000000"/>
          <w:sz w:val="20"/>
          <w:shd w:fill="FFFFFF" w:val="clear"/>
        </w:rPr>
        <w:t>$87.4 million</w:t>
      </w:r>
      <w:r>
        <w:rPr>
          <w:color w:val="000000"/>
        </w:rPr>
        <w:t xml:space="preserve"> </w:t>
      </w:r>
      <w:r>
        <w:rPr>
          <w:rFonts w:ascii="Times New Roman;serif" w:hAnsi="Times New Roman;serif"/>
          <w:b w:val="false"/>
          <w:color w:val="000000"/>
          <w:sz w:val="20"/>
        </w:rPr>
        <w:t>of authorization remaining for repurchase under the Stock Repurchase Program.</w:t>
      </w:r>
    </w:p>
    <w:p>
      <w:pPr>
        <w:pStyle w:val="TextBody"/>
        <w:bidi w:val="0"/>
        <w:spacing w:lineRule="auto" w:line="268" w:before="240" w:after="120"/>
        <w:ind w:left="0" w:right="0" w:firstLine="36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cash flows provided by (used in) operating, investing and financing activities for the periods indicated:</w:t>
      </w:r>
    </w:p>
    <w:tbl>
      <w:tblPr>
        <w:tblW w:w="8303" w:type="dxa"/>
        <w:jc w:val="left"/>
        <w:tblInd w:w="0" w:type="dxa"/>
        <w:tblLayout w:type="fixed"/>
        <w:tblCellMar>
          <w:top w:w="28" w:type="dxa"/>
          <w:left w:w="28" w:type="dxa"/>
          <w:bottom w:w="28" w:type="dxa"/>
          <w:right w:w="28" w:type="dxa"/>
        </w:tblCellMar>
      </w:tblPr>
      <w:tblGrid>
        <w:gridCol w:w="2038"/>
        <w:gridCol w:w="1798"/>
        <w:gridCol w:w="1803"/>
        <w:gridCol w:w="211"/>
        <w:gridCol w:w="826"/>
        <w:gridCol w:w="109"/>
        <w:gridCol w:w="109"/>
        <w:gridCol w:w="109"/>
        <w:gridCol w:w="109"/>
        <w:gridCol w:w="211"/>
        <w:gridCol w:w="82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63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Net cash provided by operating activities </w:t>
      </w: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amounted to </w:t>
      </w:r>
      <w:r>
        <w:rPr>
          <w:rFonts w:ascii="Times New Roman;serif" w:hAnsi="Times New Roman;serif"/>
          <w:b w:val="false"/>
          <w:color w:val="000000"/>
          <w:sz w:val="20"/>
        </w:rPr>
        <w:t>$124.7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$211.6 million</w:t>
      </w:r>
      <w:r>
        <w:rPr>
          <w:rFonts w:ascii="Times New Roman;serif" w:hAnsi="Times New Roman;serif"/>
          <w:b w:val="false"/>
          <w:color w:val="000000"/>
          <w:sz w:val="20"/>
          <w:shd w:fill="FFFFFF" w:val="clear"/>
        </w:rPr>
        <w:t xml:space="preserve">, respectively.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operating activities primarily resulted from $469.8 million of net income before amortization of program rights, depreciation and amortization, and other non-cash items, partially offset by payments for program rights of $343.1 million. Changes in all other assets and liabilities resulted in a net cash outflow of $2.0 million.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operating activities primarily resulted from $510.7 million of net income before amortization of program rights, depreciation and amortization, and other non-cash items, partially offset by payments for program rights of $331.5 million. Changes in all other assets and liabilities resulted in a net cash inflow of $32.4 million.</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Net cash used in investing activities </w:t>
      </w:r>
      <w:r>
        <w:rPr>
          <w:rFonts w:ascii="Times New Roman;serif" w:hAnsi="Times New Roman;serif"/>
          <w:b w:val="false"/>
          <w:color w:val="000000"/>
          <w:sz w:val="20"/>
        </w:rPr>
        <w:t>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amounted to </w:t>
      </w:r>
      <w:r>
        <w:rPr>
          <w:rFonts w:ascii="Times New Roman;serif" w:hAnsi="Times New Roman;serif"/>
          <w:b w:val="false"/>
          <w:color w:val="000000"/>
          <w:sz w:val="20"/>
        </w:rPr>
        <w:t>$17.3 million and $22.4 million, respectively, and primarily consisted of capital expenditures.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Net cash used in financing activities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amounted to </w:t>
      </w:r>
      <w:r>
        <w:rPr>
          <w:rFonts w:ascii="Times New Roman;serif" w:hAnsi="Times New Roman;serif"/>
          <w:b w:val="false"/>
          <w:color w:val="000000"/>
          <w:sz w:val="20"/>
        </w:rPr>
        <w:t>$138.2 million and $126.2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financing activities primarily related to payments on the Term Loan A Facility of $82.9 million, the purchase of treasury stock for $30.0 million, the redemption of our remaining 2029 Notes for $14.4 million, taxes paid in lieu of shares issued for equity-based compensation of $7.1 million and payments for financing costs associated with the consent solicitation to amend the indenture governing our 2032 Notes of $2.0 million.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financing activities primarily related to open-market repurchases of our Senior Notes of $72.4 million, principal payments on the Term Loan A Facility of $36.3 million and the purchase of treasury stock for $10.3 million.</w:t>
      </w:r>
    </w:p>
    <w:p>
      <w:pPr>
        <w:pStyle w:val="TextBody"/>
        <w:bidi w:val="0"/>
        <w:spacing w:lineRule="auto" w:line="276"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our contractual obligations not reflected on the condensed consolidated balance sheets increased $91.3 million, as compared to December 31, 2025, to $590.3 million. The increase was primarily related to commitments for marketing and third-party service contracts.</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the terms and conditions of the guarantees with respect to the notes outstanding as of June 30, 2026 for which AMC Global Media is the issuer. </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Note Guarantees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of AMC Global Media as of June 30, 2026 included $276.7 million of 4.25% Senior Notes due 2029, $143.8 million of 4.25% Convertible Senior Notes due 2029, and $1,315.1 million of 10.50% Senior Secured Notes due 2032 (collectively, the “notes”). The notes were issued by AMC Global Media and are unconditionally guaranteed, jointly and severally, on an unsecured basis, by each of AMC Global Media's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which resulted in the creation of the note guarantee (provided that such Guarantor Subsidiary does not have any preferred stock outstanding at such time that is not held by AMC Global Media or another Guarantor Subsidiary).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subsidiaries of AMC Global Media do not and will not guarantee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summarized financial information specified in Rule 1-02(bb)(1) of Regulation S-X for AMC Global Media and each Guarantor Subsidiary. The summarized financial information has been prepared in accordance with Rule 13-01 of Regulation S-X.</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Summarized Financial Information</w:t>
      </w:r>
    </w:p>
    <w:tbl>
      <w:tblPr>
        <w:tblW w:w="10205" w:type="dxa"/>
        <w:jc w:val="left"/>
        <w:tblInd w:w="0" w:type="dxa"/>
        <w:tblLayout w:type="fixed"/>
        <w:tblCellMar>
          <w:top w:w="28" w:type="dxa"/>
          <w:left w:w="28" w:type="dxa"/>
          <w:bottom w:w="28" w:type="dxa"/>
          <w:right w:w="28" w:type="dxa"/>
        </w:tblCellMar>
      </w:tblPr>
      <w:tblGrid>
        <w:gridCol w:w="973"/>
        <w:gridCol w:w="855"/>
        <w:gridCol w:w="858"/>
        <w:gridCol w:w="263"/>
        <w:gridCol w:w="990"/>
        <w:gridCol w:w="136"/>
        <w:gridCol w:w="110"/>
        <w:gridCol w:w="110"/>
        <w:gridCol w:w="110"/>
        <w:gridCol w:w="339"/>
        <w:gridCol w:w="1331"/>
        <w:gridCol w:w="175"/>
        <w:gridCol w:w="109"/>
        <w:gridCol w:w="109"/>
        <w:gridCol w:w="109"/>
        <w:gridCol w:w="280"/>
        <w:gridCol w:w="962"/>
        <w:gridCol w:w="145"/>
        <w:gridCol w:w="113"/>
        <w:gridCol w:w="113"/>
        <w:gridCol w:w="113"/>
        <w:gridCol w:w="335"/>
        <w:gridCol w:w="1313"/>
        <w:gridCol w:w="2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Statement</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686" w:type="dxa"/>
            <w:gridSpan w:val="3"/>
            <w:vMerge w:val="continue"/>
            <w:tcBorders/>
            <w:tcMar>
              <w:top w:w="0" w:type="dxa"/>
              <w:left w:w="0" w:type="dxa"/>
              <w:bottom w:w="0" w:type="dxa"/>
              <w:right w:w="0" w:type="dxa"/>
            </w:tcMar>
            <w:vAlign w:val="center"/>
          </w:tcPr>
          <w:p>
            <w:pPr>
              <w:pStyle w:val="Normal"/>
              <w:bidi w:val="0"/>
              <w:jc w:val="left"/>
              <w:rPr/>
            </w:pPr>
            <w:r>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819,469 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890,226 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781,580 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764,865 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125,361 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6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(56,398)</w:t>
            </w:r>
          </w:p>
        </w:tc>
        <w:tc>
          <w:tcPr>
            <w:tcW w:w="13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33,683 </w:t>
            </w:r>
          </w:p>
        </w:tc>
        <w:tc>
          <w:tcPr>
            <w:tcW w:w="17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92,949 </w:t>
            </w:r>
          </w:p>
        </w:tc>
        <w:tc>
          <w:tcPr>
            <w:tcW w:w="14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156,500 </w:t>
            </w:r>
          </w:p>
        </w:tc>
        <w:tc>
          <w:tcPr>
            <w:tcW w:w="2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934"/>
        <w:gridCol w:w="818"/>
        <w:gridCol w:w="818"/>
        <w:gridCol w:w="287"/>
        <w:gridCol w:w="977"/>
        <w:gridCol w:w="147"/>
        <w:gridCol w:w="109"/>
        <w:gridCol w:w="109"/>
        <w:gridCol w:w="109"/>
        <w:gridCol w:w="384"/>
        <w:gridCol w:w="1307"/>
        <w:gridCol w:w="198"/>
        <w:gridCol w:w="109"/>
        <w:gridCol w:w="109"/>
        <w:gridCol w:w="109"/>
        <w:gridCol w:w="287"/>
        <w:gridCol w:w="977"/>
        <w:gridCol w:w="147"/>
        <w:gridCol w:w="109"/>
        <w:gridCol w:w="109"/>
        <w:gridCol w:w="109"/>
        <w:gridCol w:w="375"/>
        <w:gridCol w:w="1283"/>
        <w:gridCol w:w="285"/>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 Subsidiaries</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subsidiaries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1,001,691 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2,803,976 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2,577,019 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2,987,716 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2,690,262 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 and equity:</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520,020 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123,550 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1,841,138 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209,789 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1,901,934 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2 to the Company's Consolidated Financial Statements included in our 2025 Form 10-K. There have been no significant changes in our significant accounting policies since December 31,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our critical accounting estimates in Item 7, "Management's Discussion and Analysis of Financial Condition and Results of Operations," in our 2025 Form 10-K. There have been no significant changes in our critical accounting estimates since December 31, 2025.</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Internally, we use AOI and Free Cash Flow as the most important indicators of our business performance, and evaluate management's effectiveness with specific reference to these indicators.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segment performance based on operating segment AOI. We define AOI, which is a financial measure that is not calculated in accordance with generally accepted accounting principles ("GAAP"), as operating income (loss) before share-based compensation expenses or benefit (including equity-classified share-based compensation expenses or benefit and liability-classified share-based compensation expenses or benefit for non-employee director stock units),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Because it is based upon operating income (loss), AOI also excludes interest expense (including cash interest expense) and other non-operating income and expense items. The Company believes that the exclusion of share-based compensation expenses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benefit allows management and investors to better track the performance of the various operating units of the business without regard to the period-to-period effects of share-based compensation awards, including the changes in fair value of liability-classified share-based compensation awards that will be cash settled. Beginning in June 2026, non-employee directors receive a portion of their compensation in director stock units that will be settled in cash. These liability classified share-based compensation awards are included in the share-based compensation adjustment to operating income (loss) to allow for comparability between periods without regard to the period-to-period effects of share-based compensation awards (including the changes in fair value of those awards from period to period).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operating income to AOI for the periods indicated:</w:t>
      </w:r>
    </w:p>
    <w:tbl>
      <w:tblPr>
        <w:tblW w:w="8805" w:type="dxa"/>
        <w:jc w:val="left"/>
        <w:tblInd w:w="0" w:type="dxa"/>
        <w:tblLayout w:type="fixed"/>
        <w:tblCellMar>
          <w:top w:w="28" w:type="dxa"/>
          <w:left w:w="28" w:type="dxa"/>
          <w:bottom w:w="28" w:type="dxa"/>
          <w:right w:w="28" w:type="dxa"/>
        </w:tblCellMar>
      </w:tblPr>
      <w:tblGrid>
        <w:gridCol w:w="1194"/>
        <w:gridCol w:w="1050"/>
        <w:gridCol w:w="1056"/>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91" w:type="dxa"/>
            <w:gridSpan w:val="12"/>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expenses</w:t>
            </w:r>
            <w:r>
              <w:rPr>
                <w:color w:val="000000"/>
              </w:rPr>
              <w:t xml:space="preserv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owned equity investees AOI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18"/>
          <w:shd w:fill="FFFFFF" w:val="clear"/>
        </w:rPr>
        <w:t xml:space="preserve">(1) Includes $1.0 million for the three and six months ended June 30, 2026, associated with </w:t>
      </w:r>
      <w:r>
        <w:rPr>
          <w:rFonts w:ascii="Times New Roman;serif" w:hAnsi="Times New Roman;serif"/>
          <w:b w:val="false"/>
          <w:color w:val="000000"/>
          <w:sz w:val="18"/>
        </w:rPr>
        <w:t>cash-settled director stock units granted to non-employee directors.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define Free Cash Flow, which is a non-GAAP financial measure, as net cash provided by operating activities less capital expenditures, all of which are reported in our Consolidated Statement of Cash Flows. </w:t>
      </w:r>
      <w:r>
        <w:rPr>
          <w:rFonts w:ascii="Times New Roman;serif" w:hAnsi="Times New Roman;serif"/>
          <w:b w:val="false"/>
          <w:color w:val="000000"/>
          <w:sz w:val="20"/>
          <w:shd w:fill="FFFFFF" w:val="clear"/>
        </w:rPr>
        <w:t xml:space="preserve">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t>
      </w:r>
      <w:r>
        <w:rPr>
          <w:rFonts w:ascii="Times New Roman;serif" w:hAnsi="Times New Roman;serif"/>
          <w:b w:val="false"/>
          <w:color w:val="000000"/>
          <w:sz w:val="20"/>
        </w:rPr>
        <w:t xml:space="preserve">with other companies in our industry, although our measure of Free Cash Flow may not be directly comparable to similar measures reported by other companies. </w:t>
      </w:r>
    </w:p>
    <w:p>
      <w:pPr>
        <w:pStyle w:val="TextBody"/>
        <w:bidi w:val="0"/>
        <w:spacing w:lineRule="auto" w:line="336" w:before="120" w:after="120"/>
        <w:ind w:left="0" w:right="0" w:firstLine="360"/>
        <w:jc w:val="both"/>
        <w:rPr/>
      </w:pPr>
      <w:r>
        <w:rPr>
          <w:rFonts w:ascii="Times New Roman;serif" w:hAnsi="Times New Roman;serif"/>
          <w:b w:val="false"/>
          <w:color w:val="000000"/>
          <w:sz w:val="20"/>
        </w:rPr>
        <w:t>The following is a reconciliation of</w:t>
      </w:r>
      <w:r>
        <w:rPr>
          <w:color w:val="000000"/>
          <w:shd w:fill="FFFFFF" w:val="clear"/>
        </w:rPr>
        <w:t xml:space="preserve"> </w:t>
      </w:r>
      <w:r>
        <w:rPr>
          <w:rFonts w:ascii="Times New Roman;serif" w:hAnsi="Times New Roman;serif"/>
          <w:b w:val="false"/>
          <w:color w:val="000000"/>
          <w:sz w:val="20"/>
          <w:shd w:fill="FFFFFF" w:val="clear"/>
        </w:rPr>
        <w:t>net cash provided by operating activities</w:t>
      </w:r>
      <w:r>
        <w:rPr>
          <w:color w:val="000000"/>
        </w:rPr>
        <w:t xml:space="preserve"> </w:t>
      </w:r>
      <w:r>
        <w:rPr>
          <w:rFonts w:ascii="Times New Roman;serif" w:hAnsi="Times New Roman;serif"/>
          <w:b w:val="false"/>
          <w:color w:val="000000"/>
          <w:sz w:val="20"/>
        </w:rPr>
        <w:t>to Free Cash Flow for the periods indicated:</w:t>
      </w:r>
    </w:p>
    <w:tbl>
      <w:tblPr>
        <w:tblW w:w="7651"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109"/>
        <w:gridCol w:w="178"/>
        <w:gridCol w:w="178"/>
        <w:gridCol w:w="345"/>
        <w:gridCol w:w="1354"/>
        <w:gridCol w:w="178"/>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108,082 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62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211"/>
        <w:gridCol w:w="796"/>
        <w:gridCol w:w="109"/>
        <w:gridCol w:w="109"/>
        <w:gridCol w:w="109"/>
        <w:gridCol w:w="109"/>
        <w:gridCol w:w="211"/>
        <w:gridCol w:w="69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Fair Value of Debt</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level of interest rates prevailing at June 30, 2026, the carrying value of our fixed rate debt of $1.66 billion was less than its fair value of $1.74 billion by $80.9 million. The fair value of these financial instruments is estimated based on reference to quoted market prices for these or comparable securities. A hypothetical 100 basis point decrease in interest rates prevailing at June 30, 2026 would increase the estimated fair value of our fixed rate debt by $82.5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Managing our Interest Rate Risk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$1.7 billion of debt outstanding (excluding finance leases), all of which bears interest at fixed rates.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Managing our Foreign Currency Exchange Rate Risk</w:t>
      </w:r>
    </w:p>
    <w:p>
      <w:pPr>
        <w:pStyle w:val="TextBody"/>
        <w:bidi w:val="0"/>
        <w:spacing w:lineRule="auto" w:line="288" w:before="120" w:after="120"/>
        <w:ind w:left="0" w:right="0" w:firstLine="360"/>
        <w:jc w:val="both"/>
        <w:rPr/>
      </w:pPr>
      <w:r>
        <w:rPr>
          <w:rFonts w:ascii="Times New Roman;serif" w:hAnsi="Times New Roman;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shd w:fill="FFFFFF" w:val="clear"/>
        </w:rPr>
        <w:t xml:space="preserve"> </w:t>
      </w:r>
      <w:r>
        <w:rPr>
          <w:rFonts w:ascii="Times New Roman;serif" w:hAnsi="Times New Roman;serif"/>
          <w:b w:val="false"/>
          <w:color w:val="000000"/>
          <w:sz w:val="20"/>
          <w:shd w:fill="FFFFFF" w:val="clear"/>
        </w:rPr>
        <w:t xml:space="preserve">as a result of changes in foreign currency exchange rates. </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Company recognized foreign currency transaction gains (losses) of $(4.1) million and $(7.9) million</w:t>
      </w:r>
      <w:r>
        <w:rPr>
          <w:color w:val="000000"/>
          <w:shd w:fill="FFFFFF" w:val="clear"/>
        </w:rPr>
        <w:t xml:space="preserve"> </w:t>
      </w:r>
      <w:r>
        <w:rPr>
          <w:rFonts w:ascii="Times New Roman;serif" w:hAnsi="Times New Roman;serif"/>
          <w:b w:val="false"/>
          <w:color w:val="000000"/>
          <w:sz w:val="20"/>
        </w:rPr>
        <w:t>for the three and six months ended June 30, 2026, respectively, and $12.9 million and $16.7 million</w:t>
      </w:r>
      <w:r>
        <w:rPr>
          <w:color w:val="000000"/>
          <w:shd w:fill="FFFFFF" w:val="clear"/>
        </w:rPr>
        <w:t xml:space="preserve"> </w:t>
      </w:r>
      <w:r>
        <w:rPr>
          <w:rFonts w:ascii="Times New Roman;serif" w:hAnsi="Times New Roman;serif"/>
          <w:b w:val="false"/>
          <w:color w:val="000000"/>
          <w:sz w:val="20"/>
        </w:rPr>
        <w:t>for the three and six months ended June 30, 2025, respectively, related to foreign currency transactions. Such amounts are included in miscellaneous, net in the condensed consolidated statements of income (loss).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June 30, 2026, the Company's principal executive officer (our Chief Executive Officer) and our principal financial officer (our Chief Financial Officer), concluded that the Company's disclosure controls and procedures are effective.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were no changes in the Company's internal control over financial reporting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14, Commitments and Contingencies to the condensed consolidated financial statements included in this Quarterly Report on Form 10-Q for a description of our legal proceedings. </w:t>
      </w:r>
    </w:p>
    <w:p>
      <w:pPr>
        <w:pStyle w:val="TextBody"/>
        <w:bidi w:val="0"/>
        <w:spacing w:before="100" w:after="1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shares of common stock that we repurchased during the second quarter of 2026:</w:t>
      </w:r>
    </w:p>
    <w:tbl>
      <w:tblPr>
        <w:tblW w:w="10205" w:type="dxa"/>
        <w:jc w:val="left"/>
        <w:tblInd w:w="0" w:type="dxa"/>
        <w:tblLayout w:type="fixed"/>
        <w:tblCellMar>
          <w:top w:w="28" w:type="dxa"/>
          <w:left w:w="28" w:type="dxa"/>
          <w:bottom w:w="28" w:type="dxa"/>
          <w:right w:w="28" w:type="dxa"/>
        </w:tblCellMar>
      </w:tblPr>
      <w:tblGrid>
        <w:gridCol w:w="384"/>
        <w:gridCol w:w="337"/>
        <w:gridCol w:w="339"/>
        <w:gridCol w:w="109"/>
        <w:gridCol w:w="109"/>
        <w:gridCol w:w="109"/>
        <w:gridCol w:w="654"/>
        <w:gridCol w:w="395"/>
        <w:gridCol w:w="383"/>
        <w:gridCol w:w="109"/>
        <w:gridCol w:w="109"/>
        <w:gridCol w:w="109"/>
        <w:gridCol w:w="297"/>
        <w:gridCol w:w="721"/>
        <w:gridCol w:w="153"/>
        <w:gridCol w:w="109"/>
        <w:gridCol w:w="109"/>
        <w:gridCol w:w="109"/>
        <w:gridCol w:w="1000"/>
        <w:gridCol w:w="761"/>
        <w:gridCol w:w="764"/>
        <w:gridCol w:w="109"/>
        <w:gridCol w:w="109"/>
        <w:gridCol w:w="109"/>
        <w:gridCol w:w="367"/>
        <w:gridCol w:w="2067"/>
        <w:gridCol w:w="275"/>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Maximum Dollar Amount of Shares that May Yet Be Purchased Under the Program</w:t>
            </w:r>
            <w:r>
              <w:rPr>
                <w:rFonts w:ascii="Times New Roman;serif" w:hAnsi="Times New Roman;serif"/>
                <w:b/>
                <w:color w:val="000000"/>
                <w:sz w:val="12"/>
              </w:rPr>
              <w:t>(1)</w:t>
            </w:r>
          </w:p>
        </w:tc>
      </w:tr>
      <w:tr>
        <w:trPr/>
        <w:tc>
          <w:tcPr>
            <w:tcW w:w="1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117,390,414 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2,727,272 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2,727,272 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87,390,414 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87,390,414 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2,727,272 </w:t>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2,727,272 </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Company's Board of Directors has authorized a $1.5 billion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2026, the Company entered into the ASR Agreement with Citibank to repurchase $30.0 million of its outstanding Class A Common Stock. The Company is conducting the accelerated share repurchase as part of its Stock Repurchase Program.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ASR Agreement, on May 11, 2026, the Company made an initial payment to Citibank of $30.0 million, and received an initial delivery of 2,727,272 shares of Class A Common Stock. The Company recorded an increase to Treasury stock of $24.0 million during the three months ended June 30, 2026, representing 80% of the total shares expected to be repurchased under the ASR Agreement (determined based on the closing price of the Class A Common Stock of $8.80 on May 8, 2026). The remaining 20% of the ASR Agreement value of $6.0 million was accounted for as an unsettled forward contract indexed to the Class A Common Stock and recorded as a reduction to Paid-in capital during the three months ended June 30, 2026. The final number of shares to be repurchased will be based on the volume-weighted average price of the Class A Common Stock on specified dates during the term of the transaction, less a discount, and subject to customary adjustments pursuant to the terms and conditions of the ASR Agreement. At settlement, if the final number of shares to be repurchased is greater than the initial share delivery, Citibank will deliver additional shares of Common Stock to the Company, or, if the final number of shares to be repurchased is less than the initial share delivery, the Company will be required to make a payment to Citibank, which at the option of the Company may be in the form of cash or shares of Class A Common Stock. The final settlement of the transaction is expected to occur in the fourth quarter of 2026, but may be completed earlier at Citibank’s election.</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Part II, Item 5 of this Quarterly Report on Form 10-Q is provided in lieu of filing such information on a Current Report on Form 8-K.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The Walking Dead Universe Licensing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On July 30, 2026, the Company announced that it had entered into a license agreement with Netflix Inc. granting Netflix co-exclusive global streaming rights to all shows in The Walking Dead Universe, including all seasons of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Fear the Walking Dead</w:t>
      </w:r>
      <w:r>
        <w:rPr>
          <w:rFonts w:ascii="Times New Roman;serif" w:hAnsi="Times New Roman;serif"/>
          <w:b w:val="false"/>
          <w:color w:val="000000"/>
          <w:sz w:val="20"/>
        </w:rPr>
        <w:t xml:space="preserve">. The Company retains the global rights to exhibit the shows in The Walking Dead Universe on its own streaming services. Other shows in The Walking Dead Universe include: </w:t>
      </w:r>
      <w:r>
        <w:rPr>
          <w:rFonts w:ascii="Times New Roman;serif" w:hAnsi="Times New Roman;serif"/>
          <w:b w:val="false"/>
          <w:i/>
          <w:color w:val="000000"/>
          <w:sz w:val="20"/>
        </w:rPr>
        <w:t>The Walking Dead: Daryl Dixon</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Dead City</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World Beyond</w:t>
      </w:r>
      <w:r>
        <w:rPr>
          <w:rFonts w:ascii="Times New Roman;serif" w:hAnsi="Times New Roman;serif"/>
          <w:b w:val="false"/>
          <w:color w:val="000000"/>
          <w:sz w:val="20"/>
        </w:rPr>
        <w:t xml:space="preserve">; </w:t>
      </w:r>
      <w:r>
        <w:rPr>
          <w:rFonts w:ascii="Times New Roman;serif" w:hAnsi="Times New Roman;serif"/>
          <w:b w:val="false"/>
          <w:i/>
          <w:color w:val="000000"/>
          <w:sz w:val="20"/>
        </w:rPr>
        <w:t>The Walking Dead: The Ones Who Live</w:t>
      </w:r>
      <w:r>
        <w:rPr>
          <w:rFonts w:ascii="Times New Roman;serif" w:hAnsi="Times New Roman;serif"/>
          <w:b w:val="false"/>
          <w:color w:val="000000"/>
          <w:sz w:val="20"/>
        </w:rPr>
        <w:t xml:space="preserve">; and </w:t>
      </w:r>
      <w:r>
        <w:rPr>
          <w:rFonts w:ascii="Times New Roman;serif" w:hAnsi="Times New Roman;serif"/>
          <w:b w:val="false"/>
          <w:i/>
          <w:color w:val="000000"/>
          <w:sz w:val="20"/>
        </w:rPr>
        <w:t>Tales of the Walking Dead</w:t>
      </w:r>
      <w:r>
        <w:rPr>
          <w:rFonts w:ascii="Times New Roman;serif" w:hAnsi="Times New Roman;serif"/>
          <w:b w:val="false"/>
          <w:color w:val="000000"/>
          <w:sz w:val="20"/>
        </w:rPr>
        <w:t xml:space="preserve">. The license agreement generally provides for a five-year term for each licensed show, with licenses for individual shows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01a507238db4566b6a0e777896c491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commencing on different dates in different geographic territories based on the expiration of streaming rights under the Company's existing licenses. The co-exclusive license for the U.S. streaming rights to </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begins on January 6, 2027 and the co-exclusive license for U.S. streaming rights to other series in the Walking Dead Universe begin at various times in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license agreement, Netflix will pay an aggregate content license fee of $500 million payable in quarterly cash installments over the five-year term, with approximately $25 million of such payments expected to be received in 2026, and cash payments of approximately $100 million, in each of 2027, 2028, 2029 and 2030, with the remainder due in 2031. As a result of the extended payment terms, the aggregate revenue that the Company expects to recognize will be based on the present value of future payments, which is estimated to be approximately $445 million. </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ind w:left="0" w:right="0" w:hanging="720"/>
        <w:jc w:val="left"/>
        <w:rPr/>
      </w:pPr>
      <w:r>
        <w:rPr>
          <w:rFonts w:ascii="Times New Roman;serif" w:hAnsi="Times New Roman;serif"/>
          <w:b/>
          <w:color w:val="000000"/>
          <w:sz w:val="20"/>
        </w:rPr>
        <w:t>(a)</w:t>
      </w:r>
      <w:r>
        <w:rPr>
          <w:rFonts w:ascii="Times New Roman;serif" w:hAnsi="Times New Roman;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78"/>
        <w:gridCol w:w="246"/>
        <w:gridCol w:w="247"/>
        <w:gridCol w:w="109"/>
        <w:gridCol w:w="109"/>
        <w:gridCol w:w="109"/>
        <w:gridCol w:w="3013"/>
        <w:gridCol w:w="2533"/>
        <w:gridCol w:w="3561"/>
      </w:tblGrid>
      <w:tr>
        <w:trPr/>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Employment Agreement, dated June 16, 2026, by and between AMC Global Media Inc. and Hozefa Lokhandwala (incorporated by reference to Exhibit 10.1 to the Company’s Current Report on Form 8-K filed with the SEC on June 17, 2026).</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Employment Agreement, dated June 16, 2026, by and between AMC Global Media Inc. and Michael J. Sherin III (incorporated by reference to Exhibit 10.2 to the Company’s Current Report on Form 8-K filed with the SEC on June 17, 2026).</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6xex103.htm">
              <w:r>
                <w:rPr>
                  <w:rStyle w:val="InternetLink"/>
                  <w:rFonts w:ascii="Times New Roman;serif" w:hAnsi="Times New Roman;serif"/>
                  <w:b w:val="false"/>
                  <w:color w:val="0000FF"/>
                  <w:sz w:val="20"/>
                  <w:u w:val="single"/>
                </w:rPr>
                <w:t xml:space="preserve">AMC Global Media Inc. Amended and Restated 2011 Stock Plan For Non-Employee Directors </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6xex104.htm">
              <w:r>
                <w:rPr>
                  <w:rStyle w:val="InternetLink"/>
                  <w:rFonts w:ascii="Times New Roman;serif" w:hAnsi="Times New Roman;serif"/>
                  <w:b w:val="false"/>
                  <w:color w:val="0000FF"/>
                  <w:sz w:val="20"/>
                  <w:u w:val="single"/>
                </w:rPr>
                <w:t xml:space="preserve">Form of AMC Global Media Inc. Non-Employee Director Agreement </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6xex22.htm">
              <w:r>
                <w:rPr>
                  <w:rStyle w:val="InternetLink"/>
                  <w:rFonts w:ascii="Times New Roman;serif" w:hAnsi="Times New Roman;serif"/>
                  <w:b w:val="false"/>
                  <w:color w:val="0000FF"/>
                  <w:sz w:val="20"/>
                  <w:u w:val="single"/>
                </w:rPr>
                <w:t>Guarantor Subsidiaries of the Registrant.</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6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6xex312.htm">
              <w:r>
                <w:rPr>
                  <w:rStyle w:val="InternetLink"/>
                  <w:rFonts w:ascii="Times New Roman;serif" w:hAnsi="Times New Roman;serif"/>
                  <w:b w:val="false"/>
                  <w:color w:val="000080"/>
                  <w:sz w:val="20"/>
                  <w:u w:val="single"/>
                </w:rPr>
                <w:t xml:space="preserve">Certification of Chief </w:t>
              </w:r>
            </w:hyperlink>
            <w:hyperlink w:anchor="amcx-6302026xex312.htm">
              <w:r>
                <w:rPr>
                  <w:rStyle w:val="InternetLink"/>
                  <w:rFonts w:ascii="Times New Roman;serif" w:hAnsi="Times New Roman;serif"/>
                  <w:b w:val="false"/>
                  <w:color w:val="000080"/>
                  <w:sz w:val="20"/>
                  <w:u w:val="single"/>
                </w:rPr>
                <w:t>Financial</w:t>
              </w:r>
            </w:hyperlink>
            <w:hyperlink w:anchor="amcx-6302026xex312.htm">
              <w:r>
                <w:rPr>
                  <w:rStyle w:val="InternetLink"/>
                  <w:rFonts w:ascii="Times New Roman;serif" w:hAnsi="Times New Roman;serif"/>
                  <w:b w:val="false"/>
                  <w:color w:val="000080"/>
                  <w:sz w:val="20"/>
                  <w:u w:val="single"/>
                </w:rPr>
                <w:t xml:space="preserve"> Officer pursuant to Section 302 of the Sarbanes-Oxley Act of 2002.</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6xex32.htm">
              <w:r>
                <w:rPr>
                  <w:rStyle w:val="InternetLink"/>
                  <w:rFonts w:ascii="Times New Roman;serif" w:hAnsi="Times New Roman;serif"/>
                  <w:b w:val="false"/>
                  <w:color w:val="000080"/>
                  <w:sz w:val="20"/>
                  <w:u w:val="single"/>
                </w:rPr>
                <w:t xml:space="preserve">Certifications of Chief Executive Officer and Chief </w:t>
              </w:r>
            </w:hyperlink>
            <w:hyperlink w:anchor="amcx-6302026xex32.htm">
              <w:r>
                <w:rPr>
                  <w:rStyle w:val="InternetLink"/>
                  <w:rFonts w:ascii="Times New Roman;serif" w:hAnsi="Times New Roman;serif"/>
                  <w:b w:val="false"/>
                  <w:color w:val="000080"/>
                  <w:sz w:val="20"/>
                  <w:u w:val="single"/>
                </w:rPr>
                <w:t>Financial</w:t>
              </w:r>
            </w:hyperlink>
            <w:hyperlink w:anchor="amcx-6302026xex32.htm">
              <w:r>
                <w:rPr>
                  <w:rStyle w:val="InternetLink"/>
                  <w:rFonts w:ascii="Times New Roman;serif" w:hAnsi="Times New Roman;serif"/>
                  <w:b w:val="false"/>
                  <w:color w:val="000080"/>
                  <w:sz w:val="20"/>
                  <w:u w:val="single"/>
                </w:rPr>
                <w:t xml:space="preserve"> Officer pursuant to Section 906 of the Sarbanes-Oxley Act of 2002, 18 U.S.C. Section 1350.</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7"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7" w:type="dxa"/>
            <w:gridSpan w:val="3"/>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Inline XBRL document.</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1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1352"/>
        <w:gridCol w:w="1352"/>
        <w:gridCol w:w="19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AMC Global Media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Hozefa Lokhandwala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Hozefa Lokhandwala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center"/>
        <w:rPr>
          <w:rFonts w:ascii="Times New Roman;serif" w:hAnsi="Times New Roman;serif"/>
          <w:b/>
          <w:i/>
          <w:color w:val="000000"/>
          <w:sz w:val="24"/>
        </w:rPr>
      </w:pPr>
      <w:r>
        <w:rPr>
          <w:rFonts w:ascii="Times New Roman;serif" w:hAnsi="Times New Roman;serif"/>
          <w:b/>
          <w:i/>
          <w:color w:val="000000"/>
          <w:sz w:val="24"/>
        </w:rPr>
        <w:t xml:space="preserve">AMC Global Media Inc. Amended and Restated 2011 Stock Plan For Non-Employee Directors </w:t>
      </w:r>
    </w:p>
    <w:p>
      <w:pPr>
        <w:pStyle w:val="TextBody"/>
        <w:bidi w:val="0"/>
        <w:spacing w:lineRule="auto" w:line="288" w:before="0" w:after="120"/>
        <w:jc w:val="left"/>
        <w:rPr/>
      </w:pPr>
      <w:r>
        <w:rPr>
          <w:rFonts w:ascii="Times New Roman;serif" w:hAnsi="Times New Roman;serif"/>
          <w:b w:val="false"/>
          <w:color w:val="000000"/>
          <w:sz w:val="24"/>
        </w:rPr>
        <w:t xml:space="preserve">1. </w:t>
      </w:r>
      <w:r>
        <w:rPr>
          <w:rFonts w:ascii="Times New Roman;serif" w:hAnsi="Times New Roman;serif"/>
          <w:b/>
          <w:i/>
          <w:color w:val="000000"/>
          <w:sz w:val="24"/>
        </w:rPr>
        <w:t>Purpose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purposes of the AMC Global Media Inc. Amended and Restated 2011 Stock Plan for Non–Employee Directors are to attract and retain individuals who are not employees of the Company as members of the Board of Directors, by encouraging them to acquire a proprietary interest in the Company which is parallel to that of the stockholders of the Company.</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The amendments to this Plan will not affect the terms or conditions of any Award granted prior to the effective date of such amendments provided in Section 14.</w:t>
      </w:r>
    </w:p>
    <w:p>
      <w:pPr>
        <w:pStyle w:val="TextBody"/>
        <w:bidi w:val="0"/>
        <w:spacing w:lineRule="auto" w:line="288" w:before="0" w:after="120"/>
        <w:jc w:val="left"/>
        <w:rPr/>
      </w:pPr>
      <w:r>
        <w:rPr>
          <w:rFonts w:ascii="Times New Roman;serif" w:hAnsi="Times New Roman;serif"/>
          <w:b w:val="false"/>
          <w:color w:val="000000"/>
          <w:sz w:val="24"/>
        </w:rPr>
        <w:t xml:space="preserve">2. </w:t>
      </w:r>
      <w:r>
        <w:rPr>
          <w:rFonts w:ascii="Times New Roman;serif" w:hAnsi="Times New Roman;serif"/>
          <w:b/>
          <w:i/>
          <w:color w:val="000000"/>
          <w:sz w:val="24"/>
        </w:rPr>
        <w:t>Definitions.</w:t>
      </w:r>
      <w:r>
        <w:rPr>
          <w:color w:val="000000"/>
        </w:rPr>
        <w:t xml:space="preserve"> </w:t>
      </w:r>
      <w:r>
        <w:rPr>
          <w:rFonts w:ascii="Times New Roman;serif" w:hAnsi="Times New Roman;serif"/>
          <w:b w:val="false"/>
          <w:color w:val="000000"/>
          <w:sz w:val="24"/>
        </w:rPr>
        <w:t xml:space="preserve">The following terms shall have the respective meanings assigned to them as used herein: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 “Award” shall mean an Option, Restricted Stock Unit or other stock–based award granted under the Plan.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(b) “Award Agreement” shall mean an agreement which may be entered into by a Participant and the Company, setting forth the terms and provisions applicable to Awards granted to such Participant.</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(c) “Board of Directors” shall mean the Board of Directors of the Company, as constituted at any time.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 “Committee” shall mean the Compensation Committee of the Board of Directors, as described in Section 3.</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 “Company” shall mean AMC Global Media Inc., a Nevada corporation.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(f) “Consent”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 (iii) 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(g) “Fair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National Association of Securities Dealers Automated Quotation System,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and the Shares underlying the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are publicly traded, the Fair Market Value of a Share for purposes of net cashless exercise and withholding taxes shall be the price of a Share on such stock exchange at the time of exercise.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(h) “GAAP” shall mean accounting principles generally accepted in the United States of America.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 “Internal Revenue Code” shall mean the Internal Revenue Code of 1986, as amended.</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(j) “Non–Employee Director” shall mean a member of the Board of Directors who is not a current employee of the Company or its subsidiaries.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(k) “Option” shall mean an option granted pursuant to Section 6.1 of the Plan.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(l) “Participant” shall mean a Non–Employee Director who has been granted an Award under the Plan.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(m) “Plan” shall mean the AMC Global Media Inc. Amended and Restated 2011 Stock Plan for Non–Employee Directors, as amended, restated, or amended and restated from time to time.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(n) “Restricted Stock Unit” shall mean a restricted stock unit granted pursuant to Section 6.2 of the Plan, each such unit representing an unfunded and unsecured promise to deliver a Share (or cash or other property equal in value to the Share).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(o) “Share” shall mean a share of AMC Global Media Inc. Class A Common Stock, par value $0.01 per share.</w:t>
      </w:r>
    </w:p>
    <w:p>
      <w:pPr>
        <w:pStyle w:val="TextBody"/>
        <w:bidi w:val="0"/>
        <w:spacing w:lineRule="auto" w:line="288" w:before="97" w:after="283"/>
        <w:jc w:val="left"/>
        <w:rPr/>
      </w:pPr>
      <w:r>
        <w:rPr>
          <w:rFonts w:ascii="Times New Roman;serif" w:hAnsi="Times New Roman;serif"/>
          <w:b w:val="false"/>
          <w:color w:val="000000"/>
          <w:sz w:val="24"/>
        </w:rPr>
        <w:t xml:space="preserve">3. </w:t>
      </w:r>
      <w:r>
        <w:rPr>
          <w:rFonts w:ascii="Times New Roman;serif" w:hAnsi="Times New Roman;serif"/>
          <w:b/>
          <w:i/>
          <w:color w:val="000000"/>
          <w:sz w:val="24"/>
        </w:rPr>
        <w:t>Plan Administration.</w:t>
      </w:r>
    </w:p>
    <w:p>
      <w:pPr>
        <w:pStyle w:val="TextBody"/>
        <w:bidi w:val="0"/>
        <w:spacing w:lineRule="auto" w:line="288" w:before="0" w:after="120"/>
        <w:jc w:val="left"/>
        <w:rPr/>
      </w:pPr>
      <w:r>
        <w:rPr>
          <w:rFonts w:ascii="Times New Roman;serif" w:hAnsi="Times New Roman;serif"/>
          <w:b w:val="false"/>
          <w:color w:val="000000"/>
          <w:sz w:val="24"/>
        </w:rPr>
        <w:t xml:space="preserve">3.1 </w:t>
      </w:r>
      <w:r>
        <w:rPr>
          <w:rFonts w:ascii="Times New Roman;serif" w:hAnsi="Times New Roman;serif"/>
          <w:b/>
          <w:i/>
          <w:color w:val="000000"/>
          <w:sz w:val="24"/>
        </w:rPr>
        <w:t>Committee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Plan shall be administered by the Committee, which shall consist of at least two members of the Board of Directors who shall be appointed by, and shall serve at the pleasure of, the Board of Directors. Except as otherwise determined by the Board of Directors, the members of the Committee shall be “non–employee directors” under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It is expected and permitted that members of the Committee shall be Participants.</w:t>
      </w:r>
    </w:p>
    <w:p>
      <w:pPr>
        <w:pStyle w:val="TextBody"/>
        <w:bidi w:val="0"/>
        <w:spacing w:lineRule="auto" w:line="288" w:before="0" w:after="120"/>
        <w:jc w:val="left"/>
        <w:rPr/>
      </w:pPr>
      <w:r>
        <w:rPr>
          <w:rFonts w:ascii="Times New Roman;serif" w:hAnsi="Times New Roman;serif"/>
          <w:b w:val="false"/>
          <w:color w:val="000000"/>
          <w:sz w:val="24"/>
        </w:rPr>
        <w:t xml:space="preserve">3.2 </w:t>
      </w:r>
      <w:r>
        <w:rPr>
          <w:rFonts w:ascii="Times New Roman;serif" w:hAnsi="Times New Roman;serif"/>
          <w:b/>
          <w:i/>
          <w:color w:val="000000"/>
          <w:sz w:val="24"/>
        </w:rPr>
        <w:t>Authority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Committee shall have full authority, subject to the terms of the Plan (including Section 12), to (a) exercise all of the powers granted to it under the Plan, (b) construe, interpret and implement the Plan and all Awards and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 and determine who shall receive Awards and the terms and conditions of such Awards, (h) 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subject to vesting, transfer, forfeiture or repayment provisions similar to those in the Participant’s underlying Award) or (2) waive or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amend any restrictions or conditions applicable to such Award, or impose new restrictions or conditions and (i) determine at any time whether, to what extent and under what circumstances and method or methods (1) Awards may be (A) 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pStyle w:val="TextBody"/>
        <w:bidi w:val="0"/>
        <w:spacing w:lineRule="auto" w:line="288" w:before="0" w:after="120"/>
        <w:jc w:val="left"/>
        <w:rPr/>
      </w:pPr>
      <w:r>
        <w:rPr>
          <w:rFonts w:ascii="Times New Roman;serif" w:hAnsi="Times New Roman;serif"/>
          <w:b w:val="false"/>
          <w:color w:val="000000"/>
          <w:sz w:val="24"/>
        </w:rPr>
        <w:t xml:space="preserve">3.3 </w:t>
      </w:r>
      <w:r>
        <w:rPr>
          <w:rFonts w:ascii="Times New Roman;serif" w:hAnsi="Times New Roman;serif"/>
          <w:b/>
          <w:i/>
          <w:color w:val="000000"/>
          <w:sz w:val="24"/>
        </w:rPr>
        <w:t>Liability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 </w:t>
      </w:r>
    </w:p>
    <w:p>
      <w:pPr>
        <w:pStyle w:val="TextBody"/>
        <w:bidi w:val="0"/>
        <w:spacing w:lineRule="auto" w:line="288" w:before="0" w:after="120"/>
        <w:jc w:val="left"/>
        <w:rPr/>
      </w:pPr>
      <w:r>
        <w:rPr>
          <w:rFonts w:ascii="Times New Roman;serif" w:hAnsi="Times New Roman;serif"/>
          <w:b w:val="false"/>
          <w:color w:val="000000"/>
          <w:sz w:val="24"/>
        </w:rPr>
        <w:t xml:space="preserve">4. </w:t>
      </w:r>
      <w:r>
        <w:rPr>
          <w:rFonts w:ascii="Times New Roman;serif" w:hAnsi="Times New Roman;serif"/>
          <w:b/>
          <w:i/>
          <w:color w:val="000000"/>
          <w:sz w:val="24"/>
        </w:rPr>
        <w:t>Eligibility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All Non–Employee Directors are eligible for the grant of Awards.</w:t>
      </w:r>
    </w:p>
    <w:p>
      <w:pPr>
        <w:pStyle w:val="TextBody"/>
        <w:bidi w:val="0"/>
        <w:spacing w:lineRule="auto" w:line="288" w:before="0" w:after="120"/>
        <w:jc w:val="left"/>
        <w:rPr/>
      </w:pPr>
      <w:r>
        <w:rPr>
          <w:rFonts w:ascii="Times New Roman;serif" w:hAnsi="Times New Roman;serif"/>
          <w:b w:val="false"/>
          <w:color w:val="000000"/>
          <w:sz w:val="24"/>
        </w:rPr>
        <w:t xml:space="preserve">5. </w:t>
      </w:r>
      <w:r>
        <w:rPr>
          <w:rFonts w:ascii="Times New Roman;serif" w:hAnsi="Times New Roman;serif"/>
          <w:b/>
          <w:i/>
          <w:color w:val="000000"/>
          <w:sz w:val="24"/>
        </w:rPr>
        <w:t>Shares Subject to the Plan</w:t>
      </w:r>
      <w:r>
        <w:rPr>
          <w:rFonts w:ascii="Times New Roman;serif" w:hAnsi="Times New Roman;serif"/>
          <w:b/>
          <w:color w:val="000000"/>
          <w:sz w:val="24"/>
        </w:rPr>
        <w:t>.</w:t>
      </w:r>
    </w:p>
    <w:p>
      <w:pPr>
        <w:pStyle w:val="TextBody"/>
        <w:bidi w:val="0"/>
        <w:spacing w:lineRule="auto" w:line="288" w:before="0" w:after="120"/>
        <w:jc w:val="left"/>
        <w:rPr/>
      </w:pPr>
      <w:r>
        <w:rPr>
          <w:rFonts w:ascii="Times New Roman;serif" w:hAnsi="Times New Roman;serif"/>
          <w:b w:val="false"/>
          <w:color w:val="000000"/>
          <w:sz w:val="24"/>
        </w:rPr>
        <w:t xml:space="preserve">5.1 </w:t>
      </w:r>
      <w:r>
        <w:rPr>
          <w:rFonts w:ascii="Times New Roman;serif" w:hAnsi="Times New Roman;serif"/>
          <w:b/>
          <w:i/>
          <w:color w:val="000000"/>
          <w:sz w:val="24"/>
        </w:rPr>
        <w:t>Number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aggregate number of Shares that may be subject to Awards granted under this Plan shall not exceed 1,615,000, which may be either treasury Shares or authorized but unissued Shares. To the extent that (i) an Award shall be paid, settled or exchanged or shall expire, lapse, terminate or be cancelled for any reason without the issuance of Shares or (ii) any Shares under an Award are not issued because of payment or withholding obligations, then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may also grant Awards with respect to such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adjustments provided for in Section 5.2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pStyle w:val="TextBody"/>
        <w:bidi w:val="0"/>
        <w:spacing w:lineRule="auto" w:line="288" w:before="0" w:after="120"/>
        <w:jc w:val="left"/>
        <w:rPr/>
      </w:pPr>
      <w:r>
        <w:rPr>
          <w:rFonts w:ascii="Times New Roman;serif" w:hAnsi="Times New Roman;serif"/>
          <w:b w:val="false"/>
          <w:color w:val="000000"/>
          <w:sz w:val="24"/>
        </w:rPr>
        <w:t xml:space="preserve">5.2 </w:t>
      </w:r>
      <w:r>
        <w:rPr>
          <w:rFonts w:ascii="Times New Roman;serif" w:hAnsi="Times New Roman;serif"/>
          <w:b/>
          <w:i/>
          <w:color w:val="000000"/>
          <w:sz w:val="24"/>
        </w:rPr>
        <w:t>Adjustment in Capitalization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5.2,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 Any fractional shares or securities payable upon the exercise of an Award as a result of an adjustment pursuant to this Section 5.2 shall, at the election of the Committee, be payable in cash, Shares, or a combination thereof, on such bases as the Committee may determine in its sole discretion.</w:t>
      </w:r>
    </w:p>
    <w:p>
      <w:pPr>
        <w:pStyle w:val="TextBody"/>
        <w:bidi w:val="0"/>
        <w:spacing w:lineRule="auto" w:line="288" w:before="0" w:after="120"/>
        <w:jc w:val="left"/>
        <w:rPr/>
      </w:pPr>
      <w:r>
        <w:rPr>
          <w:rFonts w:ascii="Times New Roman;serif" w:hAnsi="Times New Roman;serif"/>
          <w:b w:val="false"/>
          <w:color w:val="000000"/>
          <w:sz w:val="24"/>
        </w:rPr>
        <w:t xml:space="preserve">6. </w:t>
      </w:r>
      <w:r>
        <w:rPr>
          <w:rFonts w:ascii="Times New Roman;serif" w:hAnsi="Times New Roman;serif"/>
          <w:b/>
          <w:i/>
          <w:color w:val="000000"/>
          <w:sz w:val="24"/>
        </w:rPr>
        <w:t>Terms and Conditions of Awards.</w:t>
      </w:r>
    </w:p>
    <w:p>
      <w:pPr>
        <w:pStyle w:val="TextBody"/>
        <w:bidi w:val="0"/>
        <w:spacing w:lineRule="auto" w:line="288" w:before="0" w:after="120"/>
        <w:jc w:val="left"/>
        <w:rPr/>
      </w:pPr>
      <w:r>
        <w:rPr>
          <w:rFonts w:ascii="Times New Roman;serif" w:hAnsi="Times New Roman;serif"/>
          <w:b w:val="false"/>
          <w:color w:val="000000"/>
          <w:sz w:val="24"/>
        </w:rPr>
        <w:t xml:space="preserve">6.1. </w:t>
      </w:r>
      <w:r>
        <w:rPr>
          <w:rFonts w:ascii="Times New Roman;serif" w:hAnsi="Times New Roman;serif"/>
          <w:b/>
          <w:i/>
          <w:color w:val="000000"/>
          <w:sz w:val="24"/>
        </w:rPr>
        <w:t>Options</w:t>
      </w:r>
      <w:r>
        <w:rPr>
          <w:rFonts w:ascii="Times New Roman;serif" w:hAnsi="Times New Roman;serif"/>
          <w:b/>
          <w:color w:val="000000"/>
          <w:sz w:val="24"/>
        </w:rPr>
        <w:t xml:space="preserve">. </w:t>
      </w:r>
    </w:p>
    <w:p>
      <w:pPr>
        <w:pStyle w:val="TextBody"/>
        <w:bidi w:val="0"/>
        <w:spacing w:lineRule="auto" w:line="288" w:before="0" w:after="120"/>
        <w:jc w:val="left"/>
        <w:rPr/>
      </w:pPr>
      <w:r>
        <w:rPr>
          <w:rFonts w:ascii="Times New Roman;serif" w:hAnsi="Times New Roman;serif"/>
          <w:b w:val="false"/>
          <w:color w:val="000000"/>
          <w:sz w:val="24"/>
        </w:rPr>
        <w:t xml:space="preserve">6.1.1 </w:t>
      </w:r>
      <w:r>
        <w:rPr>
          <w:rFonts w:ascii="Times New Roman;serif" w:hAnsi="Times New Roman;serif"/>
          <w:b/>
          <w:i/>
          <w:color w:val="000000"/>
          <w:sz w:val="24"/>
        </w:rPr>
        <w:t>Terms and Conditions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form, terms and conditions of each Option shall be determined by the Committee and shall be set forth in an Award Agreement. Such terms and conditions may include, without limitation, provisions relating to the vesting and exercisability of such Options as well as the conditions or circumstances upon which such Options may be accelerated, extended, forfeited or otherwise modified; provided, however, that unless the Award Agreement states otherwise, all Options granted under the Plan shall be fully vested and exercisable on the date of grant. All or any part of any unexercised Options granted to any Participant, to the extent not otherwise exercisable, may be made exercisable upon the occurrence of such special circumstances or events as determined in the sole discretion of the Committee.</w:t>
      </w:r>
    </w:p>
    <w:p>
      <w:pPr>
        <w:pStyle w:val="TextBody"/>
        <w:bidi w:val="0"/>
        <w:spacing w:lineRule="auto" w:line="288" w:before="0" w:after="120"/>
        <w:jc w:val="left"/>
        <w:rPr/>
      </w:pPr>
      <w:r>
        <w:rPr>
          <w:rFonts w:ascii="Times New Roman;serif" w:hAnsi="Times New Roman;serif"/>
          <w:b w:val="false"/>
          <w:color w:val="000000"/>
          <w:sz w:val="24"/>
        </w:rPr>
        <w:t xml:space="preserve">6.1.2 </w:t>
      </w:r>
      <w:r>
        <w:rPr>
          <w:rFonts w:ascii="Times New Roman;serif" w:hAnsi="Times New Roman;serif"/>
          <w:b/>
          <w:i/>
          <w:color w:val="000000"/>
          <w:sz w:val="24"/>
        </w:rPr>
        <w:t>Exercise Price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exercise price per Share of the Shares to be purchased pursuant to each Option shall be fixed by the Committee at the time an Option is granted, but in no event shall it be less than the Fair Market Value of a Share on the date on which the Option is granted. Such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exercise price shall thereafter be subject to adjustment as required by the Award Agreement relating to each Option or Section 5.2 hereof.</w:t>
      </w:r>
    </w:p>
    <w:p>
      <w:pPr>
        <w:pStyle w:val="TextBody"/>
        <w:bidi w:val="0"/>
        <w:spacing w:lineRule="auto" w:line="288" w:before="0" w:after="120"/>
        <w:jc w:val="left"/>
        <w:rPr/>
      </w:pPr>
      <w:r>
        <w:rPr>
          <w:rFonts w:ascii="Times New Roman;serif" w:hAnsi="Times New Roman;serif"/>
          <w:b w:val="false"/>
          <w:color w:val="000000"/>
          <w:sz w:val="24"/>
        </w:rPr>
        <w:t xml:space="preserve">6.1.3 </w:t>
      </w:r>
      <w:r>
        <w:rPr>
          <w:rFonts w:ascii="Times New Roman;serif" w:hAnsi="Times New Roman;serif"/>
          <w:b/>
          <w:i/>
          <w:color w:val="000000"/>
          <w:sz w:val="24"/>
        </w:rPr>
        <w:t>Duration of Options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duration of any Option granted under this Plan shall be for a period fixed by the Committee but shall, except as 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pStyle w:val="TextBody"/>
        <w:bidi w:val="0"/>
        <w:spacing w:lineRule="auto" w:line="288" w:before="0" w:after="120"/>
        <w:jc w:val="left"/>
        <w:rPr/>
      </w:pPr>
      <w:r>
        <w:rPr>
          <w:rFonts w:ascii="Times New Roman;serif" w:hAnsi="Times New Roman;serif"/>
          <w:b w:val="false"/>
          <w:color w:val="000000"/>
          <w:sz w:val="24"/>
        </w:rPr>
        <w:t xml:space="preserve">6.1.4 </w:t>
      </w:r>
      <w:r>
        <w:rPr>
          <w:rFonts w:ascii="Times New Roman;serif" w:hAnsi="Times New Roman;serif"/>
          <w:b/>
          <w:i/>
          <w:color w:val="000000"/>
          <w:sz w:val="24"/>
        </w:rPr>
        <w:t>Written Notice for Exercise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An Option shall be exercised by the delivery to any person who has been designated by the Company for the purpose of receiving the same, of a written notice duly signed by the Participant (or the representative of the estate or the heirs of a deceased Participant) to such effect (or electronic notice in a manner, if any, previously approved by the Company).</w:t>
      </w:r>
    </w:p>
    <w:p>
      <w:pPr>
        <w:pStyle w:val="TextBody"/>
        <w:bidi w:val="0"/>
        <w:spacing w:lineRule="auto" w:line="288" w:before="0" w:after="120"/>
        <w:jc w:val="left"/>
        <w:rPr/>
      </w:pPr>
      <w:r>
        <w:rPr>
          <w:rFonts w:ascii="Times New Roman;serif" w:hAnsi="Times New Roman;serif"/>
          <w:b w:val="false"/>
          <w:color w:val="000000"/>
          <w:sz w:val="24"/>
        </w:rPr>
        <w:t xml:space="preserve">6.1.5 </w:t>
      </w:r>
      <w:r>
        <w:rPr>
          <w:rFonts w:ascii="Times New Roman;serif" w:hAnsi="Times New Roman;serif"/>
          <w:b/>
          <w:i/>
          <w:color w:val="000000"/>
          <w:sz w:val="24"/>
        </w:rPr>
        <w:t>Payment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Unless the Company chooses to settle an Option in cash, Shares or a combination thereof pursuant to Section 6.1.6 hereof, the Participant shall be required to deliver to the Company, within five (5) 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 Except to the extent the Committee chooses to settle any Option in cash pursuant to Section 6.1.6 hereof, within a reasonable time after exercise of an Option the Company shall either issue to the Participant a certificate representing the Shares purchased pursuant to the exercise of the Option or credit the number of such Shares to a book–entry account. To the extent the Committee chooses to settle any Option in cash pursuant to Section 6.1.6, within a reasonable time after exercise of an Option, the Company shall cause to be delivered to the person entitled thereto a payment for the amount payable pursuant to the exercise of the Option.</w:t>
      </w:r>
    </w:p>
    <w:p>
      <w:pPr>
        <w:pStyle w:val="TextBody"/>
        <w:bidi w:val="0"/>
        <w:spacing w:lineRule="auto" w:line="288" w:before="97" w:after="283"/>
        <w:jc w:val="left"/>
        <w:rPr/>
      </w:pPr>
      <w:r>
        <w:rPr>
          <w:rFonts w:ascii="Times New Roman;serif" w:hAnsi="Times New Roman;serif"/>
          <w:b w:val="false"/>
          <w:color w:val="000000"/>
          <w:sz w:val="24"/>
        </w:rPr>
        <w:t xml:space="preserve">6.1.6 </w:t>
      </w:r>
      <w:r>
        <w:rPr>
          <w:rFonts w:ascii="Times New Roman;serif" w:hAnsi="Times New Roman;serif"/>
          <w:b/>
          <w:i/>
          <w:color w:val="000000"/>
          <w:sz w:val="24"/>
        </w:rPr>
        <w:t>Settlement of an Option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When an Option is exercised pursuant to Section 6.1.4 hereof, the Committee, in its sole discretion, may elect, in lieu of issuing 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erif" w:hAnsi="Times New Roman;serif"/>
          <w:b w:val="false"/>
          <w:color w:val="000000"/>
          <w:sz w:val="24"/>
        </w:rPr>
        <w:t xml:space="preserve">6.2. </w:t>
      </w:r>
      <w:r>
        <w:rPr>
          <w:rFonts w:ascii="Times New Roman;serif" w:hAnsi="Times New Roman;serif"/>
          <w:b/>
          <w:i/>
          <w:color w:val="000000"/>
          <w:sz w:val="24"/>
        </w:rPr>
        <w:t>Restricted Stock Units</w:t>
      </w:r>
      <w:r>
        <w:rPr>
          <w:rFonts w:ascii="Times New Roman;serif" w:hAnsi="Times New Roman;serif"/>
          <w:b/>
          <w:color w:val="000000"/>
          <w:sz w:val="24"/>
        </w:rPr>
        <w:t xml:space="preserve">.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4"/>
        </w:rPr>
        <w:t xml:space="preserve">6.2.1 </w:t>
      </w:r>
      <w:r>
        <w:rPr>
          <w:rFonts w:ascii="Times New Roman;serif" w:hAnsi="Times New Roman;serif"/>
          <w:b/>
          <w:i/>
          <w:color w:val="000000"/>
          <w:sz w:val="24"/>
        </w:rPr>
        <w:t>Terms and Conditions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form, terms and conditions of each Restricted Stock Unit shall be determined by the Committee and shall be set 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provided, however, that unless the Award Agreement states otherwise, all Restricted Stock Units granted under the Plan shall be fully vested on the date of grant and shall be payable on such date as determined by the Committee. All or any part of any Restricted Stock Units granted to any Participant, to the extent not otherwise paid, may be paid to the Participant upon the occurrence of such special circumstances or events as determined in the sole discretion of the Committee.</w:t>
      </w:r>
    </w:p>
    <w:p>
      <w:pPr>
        <w:pStyle w:val="TextBody"/>
        <w:bidi w:val="0"/>
        <w:spacing w:lineRule="auto" w:line="288" w:before="0" w:after="120"/>
        <w:jc w:val="left"/>
        <w:rPr/>
      </w:pPr>
      <w:r>
        <w:rPr>
          <w:rFonts w:ascii="Times New Roman;serif" w:hAnsi="Times New Roman;serif"/>
          <w:b w:val="false"/>
          <w:color w:val="000000"/>
          <w:sz w:val="24"/>
        </w:rPr>
        <w:t xml:space="preserve">6.2.2 </w:t>
      </w:r>
      <w:r>
        <w:rPr>
          <w:rFonts w:ascii="Times New Roman;serif" w:hAnsi="Times New Roman;serif"/>
          <w:b/>
          <w:i/>
          <w:color w:val="000000"/>
          <w:sz w:val="24"/>
        </w:rPr>
        <w:t>Settlement of Restricted Stock Units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Committee, in its sole discretion, may instruct the Company to pay on the date when Shares would 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adjustment, pursuant to Section 5.2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pStyle w:val="TextBody"/>
        <w:bidi w:val="0"/>
        <w:spacing w:lineRule="auto" w:line="288" w:before="0" w:after="120"/>
        <w:jc w:val="left"/>
        <w:rPr/>
      </w:pPr>
      <w:r>
        <w:rPr>
          <w:rFonts w:ascii="Times New Roman;serif" w:hAnsi="Times New Roman;serif"/>
          <w:b w:val="false"/>
          <w:color w:val="000000"/>
          <w:sz w:val="24"/>
        </w:rPr>
        <w:t xml:space="preserve">6.2.3 </w:t>
      </w:r>
      <w:r>
        <w:rPr>
          <w:rFonts w:ascii="Times New Roman;serif" w:hAnsi="Times New Roman;serif"/>
          <w:b/>
          <w:i/>
          <w:color w:val="000000"/>
          <w:sz w:val="24"/>
        </w:rPr>
        <w:t>Right to Receive Dividends on Restricted Stock Units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Unless the Committee determines otherwise, during the period prior to payment of 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pStyle w:val="TextBody"/>
        <w:bidi w:val="0"/>
        <w:spacing w:lineRule="auto" w:line="288" w:before="0" w:after="120"/>
        <w:jc w:val="left"/>
        <w:rPr/>
      </w:pPr>
      <w:r>
        <w:rPr>
          <w:rFonts w:ascii="Times New Roman;serif" w:hAnsi="Times New Roman;serif"/>
          <w:b w:val="false"/>
          <w:color w:val="000000"/>
          <w:sz w:val="24"/>
        </w:rPr>
        <w:t xml:space="preserve">6.3. </w:t>
      </w:r>
      <w:r>
        <w:rPr>
          <w:rFonts w:ascii="Times New Roman;serif" w:hAnsi="Times New Roman;serif"/>
          <w:b/>
          <w:i/>
          <w:color w:val="000000"/>
          <w:sz w:val="24"/>
        </w:rPr>
        <w:t>Grant of Other Stock–Based Awards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Committee may grant other types of equity–based or equity–related Awards (including, without limitation, restricted Shares, unrestricted Shares and stock appreciation rights) in such amounts and subject to such terms and conditions as the Committee shall determine. Such Awards may entail the transfer of actual Shares, or payment in cash or otherwise of amounts based on the value of Shares.</w:t>
      </w:r>
    </w:p>
    <w:p>
      <w:pPr>
        <w:pStyle w:val="TextBody"/>
        <w:bidi w:val="0"/>
        <w:spacing w:lineRule="auto" w:line="288" w:before="0" w:after="120"/>
        <w:jc w:val="left"/>
        <w:rPr/>
      </w:pPr>
      <w:r>
        <w:rPr>
          <w:rFonts w:ascii="Times New Roman;serif" w:hAnsi="Times New Roman;serif"/>
          <w:b w:val="false"/>
          <w:color w:val="000000"/>
          <w:sz w:val="24"/>
        </w:rPr>
        <w:t xml:space="preserve">7. </w:t>
      </w:r>
      <w:r>
        <w:rPr>
          <w:rFonts w:ascii="Times New Roman;serif" w:hAnsi="Times New Roman;serif"/>
          <w:b/>
          <w:i/>
          <w:color w:val="000000"/>
          <w:sz w:val="24"/>
        </w:rPr>
        <w:t>No Rights of a Stockholder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 Participant shall not have any of the rights or privileges of a stockholder of the Company with respect to the Shares subject to an Award unless and until such Shares have been issued and have been duly registered in the Participant’s name.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4"/>
        </w:rPr>
        <w:t xml:space="preserve">8. </w:t>
      </w:r>
      <w:r>
        <w:rPr>
          <w:rFonts w:ascii="Times New Roman;serif" w:hAnsi="Times New Roman;serif"/>
          <w:b/>
          <w:i/>
          <w:color w:val="000000"/>
          <w:sz w:val="24"/>
        </w:rPr>
        <w:t>Compliance with Rule 16b–3</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It is the Company’s intent that the Plan comply in all respects with Rule 16b–3 under the Securities Exchange Act of 1934, as amended (the “Act”). If any provision of the Plan is later found not to be in compliance with such Rule, the provision shall be deemed null and void. All actions with respect to Awards under the Plan shall be executed in accordance with the requirements of Section 16 of the Act, as amended, and any regulations promulgated thereunder. To the extent that any of the provisions contained herein do not conform with Rule 16b–3 of the Act or any amendments thereto or any successor regulation, then the Committee may make such modifications so as to conform the Plan and any Awards granted thereunder to the Rule’s requirements.</w:t>
      </w:r>
    </w:p>
    <w:p>
      <w:pPr>
        <w:pStyle w:val="TextBody"/>
        <w:bidi w:val="0"/>
        <w:spacing w:lineRule="auto" w:line="288" w:before="0" w:after="120"/>
        <w:jc w:val="left"/>
        <w:rPr/>
      </w:pPr>
      <w:r>
        <w:rPr>
          <w:rFonts w:ascii="Times New Roman;serif" w:hAnsi="Times New Roman;serif"/>
          <w:b w:val="false"/>
          <w:color w:val="000000"/>
          <w:sz w:val="24"/>
        </w:rPr>
        <w:t xml:space="preserve">9. </w:t>
      </w:r>
      <w:r>
        <w:rPr>
          <w:rFonts w:ascii="Times New Roman;serif" w:hAnsi="Times New Roman;serif"/>
          <w:b/>
          <w:i/>
          <w:color w:val="000000"/>
          <w:sz w:val="24"/>
        </w:rPr>
        <w:t>Consents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If the Committee shall at any time determine that any Consent is necessary or desirable as a condition of, or in connection with, the granting of any Award, the delivery of Shares or the delivery of any cash, securities or other property under the Plan, or the taking of any other action, then such action shall not be taken, in whole or in part, unless and until such Consent shall have been effected or obtained to the full satisfaction of the Committee.</w:t>
      </w:r>
    </w:p>
    <w:p>
      <w:pPr>
        <w:pStyle w:val="TextBody"/>
        <w:bidi w:val="0"/>
        <w:spacing w:lineRule="auto" w:line="288" w:before="97" w:after="283"/>
        <w:jc w:val="left"/>
        <w:rPr/>
      </w:pPr>
      <w:r>
        <w:rPr>
          <w:rFonts w:ascii="Times New Roman;serif" w:hAnsi="Times New Roman;serif"/>
          <w:b w:val="false"/>
          <w:color w:val="000000"/>
          <w:sz w:val="24"/>
        </w:rPr>
        <w:t xml:space="preserve">10. </w:t>
      </w:r>
      <w:r>
        <w:rPr>
          <w:rFonts w:ascii="Times New Roman;serif" w:hAnsi="Times New Roman;serif"/>
          <w:b/>
          <w:i/>
          <w:color w:val="000000"/>
          <w:sz w:val="24"/>
        </w:rPr>
        <w:t>Withholding</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If the Company shall be required to withhold any amounts by reason of a federal, state or local tax laws, rules or regulations in respect of any Award, the Company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minimum amount required to be withheld) to be made to the Participant. In any event, the Participant shall make available to the Company, promptly when requested by the Company, sufficient funds or Shares to meet the requirements of such withholding and the Company shall be entitled to take and authorize such steps as it may deem advisable in order to have such funds made available to the Company out of any funds or property due to the Participant.</w:t>
      </w:r>
    </w:p>
    <w:p>
      <w:pPr>
        <w:pStyle w:val="TextBody"/>
        <w:bidi w:val="0"/>
        <w:spacing w:lineRule="auto" w:line="288" w:before="0" w:after="120"/>
        <w:jc w:val="left"/>
        <w:rPr/>
      </w:pPr>
      <w:r>
        <w:rPr>
          <w:rFonts w:ascii="Times New Roman;serif" w:hAnsi="Times New Roman;serif"/>
          <w:b w:val="false"/>
          <w:color w:val="000000"/>
          <w:sz w:val="24"/>
        </w:rPr>
        <w:t xml:space="preserve">11. </w:t>
      </w:r>
      <w:r>
        <w:rPr>
          <w:rFonts w:ascii="Times New Roman;serif" w:hAnsi="Times New Roman;serif"/>
          <w:b/>
          <w:i/>
          <w:color w:val="000000"/>
          <w:sz w:val="24"/>
        </w:rPr>
        <w:t>Non–Transferability of Awards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Unless the Committee shall permit (on such terms and conditions as it shall establish) an Award to be transferred to 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pStyle w:val="TextBody"/>
        <w:bidi w:val="0"/>
        <w:spacing w:lineRule="auto" w:line="288" w:before="0" w:after="120"/>
        <w:jc w:val="left"/>
        <w:rPr/>
      </w:pPr>
      <w:r>
        <w:rPr>
          <w:rFonts w:ascii="Times New Roman;serif" w:hAnsi="Times New Roman;serif"/>
          <w:b w:val="false"/>
          <w:color w:val="000000"/>
          <w:sz w:val="24"/>
        </w:rPr>
        <w:t xml:space="preserve">12. </w:t>
      </w:r>
      <w:r>
        <w:rPr>
          <w:rFonts w:ascii="Times New Roman;serif" w:hAnsi="Times New Roman;serif"/>
          <w:b/>
          <w:i/>
          <w:color w:val="000000"/>
          <w:sz w:val="24"/>
        </w:rPr>
        <w:t>Administration and Amendment of Plan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Board of Directors or the Committee may discontinue the Plan at any time and from time to time may 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5.2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except to the extent the terms of an Award Agreement expressly refer to an Adjustment Event, in which case such terms shall not be amended in a manner unfavorable to a Participant (other than if immaterial) without such Participant’s consent.</w:t>
      </w:r>
    </w:p>
    <w:p>
      <w:pPr>
        <w:pStyle w:val="TextBody"/>
        <w:bidi w:val="0"/>
        <w:spacing w:lineRule="auto" w:line="288" w:before="0" w:after="120"/>
        <w:jc w:val="left"/>
        <w:rPr/>
      </w:pPr>
      <w:r>
        <w:rPr>
          <w:rFonts w:ascii="Times New Roman;serif" w:hAnsi="Times New Roman;serif"/>
          <w:b w:val="false"/>
          <w:color w:val="000000"/>
          <w:sz w:val="24"/>
        </w:rPr>
        <w:t xml:space="preserve">13. </w:t>
      </w:r>
      <w:r>
        <w:rPr>
          <w:rFonts w:ascii="Times New Roman;serif" w:hAnsi="Times New Roman;serif"/>
          <w:b/>
          <w:i/>
          <w:color w:val="000000"/>
          <w:sz w:val="24"/>
        </w:rPr>
        <w:t>Section 409A</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It is the Company’s intent that Awards under this Plan be exempt from, or comply with, the requirements of Section 409A of the 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pStyle w:val="TextBody"/>
        <w:bidi w:val="0"/>
        <w:spacing w:lineRule="auto" w:line="288" w:before="0" w:after="120"/>
        <w:jc w:val="left"/>
        <w:rPr/>
      </w:pPr>
      <w:r>
        <w:rPr>
          <w:rFonts w:ascii="Times New Roman;serif" w:hAnsi="Times New Roman;serif"/>
          <w:b w:val="false"/>
          <w:color w:val="000000"/>
          <w:sz w:val="24"/>
        </w:rPr>
        <w:t xml:space="preserve">14. </w:t>
      </w:r>
      <w:r>
        <w:rPr>
          <w:rFonts w:ascii="Times New Roman;serif" w:hAnsi="Times New Roman;serif"/>
          <w:b/>
          <w:i/>
          <w:color w:val="000000"/>
          <w:sz w:val="24"/>
        </w:rPr>
        <w:t>Effective</w:t>
      </w:r>
      <w:r>
        <w:rPr>
          <w:color w:val="000000"/>
        </w:rPr>
        <w:t xml:space="preserve"> </w:t>
      </w:r>
      <w:r>
        <w:rPr>
          <w:rFonts w:ascii="Times New Roman;serif" w:hAnsi="Times New Roman;serif"/>
          <w:b/>
          <w:i/>
          <w:color w:val="000000"/>
          <w:sz w:val="24"/>
        </w:rPr>
        <w:t>Date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Plan became effective upon approval by the stockholders of the Company. The amendments to the Plan shall become effective upon approval by the stockholders of the Company on June 16, 2026.</w:t>
      </w:r>
    </w:p>
    <w:p>
      <w:pPr>
        <w:pStyle w:val="TextBody"/>
        <w:bidi w:val="0"/>
        <w:spacing w:lineRule="auto" w:line="288" w:before="0" w:after="120"/>
        <w:jc w:val="left"/>
        <w:rPr/>
      </w:pPr>
      <w:r>
        <w:rPr>
          <w:rFonts w:ascii="Times New Roman;serif" w:hAnsi="Times New Roman;serif"/>
          <w:b w:val="false"/>
          <w:color w:val="000000"/>
          <w:sz w:val="24"/>
        </w:rPr>
        <w:t xml:space="preserve">15. </w:t>
      </w:r>
      <w:r>
        <w:rPr>
          <w:rFonts w:ascii="Times New Roman;serif" w:hAnsi="Times New Roman;serif"/>
          <w:b/>
          <w:i/>
          <w:color w:val="000000"/>
          <w:sz w:val="24"/>
        </w:rPr>
        <w:t>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If any of the provisions of this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pStyle w:val="TextBody"/>
        <w:bidi w:val="0"/>
        <w:spacing w:lineRule="auto" w:line="288" w:before="0" w:after="120"/>
        <w:jc w:val="left"/>
        <w:rPr/>
      </w:pPr>
      <w:r>
        <w:rPr>
          <w:rFonts w:ascii="Times New Roman;serif" w:hAnsi="Times New Roman;serif"/>
          <w:b w:val="false"/>
          <w:color w:val="000000"/>
          <w:sz w:val="24"/>
        </w:rPr>
        <w:t xml:space="preserve">16. </w:t>
      </w:r>
      <w:r>
        <w:rPr>
          <w:rFonts w:ascii="Times New Roman;serif" w:hAnsi="Times New Roman;serif"/>
          <w:b/>
          <w:i/>
          <w:color w:val="000000"/>
          <w:sz w:val="24"/>
        </w:rPr>
        <w:t>Plan Headings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headings in this Plan are for the purpose of convenience only and are not intended to define or limit the construction of the provisions hereof.</w:t>
      </w:r>
    </w:p>
    <w:p>
      <w:pPr>
        <w:pStyle w:val="TextBody"/>
        <w:bidi w:val="0"/>
        <w:spacing w:lineRule="auto" w:line="288" w:before="0" w:after="120"/>
        <w:jc w:val="left"/>
        <w:rPr/>
      </w:pPr>
      <w:r>
        <w:rPr>
          <w:rFonts w:ascii="Times New Roman;serif" w:hAnsi="Times New Roman;serif"/>
          <w:b w:val="false"/>
          <w:color w:val="000000"/>
          <w:sz w:val="24"/>
        </w:rPr>
        <w:t xml:space="preserve">17. </w:t>
      </w:r>
      <w:r>
        <w:rPr>
          <w:rFonts w:ascii="Times New Roman;serif" w:hAnsi="Times New Roman;serif"/>
          <w:b/>
          <w:i/>
          <w:color w:val="000000"/>
          <w:sz w:val="24"/>
        </w:rPr>
        <w:t>Non–Uniform Treatment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Committee’s determinations under the Plan need not be uniform and may be made by it selectively among Participants (whether or not such Participants are similarly situated). Without limiting the generality of the foregoing, the Committee shall be entitled, among other things, to make non–uniform and selective determinations, amendments and adjustments, and to enter into non–uniform and selective Award Agreements, as to the terms and provisions of Awards under the Plan.</w:t>
      </w:r>
    </w:p>
    <w:p>
      <w:pPr>
        <w:pStyle w:val="TextBody"/>
        <w:bidi w:val="0"/>
        <w:spacing w:lineRule="auto" w:line="288" w:before="0" w:after="120"/>
        <w:jc w:val="left"/>
        <w:rPr/>
      </w:pPr>
      <w:r>
        <w:rPr>
          <w:rFonts w:ascii="Times New Roman;serif" w:hAnsi="Times New Roman;serif"/>
          <w:b w:val="false"/>
          <w:color w:val="000000"/>
          <w:sz w:val="24"/>
        </w:rPr>
        <w:t xml:space="preserve">18. </w:t>
      </w:r>
      <w:r>
        <w:rPr>
          <w:rFonts w:ascii="Times New Roman;serif" w:hAnsi="Times New Roman;serif"/>
          <w:b/>
          <w:i/>
          <w:color w:val="000000"/>
          <w:sz w:val="24"/>
        </w:rPr>
        <w:t>Governing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Plan and any Award Agreements shall be governed by, and construed in accordance with, the laws of the state of Nevada, without reference to principles of conflicts of laws.</w:t>
      </w:r>
    </w:p>
    <w:p>
      <w:pPr>
        <w:pStyle w:val="TextBody"/>
        <w:bidi w:val="0"/>
        <w:spacing w:lineRule="auto" w:line="288" w:before="0" w:after="120"/>
        <w:jc w:val="left"/>
        <w:rPr/>
      </w:pPr>
      <w:r>
        <w:rPr>
          <w:rFonts w:ascii="Times New Roman;serif" w:hAnsi="Times New Roman;serif"/>
          <w:b w:val="false"/>
          <w:color w:val="000000"/>
          <w:sz w:val="24"/>
        </w:rPr>
        <w:t xml:space="preserve">19. </w:t>
      </w:r>
      <w:r>
        <w:rPr>
          <w:rFonts w:ascii="Times New Roman;serif" w:hAnsi="Times New Roman;serif"/>
          <w:b/>
          <w:i/>
          <w:color w:val="000000"/>
          <w:sz w:val="24"/>
        </w:rPr>
        <w:t>Successors and Assigns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terms of the Plan shall be binding upon and inure to the benefit of the Company and its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97" w:after="283"/>
        <w:jc w:val="left"/>
        <w:rPr/>
      </w:pPr>
      <w:r>
        <w:rPr>
          <w:rFonts w:ascii="Times New Roman;serif" w:hAnsi="Times New Roman;serif"/>
          <w:b w:val="false"/>
          <w:color w:val="000000"/>
          <w:sz w:val="24"/>
        </w:rPr>
        <w:t xml:space="preserve">20. </w:t>
      </w:r>
      <w:r>
        <w:rPr>
          <w:rFonts w:ascii="Times New Roman;serif" w:hAnsi="Times New Roman;serif"/>
          <w:b/>
          <w:i/>
          <w:color w:val="000000"/>
          <w:sz w:val="24"/>
        </w:rPr>
        <w:t>Duration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Plan shall remain in effect until June 16, 2036 unless sooner terminated by the Committee or the Board of Directors. Awards theretofore granted may extend beyond that date in accordance with the provisions of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NON-EMPLOYEE DIRECTOR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17365D"/>
          <w:sz w:val="24"/>
        </w:rPr>
      </w:pPr>
      <w:r>
        <w:rPr>
          <w:rFonts w:ascii="Times New Roman;serif" w:hAnsi="Times New Roman;serif"/>
          <w:b w:val="false"/>
          <w:color w:val="17365D"/>
          <w:sz w:val="24"/>
        </w:rPr>
        <w:t>Full Name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both"/>
        <w:rPr/>
      </w:pPr>
      <w:r>
        <w:rPr>
          <w:color w:val="000000"/>
        </w:rPr>
        <w:t>    </w:t>
      </w:r>
      <w:r>
        <w:rPr>
          <w:rFonts w:ascii="Times New Roman;serif" w:hAnsi="Times New Roman;serif"/>
          <w:b w:val="false"/>
          <w:color w:val="000000"/>
          <w:sz w:val="24"/>
        </w:rPr>
        <w:t xml:space="preserve">Pursuant to the AMC Global Media Inc. (the “Company”) Amended and Restated 2011 Stock Plan for Non-Employee Directors (the “Plan”) and this award agreement (this “Agreement”), you have been granted, effective as of June 16, 2026, </w:t>
      </w:r>
      <w:r>
        <w:rPr>
          <w:rFonts w:ascii="Times New Roman;serif" w:hAnsi="Times New Roman;serif"/>
          <w:b w:val="false"/>
          <w:color w:val="17365D"/>
          <w:sz w:val="24"/>
        </w:rPr>
        <w:t>[ ]</w:t>
      </w:r>
      <w:r>
        <w:rPr>
          <w:color w:val="000000"/>
        </w:rPr>
        <w:t xml:space="preserve"> </w:t>
      </w:r>
      <w:r>
        <w:rPr>
          <w:rFonts w:ascii="Times New Roman;serif" w:hAnsi="Times New Roman;serif"/>
          <w:b w:val="false"/>
          <w:color w:val="000000"/>
          <w:sz w:val="24"/>
        </w:rPr>
        <w:t xml:space="preserve">director stock units (“Units”), representing the right to receive a cash amount equal to the Fair Market Value of </w:t>
      </w:r>
      <w:r>
        <w:rPr>
          <w:rFonts w:ascii="Times New Roman;serif" w:hAnsi="Times New Roman;serif"/>
          <w:b w:val="false"/>
          <w:color w:val="17365D"/>
          <w:sz w:val="24"/>
        </w:rPr>
        <w:t>[ ]</w:t>
      </w:r>
      <w:r>
        <w:rPr>
          <w:color w:val="000000"/>
        </w:rPr>
        <w:t xml:space="preserve"> </w:t>
      </w:r>
      <w:r>
        <w:rPr>
          <w:rFonts w:ascii="Times New Roman;serif" w:hAnsi="Times New Roman;serif"/>
          <w:b w:val="false"/>
          <w:color w:val="000000"/>
          <w:sz w:val="24"/>
        </w:rPr>
        <w:t xml:space="preserve">shares of AMC Global Media Inc. Class A common stock, par value $0.01 per share (“Shares”) on the Delivery Date as set forth herein. The Units are granted subject to the terms and conditions of this Agreement set forth below and in the Plan: </w:t>
      </w:r>
    </w:p>
    <w:p>
      <w:pPr>
        <w:pStyle w:val="TextBody"/>
        <w:bidi w:val="0"/>
        <w:spacing w:before="0" w:after="0"/>
        <w:jc w:val="both"/>
        <w:rPr/>
      </w:pPr>
      <w:r>
        <w:rPr/>
      </w:r>
    </w:p>
    <w:p>
      <w:pPr>
        <w:pStyle w:val="TextBody"/>
        <w:bidi w:val="0"/>
        <w:spacing w:lineRule="auto" w:line="417" w:before="0" w:after="0"/>
        <w:jc w:val="both"/>
        <w:rPr/>
      </w:pPr>
      <w:r>
        <w:rPr>
          <w:color w:val="000000"/>
        </w:rPr>
        <w:t>    </w:t>
      </w:r>
      <w:r>
        <w:rPr>
          <w:rFonts w:ascii="Times New Roman;serif" w:hAnsi="Times New Roman;serif"/>
          <w:b w:val="false"/>
          <w:color w:val="000000"/>
          <w:sz w:val="24"/>
        </w:rPr>
        <w:t>1.    </w:t>
      </w:r>
      <w:r>
        <w:rPr>
          <w:rFonts w:ascii="Times New Roman;serif" w:hAnsi="Times New Roman;serif"/>
          <w:b/>
          <w:color w:val="000000"/>
          <w:sz w:val="24"/>
          <w:u w:val="single"/>
        </w:rPr>
        <w:t>DIRECTOR STOCK UNITS</w:t>
      </w:r>
    </w:p>
    <w:p>
      <w:pPr>
        <w:pStyle w:val="TextBody"/>
        <w:bidi w:val="0"/>
        <w:spacing w:before="0" w:after="0"/>
        <w:jc w:val="both"/>
        <w:rPr/>
      </w:pPr>
      <w:r>
        <w:rPr/>
      </w:r>
    </w:p>
    <w:p>
      <w:pPr>
        <w:pStyle w:val="TextBody"/>
        <w:bidi w:val="0"/>
        <w:spacing w:lineRule="auto" w:line="417"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1.1    Each Unit shall represent a fully vested unfunded, unsecured promise by the Company to deliver to you a cash amount equal to the Fair Market Value of a Share, on the first business day after the expiration of 90 days following the date on which you terminate your service as a member of the Board of Directors, as long as that termination of services qualifies as a “separation from service” as provided in Section 5 below (the “Delivery Date”). </w:t>
      </w:r>
    </w:p>
    <w:p>
      <w:pPr>
        <w:pStyle w:val="TextBody"/>
        <w:bidi w:val="0"/>
        <w:spacing w:before="0" w:after="0"/>
        <w:jc w:val="both"/>
        <w:rPr/>
      </w:pPr>
      <w:r>
        <w:rPr/>
      </w:r>
    </w:p>
    <w:p>
      <w:pPr>
        <w:pStyle w:val="TextBody"/>
        <w:bidi w:val="0"/>
        <w:spacing w:lineRule="auto" w:line="417"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Notwithstanding any other provision to the contrary, if you die prior to the Delivery Date, a cash amount equal to the Fair Market Value of the Shares corresponding to your outstanding Units shall be delivered as soon as practicable thereafter to your estate.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u w:val="single"/>
        </w:rPr>
        <w:t>NONTRANSFERABILITY OF UNITS</w:t>
      </w:r>
    </w:p>
    <w:p>
      <w:pPr>
        <w:pStyle w:val="TextBody"/>
        <w:bidi w:val="0"/>
        <w:spacing w:before="0" w:after="0"/>
        <w:ind w:left="0" w:right="0" w:firstLine="720"/>
        <w:jc w:val="both"/>
        <w:rPr/>
      </w:pPr>
      <w:r>
        <w:rPr/>
      </w:r>
    </w:p>
    <w:p>
      <w:pPr>
        <w:pStyle w:val="TextBody"/>
        <w:bidi w:val="0"/>
        <w:spacing w:lineRule="auto" w:line="417"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Units (or any rights and obligations thereunder) granted to you may not be sold, exchanged, transferred, assigned, pledged, hypothecated or otherwise disposed of, whether voluntarily or involuntarily, other than by will or by the laws of descent and distribution, and all rights with respect to Units shall be exercisable during your lifetime only by you or your legal representative. Notwithstanding the immediately preceding sentence, (i) you may transfer the Units to a trust or similar vehicle for the benefit of a member of your immediate family; provided that (a) you remain a trustee or co-trustee of such trust and (b) you give the Company three business days advance written notice of any such proposed transfer, and (ii) the Committee may permit, under such terms and conditions that it deems appropriate in its sole discretion, you to transfer any Unit to any other person or entity that the Committee so determines. Any assignment in violation of the provisions of this Section or Section 11 of the Plan shall be void. </w:t>
      </w:r>
    </w:p>
    <w:p>
      <w:pPr>
        <w:pStyle w:val="TextBody"/>
        <w:bidi w:val="0"/>
        <w:spacing w:before="0" w:after="0"/>
        <w:jc w:val="both"/>
        <w:rPr/>
      </w:pPr>
      <w:r>
        <w:rPr/>
      </w:r>
    </w:p>
    <w:p>
      <w:pPr>
        <w:pStyle w:val="TextBody"/>
        <w:bidi w:val="0"/>
        <w:spacing w:lineRule="auto" w:line="417" w:before="0" w:after="0"/>
        <w:jc w:val="both"/>
        <w:rPr/>
      </w:pPr>
      <w:r>
        <w:rPr>
          <w:color w:val="000000"/>
        </w:rPr>
        <w:t>    </w:t>
      </w:r>
      <w:r>
        <w:rPr>
          <w:rFonts w:ascii="Times New Roman;serif" w:hAnsi="Times New Roman;serif"/>
          <w:b w:val="false"/>
          <w:color w:val="000000"/>
          <w:sz w:val="24"/>
        </w:rPr>
        <w:t>3.    </w:t>
      </w:r>
      <w:r>
        <w:rPr>
          <w:rFonts w:ascii="Times New Roman;serif" w:hAnsi="Times New Roman;serif"/>
          <w:b/>
          <w:color w:val="000000"/>
          <w:sz w:val="24"/>
          <w:u w:val="single"/>
        </w:rPr>
        <w:t>COMPLIANCE WITH LAWS</w:t>
      </w:r>
    </w:p>
    <w:p>
      <w:pPr>
        <w:pStyle w:val="TextBody"/>
        <w:bidi w:val="0"/>
        <w:spacing w:before="0" w:after="0"/>
        <w:jc w:val="both"/>
        <w:rPr/>
      </w:pPr>
      <w:r>
        <w:rPr/>
      </w:r>
    </w:p>
    <w:p>
      <w:pPr>
        <w:pStyle w:val="TextBody"/>
        <w:bidi w:val="0"/>
        <w:spacing w:lineRule="auto" w:line="417"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the Company’s intent that the award of Units granted comply in all respects with Rule 16b-3 of the Securities Exchange Act of 1934, as amended (the “Act”). All actions with respect to Units under the Plan shall be executed in accordance with the requirements of Section 16 of the Act, as amended, and any regulations promulgated thereunder. To the extent that any of the provisions contained herein do not conform with Rule 16b-3 of the Act or any amendments thereto or any successor regulation, then the Committee may make such modifications so as to conform the Units granted thereunder to the Rule’s requirements.</w:t>
      </w:r>
    </w:p>
    <w:p>
      <w:pPr>
        <w:pStyle w:val="TextBody"/>
        <w:bidi w:val="0"/>
        <w:spacing w:before="0" w:after="0"/>
        <w:ind w:left="0" w:right="0" w:firstLine="720"/>
        <w:jc w:val="both"/>
        <w:rPr/>
      </w:pPr>
      <w:r>
        <w:rPr/>
      </w:r>
    </w:p>
    <w:p>
      <w:pPr>
        <w:pStyle w:val="TextBody"/>
        <w:bidi w:val="0"/>
        <w:spacing w:lineRule="auto" w:line="417" w:before="0" w:after="0"/>
        <w:jc w:val="both"/>
        <w:rPr/>
      </w:pPr>
      <w:r>
        <w:rPr>
          <w:color w:val="000000"/>
        </w:rPr>
        <w:t>    </w:t>
      </w:r>
      <w:r>
        <w:rPr>
          <w:rFonts w:ascii="Times New Roman;serif" w:hAnsi="Times New Roman;serif"/>
          <w:b w:val="false"/>
          <w:color w:val="000000"/>
          <w:sz w:val="24"/>
        </w:rPr>
        <w:t>4.    </w:t>
      </w:r>
      <w:r>
        <w:rPr>
          <w:rFonts w:ascii="Times New Roman;serif" w:hAnsi="Times New Roman;serif"/>
          <w:b/>
          <w:color w:val="000000"/>
          <w:sz w:val="24"/>
          <w:u w:val="single"/>
        </w:rPr>
        <w:t>TAX WITHHOLDING</w:t>
      </w:r>
    </w:p>
    <w:p>
      <w:pPr>
        <w:pStyle w:val="TextBody"/>
        <w:bidi w:val="0"/>
        <w:spacing w:before="0" w:after="0"/>
        <w:jc w:val="both"/>
        <w:rPr/>
      </w:pPr>
      <w:r>
        <w:rPr/>
      </w:r>
    </w:p>
    <w:p>
      <w:pPr>
        <w:pStyle w:val="TextBody"/>
        <w:bidi w:val="0"/>
        <w:spacing w:lineRule="auto" w:line="417"/>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Company shall be required to withhold any amounts by reason of any federal, state or local tax laws, rules or regulations in respect of the Units, you shall make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available to the Company, promptly when requested by the Company, sufficient funds to meet the requirements of such withholding and the Company shall be entitled to take and authorize such steps as it may deem advisable in order to have such funds available to the Company out of any funds or property to become due to you.</w:t>
      </w:r>
    </w:p>
    <w:p>
      <w:pPr>
        <w:pStyle w:val="TextBody"/>
        <w:bidi w:val="0"/>
        <w:spacing w:before="0" w:after="0"/>
        <w:ind w:left="0" w:right="0" w:firstLine="720"/>
        <w:jc w:val="both"/>
        <w:rPr/>
      </w:pPr>
      <w:r>
        <w:rPr/>
      </w:r>
    </w:p>
    <w:p>
      <w:pPr>
        <w:pStyle w:val="TextBody"/>
        <w:bidi w:val="0"/>
        <w:spacing w:lineRule="auto" w:line="417" w:before="0" w:after="0"/>
        <w:jc w:val="both"/>
        <w:rPr/>
      </w:pPr>
      <w:r>
        <w:rPr>
          <w:color w:val="000000"/>
        </w:rPr>
        <w:t>    </w:t>
      </w:r>
      <w:r>
        <w:rPr>
          <w:rFonts w:ascii="Times New Roman;serif" w:hAnsi="Times New Roman;serif"/>
          <w:b w:val="false"/>
          <w:color w:val="000000"/>
          <w:sz w:val="24"/>
        </w:rPr>
        <w:t>5.    </w:t>
      </w:r>
      <w:r>
        <w:rPr>
          <w:rFonts w:ascii="Times New Roman;serif" w:hAnsi="Times New Roman;serif"/>
          <w:b/>
          <w:color w:val="000000"/>
          <w:sz w:val="24"/>
          <w:u w:val="single"/>
        </w:rPr>
        <w:t>SECTION 409A</w:t>
      </w:r>
    </w:p>
    <w:p>
      <w:pPr>
        <w:pStyle w:val="TextBody"/>
        <w:bidi w:val="0"/>
        <w:spacing w:before="0" w:after="0"/>
        <w:ind w:left="0" w:right="0" w:firstLine="720"/>
        <w:jc w:val="both"/>
        <w:rPr/>
      </w:pPr>
      <w:r>
        <w:rPr/>
      </w:r>
    </w:p>
    <w:p>
      <w:pPr>
        <w:pStyle w:val="TextBody"/>
        <w:bidi w:val="0"/>
        <w:spacing w:lineRule="auto" w:line="417" w:before="0" w:after="0"/>
        <w:ind w:left="0" w:right="0" w:firstLine="720"/>
        <w:jc w:val="both"/>
        <w:rPr/>
      </w:pPr>
      <w:r>
        <w:rPr>
          <w:rFonts w:ascii="Times New Roman;serif" w:hAnsi="Times New Roman;serif"/>
          <w:b w:val="false"/>
          <w:color w:val="000000"/>
          <w:sz w:val="24"/>
        </w:rPr>
        <w:t>It is the Company’s intent that the award of Units comply with the requirements of Section 409A of the Internal Revenue Code of 1986, as amended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and that the award be administered and interpreted accordingly. If and to the extent that any payment or benefit under the award is determined by the Company to constitute “non-qualified deferred compensation” subject to Section 409A and is payable to you by reason of your termination of service, then (a) such payment or benefit shall be made or provided to you only upon a “separation from service” as defined for purposes of Section 409A under applicable regulations, provided that the service recipient and the employer for this purpose shall be the service recipient as defined by Treasury Regulation Section 1.409A-1(g), and (b) if you are a “specified employee” (within the meaning of Section 409A and as determined by the Company), such payment or benefit shall not be made or provided before the date that is six months after the date of your separation from service (or earlier death). </w:t>
      </w:r>
    </w:p>
    <w:p>
      <w:pPr>
        <w:pStyle w:val="TextBody"/>
        <w:bidi w:val="0"/>
        <w:spacing w:lineRule="auto" w:line="417"/>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be aware that serving as an employee of the Company or its subsidiaries after terminating your service as a member of the Board of Directors may result in the termination of your service as a member of the Board of Directors not qualifying as a “separation from service” as defined above. Conversely, your termination of service as a member of the Board of Directors may still qualify as a “separation from service” as defined above for purposes of the Units under this Award even if you serve as a non-employee director on the board of directors of other companies that are not subsidiaries of the Company. Any determination of whether a “separation from service” has occurred will be made by the Company based on the facts and applicable law in effect at the time of determination and will be final.</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417"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Sections 3.2, 7 or 9 of the Plan to the contrary, any amendment to the terms of any outstanding award or any delay in the issuance or delivery of any cash amount hereunder shall comply with Section 409A.</w:t>
      </w:r>
    </w:p>
    <w:p>
      <w:pPr>
        <w:pStyle w:val="TextBody"/>
        <w:bidi w:val="0"/>
        <w:spacing w:before="0" w:after="0"/>
        <w:ind w:left="0" w:right="0" w:firstLine="720"/>
        <w:jc w:val="both"/>
        <w:rPr/>
      </w:pPr>
      <w:r>
        <w:rPr/>
      </w:r>
    </w:p>
    <w:p>
      <w:pPr>
        <w:pStyle w:val="TextBody"/>
        <w:bidi w:val="0"/>
        <w:spacing w:lineRule="auto" w:line="417" w:before="0" w:after="0"/>
        <w:jc w:val="both"/>
        <w:rPr/>
      </w:pPr>
      <w:r>
        <w:rPr>
          <w:color w:val="000000"/>
        </w:rPr>
        <w:t>    </w:t>
      </w:r>
      <w:r>
        <w:rPr>
          <w:rFonts w:ascii="Times New Roman;serif" w:hAnsi="Times New Roman;serif"/>
          <w:b w:val="false"/>
          <w:color w:val="000000"/>
          <w:sz w:val="24"/>
        </w:rPr>
        <w:t>6.    </w:t>
      </w:r>
      <w:r>
        <w:rPr>
          <w:rFonts w:ascii="Times New Roman;serif" w:hAnsi="Times New Roman;serif"/>
          <w:b/>
          <w:color w:val="000000"/>
          <w:sz w:val="24"/>
          <w:u w:val="single"/>
        </w:rPr>
        <w:t>GENERAL</w:t>
      </w:r>
    </w:p>
    <w:p>
      <w:pPr>
        <w:pStyle w:val="TextBody"/>
        <w:bidi w:val="0"/>
        <w:spacing w:before="0" w:after="0"/>
        <w:jc w:val="both"/>
        <w:rPr/>
      </w:pPr>
      <w:r>
        <w:rPr/>
      </w:r>
    </w:p>
    <w:p>
      <w:pPr>
        <w:pStyle w:val="TextBody"/>
        <w:bidi w:val="0"/>
        <w:spacing w:lineRule="auto" w:line="417"/>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Units granted by this letter are being issued pursuant and subject to the Plan. Capitalized terms used herein without definition shall have the meanings given to such terms that are defined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AMC GLOBAL MEDIA INC.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Kristin Dolan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your electronic signature, you (i) acknowledge that a complete copy of the Plan and the final execution version of this Agreement have been made available to you and (ii) agree to all of the terms and conditions set forth in the Plan and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1" w:before="0" w:after="200"/>
        <w:jc w:val="right"/>
        <w:rPr>
          <w:rFonts w:ascii="Times New Roman;serif" w:hAnsi="Times New Roman;serif"/>
          <w:b w:val="false"/>
          <w:color w:val="000000"/>
          <w:sz w:val="20"/>
        </w:rPr>
      </w:pPr>
      <w:r>
        <w:rPr>
          <w:rFonts w:ascii="Times New Roman;serif" w:hAnsi="Times New Roman;serif"/>
          <w:b w:val="false"/>
          <w:color w:val="000000"/>
          <w:sz w:val="20"/>
        </w:rPr>
        <w:t>Exhibit 22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List of Guarantor Subsidiaries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As of June 30, 2026, the following subsidiaries of AMC Global Media Inc. guarantee the notes issued by AMC Global Media Inc.</w:t>
      </w:r>
    </w:p>
    <w:tbl>
      <w:tblPr>
        <w:tblW w:w="6042" w:type="dxa"/>
        <w:jc w:val="left"/>
        <w:tblInd w:w="0" w:type="dxa"/>
        <w:tblLayout w:type="fixed"/>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Formation</w:t>
            </w:r>
          </w:p>
        </w:tc>
      </w:tr>
      <w:tr>
        <w:trPr/>
        <w:tc>
          <w:tcPr>
            <w:tcW w:w="3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Content Distribution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 Film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Games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 Entertainment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Networks Broadcasting &amp;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Global Media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Networks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New Video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 Plus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 TV Studios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AMC/Sundance Channel Global Networks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AMCN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American Movie Classics IV Holding Corp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Animal Control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Anime Network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Badlands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Louisiana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Badlands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Cobalt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Crossed Pens Development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Dark Winds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Digital Store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Expedition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Five Moons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Geese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Ground Work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HIDIVE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Entertainment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Entertainment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Films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In Theaters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Television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Theatres Concessions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Theatres,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IFC TV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 Creative Contents Alliance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76"/>
        <w:gridCol w:w="948"/>
        <w:gridCol w:w="960"/>
        <w:gridCol w:w="109"/>
        <w:gridCol w:w="109"/>
        <w:gridCol w:w="109"/>
        <w:gridCol w:w="619"/>
        <w:gridCol w:w="619"/>
        <w:gridCol w:w="877"/>
      </w:tblGrid>
      <w:tr>
        <w:trPr/>
        <w:tc>
          <w:tcPr>
            <w:tcW w:w="107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Guarantor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Formation</w:t>
            </w:r>
          </w:p>
        </w:tc>
      </w:tr>
      <w:tr>
        <w:trPr/>
        <w:tc>
          <w:tcPr>
            <w:tcW w:w="29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Making Waves Studio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Mechanical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Monument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Moonhaven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Newfound Lake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Video Channel America,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NOS4A2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Rhode Island</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Peach Pit Properties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Peachwood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Racing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Georgia</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Rainbow Media Enterprises,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Rainbow Media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 Monday Programming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RNC Holding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RNC II Holding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Roughhouse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Selects VOD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Sentai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Sentai Filmworks,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Shudder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Sundance Film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SundanceTV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IV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IX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VI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VII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VIII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TWD Productions X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TWD Productions 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Universe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Vampire Chronicles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Louisiana</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Voom HD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tv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TV Studios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Woodbury Studios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 Kristin A. Dolan, certify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AMC Global Media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57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Hozefa Lokhandwala, certify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AMC Global Media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94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Hozefa Lokhandwala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Hozefa Lokhandwala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3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 1350, each of the undersigned officers of AMC Global Media Inc. (“AMC Global Media”) hereby certifies, to such officer’s knowledge, that AMC Global Media's Quarterly Report on Form 10-Q for the quarter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AMC Global Media.</w:t>
      </w:r>
    </w:p>
    <w:tbl>
      <w:tblPr>
        <w:tblW w:w="457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694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Hozefa Lokhandwala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Hozefa Lokhandwala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4991/000151499126000068/ex101june162026.htm" TargetMode="External"/><Relationship Id="rId3" Type="http://schemas.openxmlformats.org/officeDocument/2006/relationships/hyperlink" Target="https://www.sec.gov/Archives/edgar/data/1514991/000151499126000068/ex102june162026.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31428</Words>
  <Characters>175951</Characters>
  <CharactersWithSpaces>205554</CharactersWithSpaces>
  <Paragraphs>3695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