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88265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400" w:hanging="618"/>
        <w:spacing w:after="0"/>
        <w:tabs>
          <w:tab w:leader="none" w:pos="1400" w:val="left"/>
        </w:tabs>
        <w:numPr>
          <w:ilvl w:val="0"/>
          <w:numId w:val="1"/>
        </w:numPr>
        <w:rPr>
          <w:rFonts w:ascii="MS PGothic" w:cs="MS PGothic" w:eastAsia="MS PGothic" w:hAnsi="MS PGothic"/>
          <w:sz w:val="43"/>
          <w:szCs w:val="43"/>
          <w:color w:val="auto"/>
          <w:vertAlign w:val="superscript"/>
        </w:rPr>
      </w:pPr>
      <w:r>
        <w:rPr>
          <w:rFonts w:ascii="Arial" w:cs="Arial" w:eastAsia="Arial" w:hAnsi="Arial"/>
          <w:sz w:val="18"/>
          <w:szCs w:val="18"/>
          <w:b w:val="1"/>
          <w:bCs w:val="1"/>
          <w:color w:val="auto"/>
        </w:rPr>
        <w:t>Quarterly report pursuant to Section 13 or 15(d) of the Securities Exchange Act of 1934</w:t>
      </w:r>
    </w:p>
    <w:p>
      <w:pPr>
        <w:spacing w:after="0" w:line="96"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ind w:left="1400" w:hanging="618"/>
        <w:spacing w:after="0" w:line="185" w:lineRule="auto"/>
        <w:tabs>
          <w:tab w:leader="none" w:pos="1400" w:val="left"/>
        </w:tabs>
        <w:numPr>
          <w:ilvl w:val="0"/>
          <w:numId w:val="2"/>
        </w:numPr>
        <w:rPr>
          <w:rFonts w:ascii="MS PGothic" w:cs="MS PGothic" w:eastAsia="MS PGothic" w:hAnsi="MS PGothic"/>
          <w:sz w:val="43"/>
          <w:szCs w:val="43"/>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98"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auto"/>
                <w:w w:val="93"/>
              </w:rPr>
              <w:t>For the transition period from</w:t>
            </w:r>
          </w:p>
        </w:tc>
        <w:tc>
          <w:tcPr>
            <w:tcW w:w="4240" w:type="dxa"/>
            <w:vAlign w:val="bottom"/>
            <w:gridSpan w:val="2"/>
          </w:tcPr>
          <w:p>
            <w:pPr>
              <w:ind w:left="60"/>
              <w:spacing w:after="0"/>
              <w:rPr>
                <w:sz w:val="20"/>
                <w:szCs w:val="20"/>
                <w:color w:val="auto"/>
              </w:rPr>
            </w:pPr>
            <w:r>
              <w:rPr>
                <w:rFonts w:ascii="Arial" w:cs="Arial" w:eastAsia="Arial" w:hAnsi="Arial"/>
                <w:sz w:val="18"/>
                <w:szCs w:val="18"/>
                <w:b w:val="1"/>
                <w:bCs w:val="1"/>
                <w:color w:val="auto"/>
              </w:rPr>
              <w:t>to</w:t>
            </w:r>
          </w:p>
        </w:tc>
      </w:tr>
      <w:tr>
        <w:trPr>
          <w:trHeight w:val="250"/>
        </w:trPr>
        <w:tc>
          <w:tcPr>
            <w:tcW w:w="2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34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w w:val="91"/>
              </w:rPr>
              <w:t>Commission File Number: 1-35106</w:t>
            </w:r>
          </w:p>
        </w:tc>
      </w:tr>
      <w:tr>
        <w:trPr>
          <w:trHeight w:val="135"/>
        </w:trPr>
        <w:tc>
          <w:tcPr>
            <w:tcW w:w="25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71"/>
        </w:trPr>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40" w:type="dxa"/>
            <w:vAlign w:val="bottom"/>
            <w:gridSpan w:val="3"/>
          </w:tcPr>
          <w:p>
            <w:pPr>
              <w:jc w:val="center"/>
              <w:ind w:right="2700"/>
              <w:spacing w:after="0"/>
              <w:rPr>
                <w:sz w:val="20"/>
                <w:szCs w:val="20"/>
                <w:color w:val="auto"/>
              </w:rPr>
            </w:pPr>
            <w:r>
              <w:rPr>
                <w:rFonts w:ascii="Arial" w:cs="Arial" w:eastAsia="Arial" w:hAnsi="Arial"/>
                <w:sz w:val="29"/>
                <w:szCs w:val="29"/>
                <w:b w:val="1"/>
                <w:bCs w:val="1"/>
                <w:color w:val="auto"/>
                <w:w w:val="94"/>
              </w:rPr>
              <w:t>AMC Networks Inc.</w:t>
            </w:r>
          </w:p>
        </w:tc>
      </w:tr>
      <w:tr>
        <w:trPr>
          <w:trHeight w:val="259"/>
        </w:trPr>
        <w:tc>
          <w:tcPr>
            <w:tcW w:w="2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340" w:type="dxa"/>
            <w:vAlign w:val="bottom"/>
            <w:gridSpan w:val="3"/>
          </w:tcPr>
          <w:p>
            <w:pPr>
              <w:jc w:val="center"/>
              <w:ind w:right="268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52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439"/>
        </w:trPr>
        <w:tc>
          <w:tcPr>
            <w:tcW w:w="3280" w:type="dxa"/>
            <w:vAlign w:val="bottom"/>
            <w:gridSpan w:val="2"/>
          </w:tcPr>
          <w:p>
            <w:pPr>
              <w:jc w:val="center"/>
              <w:ind w:left="1239"/>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tcPr>
          <w:p>
            <w:pPr>
              <w:spacing w:after="0"/>
              <w:rPr>
                <w:sz w:val="24"/>
                <w:szCs w:val="24"/>
                <w:color w:val="auto"/>
              </w:rPr>
            </w:pPr>
          </w:p>
        </w:tc>
        <w:tc>
          <w:tcPr>
            <w:tcW w:w="424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27-5403694</w:t>
            </w:r>
          </w:p>
        </w:tc>
      </w:tr>
      <w:tr>
        <w:trPr>
          <w:trHeight w:val="148"/>
        </w:trPr>
        <w:tc>
          <w:tcPr>
            <w:tcW w:w="3280" w:type="dxa"/>
            <w:vAlign w:val="bottom"/>
            <w:gridSpan w:val="2"/>
          </w:tcPr>
          <w:p>
            <w:pPr>
              <w:jc w:val="center"/>
              <w:ind w:left="12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100" w:type="dxa"/>
            <w:vAlign w:val="bottom"/>
          </w:tcPr>
          <w:p>
            <w:pPr>
              <w:spacing w:after="0"/>
              <w:rPr>
                <w:sz w:val="12"/>
                <w:szCs w:val="12"/>
                <w:color w:val="auto"/>
              </w:rPr>
            </w:pPr>
          </w:p>
        </w:tc>
        <w:tc>
          <w:tcPr>
            <w:tcW w:w="4240" w:type="dxa"/>
            <w:vAlign w:val="bottom"/>
            <w:gridSpan w:val="2"/>
          </w:tcPr>
          <w:p>
            <w:pPr>
              <w:jc w:val="center"/>
              <w:ind w:left="7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80" w:type="dxa"/>
            <w:vAlign w:val="bottom"/>
            <w:gridSpan w:val="2"/>
          </w:tcPr>
          <w:p>
            <w:pPr>
              <w:jc w:val="center"/>
              <w:ind w:left="1239"/>
              <w:spacing w:after="0"/>
              <w:rPr>
                <w:sz w:val="20"/>
                <w:szCs w:val="20"/>
                <w:color w:val="auto"/>
              </w:rPr>
            </w:pPr>
            <w:r>
              <w:rPr>
                <w:rFonts w:ascii="Arial" w:cs="Arial" w:eastAsia="Arial" w:hAnsi="Arial"/>
                <w:sz w:val="14"/>
                <w:szCs w:val="14"/>
                <w:b w:val="1"/>
                <w:bCs w:val="1"/>
                <w:color w:val="auto"/>
                <w:w w:val="94"/>
              </w:rPr>
              <w:t>incorporation or organization)</w:t>
            </w:r>
          </w:p>
        </w:tc>
        <w:tc>
          <w:tcPr>
            <w:tcW w:w="2100" w:type="dxa"/>
            <w:vAlign w:val="bottom"/>
          </w:tcPr>
          <w:p>
            <w:pPr>
              <w:spacing w:after="0"/>
              <w:rPr>
                <w:sz w:val="16"/>
                <w:szCs w:val="16"/>
                <w:color w:val="auto"/>
              </w:rPr>
            </w:pPr>
          </w:p>
        </w:tc>
        <w:tc>
          <w:tcPr>
            <w:tcW w:w="4240" w:type="dxa"/>
            <w:vAlign w:val="bottom"/>
            <w:gridSpan w:val="2"/>
          </w:tcPr>
          <w:p>
            <w:pPr>
              <w:jc w:val="center"/>
              <w:ind w:left="759"/>
              <w:spacing w:after="0"/>
              <w:rPr>
                <w:sz w:val="20"/>
                <w:szCs w:val="20"/>
                <w:color w:val="auto"/>
              </w:rPr>
            </w:pPr>
            <w:r>
              <w:rPr>
                <w:rFonts w:ascii="Arial" w:cs="Arial" w:eastAsia="Arial" w:hAnsi="Arial"/>
                <w:sz w:val="14"/>
                <w:szCs w:val="14"/>
                <w:b w:val="1"/>
                <w:bCs w:val="1"/>
                <w:color w:val="auto"/>
                <w:w w:val="94"/>
              </w:rPr>
              <w:t>Identification No.)</w:t>
            </w:r>
          </w:p>
        </w:tc>
      </w:tr>
      <w:tr>
        <w:trPr>
          <w:trHeight w:val="295"/>
        </w:trPr>
        <w:tc>
          <w:tcPr>
            <w:tcW w:w="3280" w:type="dxa"/>
            <w:vAlign w:val="bottom"/>
            <w:gridSpan w:val="2"/>
          </w:tcPr>
          <w:p>
            <w:pPr>
              <w:jc w:val="center"/>
              <w:ind w:left="1239"/>
              <w:spacing w:after="0"/>
              <w:rPr>
                <w:sz w:val="20"/>
                <w:szCs w:val="20"/>
                <w:color w:val="auto"/>
              </w:rPr>
            </w:pPr>
            <w:r>
              <w:rPr>
                <w:rFonts w:ascii="Arial" w:cs="Arial" w:eastAsia="Arial" w:hAnsi="Arial"/>
                <w:sz w:val="18"/>
                <w:szCs w:val="18"/>
                <w:b w:val="1"/>
                <w:bCs w:val="1"/>
                <w:color w:val="auto"/>
                <w:w w:val="89"/>
              </w:rPr>
              <w:t>11 Penn Plaza,</w:t>
            </w:r>
          </w:p>
        </w:tc>
        <w:tc>
          <w:tcPr>
            <w:tcW w:w="2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3280" w:type="dxa"/>
            <w:vAlign w:val="bottom"/>
            <w:gridSpan w:val="2"/>
          </w:tcPr>
          <w:p>
            <w:pPr>
              <w:ind w:left="1480"/>
              <w:spacing w:after="0"/>
              <w:rPr>
                <w:sz w:val="20"/>
                <w:szCs w:val="20"/>
                <w:color w:val="auto"/>
              </w:rPr>
            </w:pPr>
            <w:r>
              <w:rPr>
                <w:rFonts w:ascii="Arial" w:cs="Arial" w:eastAsia="Arial" w:hAnsi="Arial"/>
                <w:sz w:val="18"/>
                <w:szCs w:val="18"/>
                <w:b w:val="1"/>
                <w:bCs w:val="1"/>
                <w:color w:val="auto"/>
              </w:rPr>
              <w:t>New York, NY</w:t>
            </w:r>
          </w:p>
        </w:tc>
        <w:tc>
          <w:tcPr>
            <w:tcW w:w="2100" w:type="dxa"/>
            <w:vAlign w:val="bottom"/>
          </w:tcPr>
          <w:p>
            <w:pPr>
              <w:spacing w:after="0"/>
              <w:rPr>
                <w:sz w:val="20"/>
                <w:szCs w:val="20"/>
                <w:color w:val="auto"/>
              </w:rPr>
            </w:pPr>
          </w:p>
        </w:tc>
        <w:tc>
          <w:tcPr>
            <w:tcW w:w="424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10001</w:t>
            </w:r>
          </w:p>
        </w:tc>
      </w:tr>
      <w:tr>
        <w:trPr>
          <w:trHeight w:val="190"/>
        </w:trPr>
        <w:tc>
          <w:tcPr>
            <w:tcW w:w="5380" w:type="dxa"/>
            <w:vAlign w:val="bottom"/>
            <w:gridSpan w:val="3"/>
          </w:tcPr>
          <w:p>
            <w:pPr>
              <w:jc w:val="center"/>
              <w:ind w:right="691"/>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4240" w:type="dxa"/>
            <w:vAlign w:val="bottom"/>
            <w:gridSpan w:val="2"/>
          </w:tcPr>
          <w:p>
            <w:pPr>
              <w:jc w:val="center"/>
              <w:ind w:left="759"/>
              <w:spacing w:after="0"/>
              <w:rPr>
                <w:sz w:val="20"/>
                <w:szCs w:val="20"/>
                <w:color w:val="auto"/>
              </w:rPr>
            </w:pPr>
            <w:r>
              <w:rPr>
                <w:rFonts w:ascii="Arial" w:cs="Arial" w:eastAsia="Arial" w:hAnsi="Arial"/>
                <w:sz w:val="14"/>
                <w:szCs w:val="14"/>
                <w:b w:val="1"/>
                <w:bCs w:val="1"/>
                <w:color w:val="auto"/>
                <w:w w:val="98"/>
              </w:rPr>
              <w:t>(Zip Code)</w:t>
            </w:r>
          </w:p>
        </w:tc>
      </w:tr>
      <w:tr>
        <w:trPr>
          <w:trHeight w:val="354"/>
        </w:trPr>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2"/>
          </w:tcPr>
          <w:p>
            <w:pPr>
              <w:jc w:val="center"/>
              <w:ind w:right="699"/>
              <w:spacing w:after="0"/>
              <w:rPr>
                <w:sz w:val="20"/>
                <w:szCs w:val="20"/>
                <w:color w:val="auto"/>
              </w:rPr>
            </w:pPr>
            <w:r>
              <w:rPr>
                <w:rFonts w:ascii="Arial" w:cs="Arial" w:eastAsia="Arial" w:hAnsi="Arial"/>
                <w:sz w:val="18"/>
                <w:szCs w:val="18"/>
                <w:b w:val="1"/>
                <w:bCs w:val="1"/>
                <w:color w:val="auto"/>
                <w:w w:val="90"/>
              </w:rPr>
              <w:t>(212) 324-8500</w:t>
            </w:r>
          </w:p>
        </w:tc>
        <w:tc>
          <w:tcPr>
            <w:tcW w:w="1920" w:type="dxa"/>
            <w:vAlign w:val="bottom"/>
          </w:tcPr>
          <w:p>
            <w:pPr>
              <w:spacing w:after="0"/>
              <w:rPr>
                <w:sz w:val="24"/>
                <w:szCs w:val="24"/>
                <w:color w:val="auto"/>
              </w:rPr>
            </w:pPr>
          </w:p>
        </w:tc>
      </w:tr>
      <w:tr>
        <w:trPr>
          <w:trHeight w:val="175"/>
        </w:trPr>
        <w:tc>
          <w:tcPr>
            <w:tcW w:w="2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40" w:type="dxa"/>
            <w:vAlign w:val="bottom"/>
            <w:gridSpan w:val="3"/>
          </w:tcPr>
          <w:p>
            <w:pPr>
              <w:jc w:val="center"/>
              <w:ind w:right="2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340" w:type="dxa"/>
            <w:vAlign w:val="bottom"/>
            <w:gridSpan w:val="3"/>
          </w:tcPr>
          <w:p>
            <w:pPr>
              <w:jc w:val="center"/>
              <w:ind w:right="27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92"/>
        </w:trPr>
        <w:tc>
          <w:tcPr>
            <w:tcW w:w="3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100" w:type="dxa"/>
            <w:vAlign w:val="bottom"/>
          </w:tcPr>
          <w:p>
            <w:pPr>
              <w:jc w:val="center"/>
              <w:ind w:left="551"/>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gridSpan w:val="2"/>
          </w:tcPr>
          <w:p>
            <w:pPr>
              <w:ind w:left="12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6"/>
        </w:trPr>
        <w:tc>
          <w:tcPr>
            <w:tcW w:w="3280" w:type="dxa"/>
            <w:vAlign w:val="bottom"/>
            <w:gridSpan w:val="2"/>
          </w:tcPr>
          <w:p>
            <w:pPr>
              <w:jc w:val="center"/>
              <w:spacing w:after="0"/>
              <w:rPr>
                <w:sz w:val="20"/>
                <w:szCs w:val="20"/>
                <w:color w:val="auto"/>
              </w:rPr>
            </w:pPr>
            <w:r>
              <w:rPr>
                <w:rFonts w:ascii="Arial" w:cs="Arial" w:eastAsia="Arial" w:hAnsi="Arial"/>
                <w:sz w:val="16"/>
                <w:szCs w:val="16"/>
                <w:color w:val="auto"/>
                <w:w w:val="90"/>
              </w:rPr>
              <w:t>Class A Common Stock, par value $0.01 per share</w:t>
            </w:r>
          </w:p>
        </w:tc>
        <w:tc>
          <w:tcPr>
            <w:tcW w:w="2100" w:type="dxa"/>
            <w:vAlign w:val="bottom"/>
          </w:tcPr>
          <w:p>
            <w:pPr>
              <w:jc w:val="center"/>
              <w:ind w:left="531"/>
              <w:spacing w:after="0"/>
              <w:rPr>
                <w:sz w:val="20"/>
                <w:szCs w:val="20"/>
                <w:color w:val="auto"/>
              </w:rPr>
            </w:pPr>
            <w:r>
              <w:rPr>
                <w:rFonts w:ascii="Arial" w:cs="Arial" w:eastAsia="Arial" w:hAnsi="Arial"/>
                <w:sz w:val="16"/>
                <w:szCs w:val="16"/>
                <w:color w:val="auto"/>
              </w:rPr>
              <w:t>AMCX</w:t>
            </w:r>
          </w:p>
        </w:tc>
        <w:tc>
          <w:tcPr>
            <w:tcW w:w="4240" w:type="dxa"/>
            <w:vAlign w:val="bottom"/>
            <w:gridSpan w:val="2"/>
          </w:tcPr>
          <w:p>
            <w:pPr>
              <w:ind w:left="1460"/>
              <w:spacing w:after="0"/>
              <w:rPr>
                <w:sz w:val="20"/>
                <w:szCs w:val="20"/>
                <w:color w:val="auto"/>
              </w:rPr>
            </w:pPr>
            <w:r>
              <w:rPr>
                <w:rFonts w:ascii="Arial" w:cs="Arial" w:eastAsia="Arial" w:hAnsi="Arial"/>
                <w:sz w:val="16"/>
                <w:szCs w:val="16"/>
                <w:color w:val="auto"/>
              </w:rPr>
              <w:t>The  NASDAQ  Stock Market LLC</w:t>
            </w:r>
          </w:p>
        </w:tc>
      </w:tr>
      <w:tr>
        <w:trPr>
          <w:trHeight w:val="114"/>
        </w:trPr>
        <w:tc>
          <w:tcPr>
            <w:tcW w:w="25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r>
    </w:tbl>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15" w:lineRule="exact"/>
        <w:rPr>
          <w:sz w:val="24"/>
          <w:szCs w:val="24"/>
          <w:color w:val="auto"/>
        </w:rPr>
      </w:pPr>
    </w:p>
    <w:p>
      <w:pPr>
        <w:spacing w:after="0" w:line="184" w:lineRule="exact"/>
        <w:tabs>
          <w:tab w:leader="none" w:pos="70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7" w:lineRule="exact"/>
        <w:rPr>
          <w:sz w:val="24"/>
          <w:szCs w:val="24"/>
          <w:color w:val="auto"/>
        </w:rPr>
      </w:pPr>
    </w:p>
    <w:p>
      <w:pPr>
        <w:jc w:val="both"/>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ind w:right="28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2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11"/>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3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2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4"/>
        </w:trPr>
        <w:tc>
          <w:tcPr>
            <w:tcW w:w="1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tcPr>
          <w:p>
            <w:pPr>
              <w:ind w:left="272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211"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23"/>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July 28, 2023:</w:t>
            </w:r>
          </w:p>
        </w:tc>
        <w:tc>
          <w:tcPr>
            <w:tcW w:w="3800" w:type="dxa"/>
            <w:vAlign w:val="bottom"/>
          </w:tcPr>
          <w:p>
            <w:pPr>
              <w:spacing w:after="0"/>
              <w:rPr>
                <w:sz w:val="24"/>
                <w:szCs w:val="24"/>
                <w:color w:val="auto"/>
              </w:rPr>
            </w:pPr>
          </w:p>
        </w:tc>
      </w:tr>
      <w:tr>
        <w:trPr>
          <w:trHeight w:val="243"/>
        </w:trPr>
        <w:tc>
          <w:tcPr>
            <w:tcW w:w="7440" w:type="dxa"/>
            <w:vAlign w:val="bottom"/>
          </w:tcPr>
          <w:p>
            <w:pPr>
              <w:ind w:left="142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32,020,270</w:t>
            </w:r>
          </w:p>
        </w:tc>
      </w:tr>
      <w:tr>
        <w:trPr>
          <w:trHeight w:val="21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836"/>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Page</w:t>
            </w:r>
          </w:p>
        </w:tc>
      </w:tr>
      <w:tr>
        <w:trPr>
          <w:trHeight w:val="175"/>
        </w:trPr>
        <w:tc>
          <w:tcPr>
            <w:tcW w:w="20" w:type="dxa"/>
            <w:vAlign w:val="bottom"/>
          </w:tcPr>
          <w:p>
            <w:pPr>
              <w:spacing w:after="0"/>
              <w:rPr>
                <w:sz w:val="15"/>
                <w:szCs w:val="15"/>
                <w:color w:val="auto"/>
              </w:rPr>
            </w:pPr>
          </w:p>
        </w:tc>
        <w:tc>
          <w:tcPr>
            <w:tcW w:w="3060" w:type="dxa"/>
            <w:vAlign w:val="bottom"/>
            <w:tcBorders>
              <w:bottom w:val="single" w:sz="8" w:color="0000FF"/>
            </w:tcBorders>
            <w:gridSpan w:val="9"/>
          </w:tcPr>
          <w:p>
            <w:pPr>
              <w:spacing w:after="0" w:line="176" w:lineRule="exact"/>
              <w:rPr>
                <w:sz w:val="20"/>
                <w:szCs w:val="20"/>
                <w:color w:val="auto"/>
              </w:rPr>
            </w:pPr>
            <w:r>
              <w:rPr>
                <w:rFonts w:ascii="Arial" w:cs="Arial" w:eastAsia="Arial" w:hAnsi="Arial"/>
                <w:sz w:val="18"/>
                <w:szCs w:val="18"/>
                <w:b w:val="1"/>
                <w:bCs w:val="1"/>
                <w:color w:val="0000FF"/>
              </w:rPr>
              <w:t>PART I. FINANCIAL INFORMATION</w:t>
            </w:r>
          </w:p>
        </w:tc>
        <w:tc>
          <w:tcPr>
            <w:tcW w:w="7360" w:type="dxa"/>
            <w:vAlign w:val="bottom"/>
            <w:gridSpan w:val="9"/>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20" w:type="dxa"/>
            <w:vAlign w:val="bottom"/>
            <w:gridSpan w:val="17"/>
          </w:tcPr>
          <w:p>
            <w:pPr>
              <w:spacing w:after="0"/>
              <w:rPr>
                <w:sz w:val="20"/>
                <w:szCs w:val="20"/>
                <w:color w:val="auto"/>
              </w:rPr>
            </w:pPr>
            <w:r>
              <w:rPr>
                <w:rFonts w:ascii="Arial" w:cs="Arial" w:eastAsia="Arial" w:hAnsi="Arial"/>
                <w:sz w:val="18"/>
                <w:szCs w:val="18"/>
                <w:color w:val="0000FF"/>
              </w:rPr>
              <w:t>Item 1. Financial Statements (unaudited)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Income</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0" w:type="dxa"/>
            <w:vAlign w:val="bottom"/>
            <w:gridSpan w:val="14"/>
          </w:tcPr>
          <w:p>
            <w:pPr>
              <w:spacing w:after="0"/>
              <w:rPr>
                <w:sz w:val="20"/>
                <w:szCs w:val="20"/>
                <w:color w:val="auto"/>
              </w:rPr>
            </w:pPr>
            <w:r>
              <w:rPr>
                <w:rFonts w:ascii="Arial" w:cs="Arial" w:eastAsia="Arial" w:hAnsi="Arial"/>
                <w:sz w:val="18"/>
                <w:szCs w:val="18"/>
                <w:color w:val="0000FF"/>
                <w:w w:val="88"/>
              </w:rPr>
              <w:t>Condensed Consolidated Statements of Comprehensive Income</w:t>
            </w:r>
          </w:p>
        </w:tc>
        <w:tc>
          <w:tcPr>
            <w:tcW w:w="5280" w:type="dxa"/>
            <w:vAlign w:val="bottom"/>
            <w:gridSpan w:val="2"/>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240" w:type="dxa"/>
            <w:vAlign w:val="bottom"/>
          </w:tcPr>
          <w:p>
            <w:pPr>
              <w:spacing w:after="0"/>
              <w:rPr>
                <w:sz w:val="18"/>
                <w:szCs w:val="18"/>
                <w:color w:val="auto"/>
              </w:rPr>
            </w:pPr>
          </w:p>
        </w:tc>
        <w:tc>
          <w:tcPr>
            <w:tcW w:w="5280" w:type="dxa"/>
            <w:vAlign w:val="bottom"/>
            <w:gridSpan w:val="2"/>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Cash Flows</w:t>
            </w:r>
          </w:p>
        </w:tc>
        <w:tc>
          <w:tcPr>
            <w:tcW w:w="5520" w:type="dxa"/>
            <w:vAlign w:val="bottom"/>
            <w:gridSpan w:val="3"/>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gridSpan w:val="17"/>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2060" w:type="dxa"/>
            <w:vAlign w:val="bottom"/>
            <w:tcBorders>
              <w:top w:val="single" w:sz="8" w:color="0000FF"/>
            </w:tcBorders>
          </w:tcPr>
          <w:p>
            <w:pPr>
              <w:spacing w:after="0"/>
              <w:rPr>
                <w:sz w:val="18"/>
                <w:szCs w:val="18"/>
                <w:color w:val="auto"/>
              </w:rPr>
            </w:pPr>
          </w:p>
        </w:tc>
        <w:tc>
          <w:tcPr>
            <w:tcW w:w="3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4.</w:t>
            </w:r>
          </w:p>
        </w:tc>
        <w:tc>
          <w:tcPr>
            <w:tcW w:w="180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88"/>
              </w:rPr>
              <w:t>Controls and Procedures</w:t>
            </w:r>
          </w:p>
        </w:tc>
        <w:tc>
          <w:tcPr>
            <w:tcW w:w="7880" w:type="dxa"/>
            <w:vAlign w:val="bottom"/>
            <w:gridSpan w:val="11"/>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0420" w:type="dxa"/>
            <w:vAlign w:val="bottom"/>
            <w:gridSpan w:val="18"/>
          </w:tcPr>
          <w:p>
            <w:pPr>
              <w:spacing w:after="0"/>
              <w:rPr>
                <w:sz w:val="20"/>
                <w:szCs w:val="20"/>
                <w:color w:val="auto"/>
              </w:rPr>
            </w:pPr>
            <w:r>
              <w:rPr>
                <w:rFonts w:ascii="Arial" w:cs="Arial" w:eastAsia="Arial" w:hAnsi="Arial"/>
                <w:sz w:val="18"/>
                <w:szCs w:val="18"/>
                <w:b w:val="1"/>
                <w:bCs w:val="1"/>
                <w:color w:val="0000FF"/>
              </w:rPr>
              <w:t>PART II. OTHER INFORMATION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Item 1.</w:t>
            </w:r>
          </w:p>
        </w:tc>
        <w:tc>
          <w:tcPr>
            <w:tcW w:w="1360" w:type="dxa"/>
            <w:vAlign w:val="bottom"/>
            <w:tcBorders>
              <w:top w:val="single" w:sz="8" w:color="0000FF"/>
              <w:bottom w:val="single" w:sz="8" w:color="0000FF"/>
            </w:tcBorders>
            <w:gridSpan w:val="3"/>
          </w:tcPr>
          <w:p>
            <w:pPr>
              <w:ind w:left="20"/>
              <w:spacing w:after="0"/>
              <w:rPr>
                <w:sz w:val="20"/>
                <w:szCs w:val="20"/>
                <w:color w:val="auto"/>
              </w:rPr>
            </w:pPr>
            <w:r>
              <w:rPr>
                <w:rFonts w:ascii="Arial" w:cs="Arial" w:eastAsia="Arial" w:hAnsi="Arial"/>
                <w:sz w:val="18"/>
                <w:szCs w:val="18"/>
                <w:color w:val="0000FF"/>
                <w:w w:val="88"/>
              </w:rPr>
              <w:t>Legal Proceedings</w:t>
            </w:r>
          </w:p>
        </w:tc>
        <w:tc>
          <w:tcPr>
            <w:tcW w:w="660" w:type="dxa"/>
            <w:vAlign w:val="bottom"/>
            <w:tcBorders>
              <w:top w:val="single" w:sz="8" w:color="0000FF"/>
            </w:tcBorders>
            <w:gridSpan w:val="2"/>
          </w:tcPr>
          <w:p>
            <w:pPr>
              <w:spacing w:after="0"/>
              <w:rPr>
                <w:sz w:val="18"/>
                <w:szCs w:val="18"/>
                <w:color w:val="auto"/>
              </w:rPr>
            </w:pPr>
          </w:p>
        </w:tc>
        <w:tc>
          <w:tcPr>
            <w:tcW w:w="7660" w:type="dxa"/>
            <w:vAlign w:val="bottom"/>
            <w:gridSpan w:val="10"/>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2.</w:t>
            </w:r>
          </w:p>
        </w:tc>
        <w:tc>
          <w:tcPr>
            <w:tcW w:w="440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2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9680" w:type="dxa"/>
            <w:vAlign w:val="bottom"/>
            <w:gridSpan w:val="15"/>
          </w:tcPr>
          <w:p>
            <w:pPr>
              <w:ind w:left="20"/>
              <w:spacing w:after="0"/>
              <w:rPr>
                <w:sz w:val="20"/>
                <w:szCs w:val="20"/>
                <w:color w:val="auto"/>
              </w:rPr>
            </w:pPr>
            <w:r>
              <w:rPr>
                <w:rFonts w:ascii="Arial" w:cs="Arial" w:eastAsia="Arial" w:hAnsi="Arial"/>
                <w:sz w:val="18"/>
                <w:szCs w:val="18"/>
                <w:color w:val="0000FF"/>
              </w:rPr>
              <w:t>Exhibits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20" w:type="dxa"/>
            <w:vAlign w:val="bottom"/>
            <w:gridSpan w:val="18"/>
          </w:tcPr>
          <w:p>
            <w:pPr>
              <w:spacing w:after="0"/>
              <w:rPr>
                <w:sz w:val="20"/>
                <w:szCs w:val="20"/>
                <w:color w:val="auto"/>
              </w:rPr>
            </w:pPr>
            <w:r>
              <w:rPr>
                <w:rFonts w:ascii="Arial" w:cs="Arial" w:eastAsia="Arial" w:hAnsi="Arial"/>
                <w:sz w:val="18"/>
                <w:szCs w:val="18"/>
                <w:b w:val="1"/>
                <w:bCs w:val="1"/>
                <w:color w:val="0000FF"/>
              </w:rPr>
              <w:t>SIGNATURES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20" w:type="dxa"/>
            <w:vAlign w:val="bottom"/>
          </w:tcPr>
          <w:p>
            <w:pPr>
              <w:spacing w:after="0"/>
              <w:rPr>
                <w:sz w:val="18"/>
                <w:szCs w:val="18"/>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tbl>
      <w:tblPr>
        <w:tblLayout w:type="fixed"/>
        <w:tblInd w:w="20" w:type="dxa"/>
        <w:tblCellMar>
          <w:top w:w="0" w:type="dxa"/>
          <w:left w:w="0" w:type="dxa"/>
          <w:bottom w:w="0" w:type="dxa"/>
          <w:right w:w="0" w:type="dxa"/>
        </w:tblCellMar>
      </w:tblPr>
      <w:tr>
        <w:trPr>
          <w:trHeight w:val="184"/>
        </w:trPr>
        <w:tc>
          <w:tcPr>
            <w:tcW w:w="7580" w:type="dxa"/>
            <w:vAlign w:val="bottom"/>
          </w:tcPr>
          <w:p>
            <w:pPr>
              <w:jc w:val="center"/>
              <w:ind w:left="3539"/>
              <w:spacing w:after="0"/>
              <w:rPr>
                <w:sz w:val="20"/>
                <w:szCs w:val="20"/>
                <w:color w:val="auto"/>
              </w:rPr>
            </w:pPr>
            <w:r>
              <w:rPr>
                <w:rFonts w:ascii="Arial" w:cs="Arial" w:eastAsia="Arial" w:hAnsi="Arial"/>
                <w:sz w:val="16"/>
                <w:szCs w:val="16"/>
                <w:b w:val="1"/>
                <w:bCs w:val="1"/>
                <w:color w:val="auto"/>
              </w:rPr>
              <w:t>AMC NETWORKS INC. AND SUBSIDIARIES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580" w:type="dxa"/>
            <w:vAlign w:val="bottom"/>
          </w:tcPr>
          <w:p>
            <w:pPr>
              <w:jc w:val="center"/>
              <w:ind w:left="3559"/>
              <w:spacing w:after="0" w:line="175" w:lineRule="exact"/>
              <w:rPr>
                <w:sz w:val="20"/>
                <w:szCs w:val="20"/>
                <w:color w:val="auto"/>
              </w:rPr>
            </w:pPr>
            <w:r>
              <w:rPr>
                <w:rFonts w:ascii="Arial" w:cs="Arial" w:eastAsia="Arial" w:hAnsi="Arial"/>
                <w:sz w:val="16"/>
                <w:szCs w:val="16"/>
                <w:b w:val="1"/>
                <w:bCs w:val="1"/>
                <w:color w:val="auto"/>
              </w:rPr>
              <w:t>CONDENSED CONSOLIDATED BALANCE SHEETS</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580" w:type="dxa"/>
            <w:vAlign w:val="bottom"/>
          </w:tcPr>
          <w:p>
            <w:pPr>
              <w:jc w:val="center"/>
              <w:ind w:left="3539"/>
              <w:spacing w:after="0" w:line="162" w:lineRule="exact"/>
              <w:rPr>
                <w:sz w:val="20"/>
                <w:szCs w:val="20"/>
                <w:color w:val="auto"/>
              </w:rPr>
            </w:pPr>
            <w:r>
              <w:rPr>
                <w:rFonts w:ascii="Arial" w:cs="Arial" w:eastAsia="Arial" w:hAnsi="Arial"/>
                <w:sz w:val="16"/>
                <w:szCs w:val="16"/>
                <w:b w:val="1"/>
                <w:bCs w:val="1"/>
                <w:color w:val="auto"/>
                <w:w w:val="89"/>
              </w:rPr>
              <w:t>(in thousands, except per share amounts)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tcPr>
          <w:p>
            <w:pPr>
              <w:jc w:val="center"/>
              <w:ind w:left="3539"/>
              <w:spacing w:after="0"/>
              <w:rPr>
                <w:sz w:val="20"/>
                <w:szCs w:val="20"/>
                <w:color w:val="auto"/>
              </w:rPr>
            </w:pPr>
            <w:r>
              <w:rPr>
                <w:rFonts w:ascii="Arial" w:cs="Arial" w:eastAsia="Arial" w:hAnsi="Arial"/>
                <w:sz w:val="16"/>
                <w:szCs w:val="16"/>
                <w:b w:val="1"/>
                <w:bCs w:val="1"/>
                <w:color w:val="auto"/>
                <w:w w:val="91"/>
              </w:rPr>
              <w:t>(unaudited)</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213"/>
        </w:trPr>
        <w:tc>
          <w:tcPr>
            <w:tcW w:w="7580" w:type="dxa"/>
            <w:vAlign w:val="bottom"/>
          </w:tcPr>
          <w:p>
            <w:pPr>
              <w:ind w:left="350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893,370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930,002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trade (less allowance for doubtful accounts of $8,962 and $8,725)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722,185</w:t>
            </w:r>
          </w:p>
        </w:tc>
        <w:tc>
          <w:tcPr>
            <w:tcW w:w="0" w:type="dxa"/>
            <w:vAlign w:val="bottom"/>
          </w:tcPr>
          <w:p>
            <w:pPr>
              <w:spacing w:after="0"/>
              <w:rPr>
                <w:sz w:val="1"/>
                <w:szCs w:val="1"/>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Current portion of program rights,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10,807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286,875</w:t>
            </w:r>
          </w:p>
        </w:tc>
        <w:tc>
          <w:tcPr>
            <w:tcW w:w="0" w:type="dxa"/>
            <w:vAlign w:val="bottom"/>
          </w:tcPr>
          <w:p>
            <w:pPr>
              <w:spacing w:after="0"/>
              <w:rPr>
                <w:sz w:val="1"/>
                <w:szCs w:val="1"/>
                <w:color w:val="auto"/>
              </w:rPr>
            </w:pPr>
          </w:p>
        </w:tc>
      </w:tr>
      <w:tr>
        <w:trPr>
          <w:trHeight w:val="207"/>
        </w:trPr>
        <w:tc>
          <w:tcPr>
            <w:tcW w:w="758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1,840,496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1,949,869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$376,464 and $344,906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202,034</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1,884,392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1,762,939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354,676</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648,202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643,419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13,618</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97,567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108,229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486,164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599,052</w:t>
            </w:r>
          </w:p>
        </w:tc>
        <w:tc>
          <w:tcPr>
            <w:tcW w:w="0" w:type="dxa"/>
            <w:vAlign w:val="bottom"/>
          </w:tcPr>
          <w:p>
            <w:pPr>
              <w:spacing w:after="0"/>
              <w:rPr>
                <w:sz w:val="1"/>
                <w:szCs w:val="1"/>
                <w:color w:val="auto"/>
              </w:rPr>
            </w:pPr>
          </w:p>
        </w:tc>
      </w:tr>
      <w:tr>
        <w:trPr>
          <w:trHeight w:val="213"/>
        </w:trPr>
        <w:tc>
          <w:tcPr>
            <w:tcW w:w="758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5,470,481</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5,633,836</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172,009</w:t>
            </w:r>
          </w:p>
        </w:tc>
        <w:tc>
          <w:tcPr>
            <w:tcW w:w="0" w:type="dxa"/>
            <w:vAlign w:val="bottom"/>
          </w:tcPr>
          <w:p>
            <w:pPr>
              <w:spacing w:after="0"/>
              <w:rPr>
                <w:sz w:val="1"/>
                <w:szCs w:val="1"/>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374,803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419,065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program rights obligations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374,115</w:t>
            </w:r>
          </w:p>
        </w:tc>
        <w:tc>
          <w:tcPr>
            <w:tcW w:w="0" w:type="dxa"/>
            <w:vAlign w:val="bottom"/>
          </w:tcPr>
          <w:p>
            <w:pPr>
              <w:spacing w:after="0"/>
              <w:rPr>
                <w:sz w:val="1"/>
                <w:szCs w:val="1"/>
                <w:color w:val="auto"/>
              </w:rPr>
            </w:pPr>
          </w:p>
        </w:tc>
      </w:tr>
      <w:tr>
        <w:trPr>
          <w:trHeight w:val="213"/>
        </w:trPr>
        <w:tc>
          <w:tcPr>
            <w:tcW w:w="758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134,883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Current portion of lease obligations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36,411</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1,170,233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163,020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200,869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2,778,703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124,799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112,642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139,108</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4,188,744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4,526,354</w:t>
            </w:r>
          </w:p>
        </w:tc>
        <w:tc>
          <w:tcPr>
            <w:tcW w:w="0" w:type="dxa"/>
            <w:vAlign w:val="bottom"/>
          </w:tcPr>
          <w:p>
            <w:pPr>
              <w:spacing w:after="0"/>
              <w:rPr>
                <w:sz w:val="1"/>
                <w:szCs w:val="1"/>
                <w:color w:val="auto"/>
              </w:rPr>
            </w:pP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253,669</w:t>
            </w:r>
          </w:p>
        </w:tc>
        <w:tc>
          <w:tcPr>
            <w:tcW w:w="0" w:type="dxa"/>
            <w:vAlign w:val="bottom"/>
          </w:tcPr>
          <w:p>
            <w:pPr>
              <w:spacing w:after="0"/>
              <w:rPr>
                <w:sz w:val="1"/>
                <w:szCs w:val="1"/>
                <w:color w:val="auto"/>
              </w:rPr>
            </w:pPr>
          </w:p>
        </w:tc>
      </w:tr>
      <w:tr>
        <w:trPr>
          <w:trHeight w:val="206"/>
        </w:trPr>
        <w:tc>
          <w:tcPr>
            <w:tcW w:w="75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A Common Stock, $0.01 par value, 360,000 shares authorized, 66,613 and 66,118 shares issued and 32,020</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31,525 shares outstanding, respectively</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w w:val="99"/>
              </w:rPr>
              <w:t>Class B Common Stock, $0.01 par value, 90,000 shares authorized, 11,484 shares issued and outstanding</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366,553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360,251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2,105,641</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(1,419,882)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(239,798)</w:t>
            </w:r>
          </w:p>
        </w:tc>
        <w:tc>
          <w:tcPr>
            <w:tcW w:w="0" w:type="dxa"/>
            <w:vAlign w:val="bottom"/>
          </w:tcPr>
          <w:p>
            <w:pPr>
              <w:spacing w:after="0"/>
              <w:rPr>
                <w:sz w:val="1"/>
                <w:szCs w:val="1"/>
                <w:color w:val="auto"/>
              </w:rPr>
            </w:pPr>
          </w:p>
        </w:tc>
      </w:tr>
      <w:tr>
        <w:trPr>
          <w:trHeight w:val="206"/>
        </w:trPr>
        <w:tc>
          <w:tcPr>
            <w:tcW w:w="7580" w:type="dxa"/>
            <w:vAlign w:val="bottom"/>
          </w:tcPr>
          <w:p>
            <w:pPr>
              <w:ind w:left="660"/>
              <w:spacing w:after="0"/>
              <w:rPr>
                <w:sz w:val="20"/>
                <w:szCs w:val="20"/>
                <w:color w:val="auto"/>
              </w:rPr>
            </w:pPr>
            <w:r>
              <w:rPr>
                <w:rFonts w:ascii="Arial" w:cs="Arial" w:eastAsia="Arial" w:hAnsi="Arial"/>
                <w:sz w:val="16"/>
                <w:szCs w:val="16"/>
                <w:color w:val="auto"/>
              </w:rPr>
              <w:t>Total AMC Networks stockholders' equity</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1,007,666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806,988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46,825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1,040,251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853,813</w:t>
            </w: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5,470,481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5,633,836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6"/>
                <w:szCs w:val="16"/>
                <w:b w:val="1"/>
                <w:bCs w:val="1"/>
                <w:color w:val="auto"/>
                <w:w w:val="96"/>
              </w:rPr>
              <w:t>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2022</w:t>
            </w:r>
          </w:p>
        </w:tc>
      </w:tr>
      <w:tr>
        <w:trPr>
          <w:trHeight w:val="23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678,628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738,025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1,396,075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1,450,182</w:t>
            </w: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43"/>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Technical and operating (excluding depreciation and amortization)</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610,009</w:t>
            </w:r>
          </w:p>
        </w:tc>
      </w:tr>
      <w:tr>
        <w:trPr>
          <w:trHeight w:val="229"/>
        </w:trPr>
        <w:tc>
          <w:tcPr>
            <w:tcW w:w="56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462,472</w:t>
            </w:r>
          </w:p>
        </w:tc>
      </w:tr>
      <w:tr>
        <w:trPr>
          <w:trHeight w:val="230"/>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r>
      <w:tr>
        <w:trPr>
          <w:trHeight w:val="237"/>
        </w:trPr>
        <w:tc>
          <w:tcPr>
            <w:tcW w:w="5640" w:type="dxa"/>
            <w:vAlign w:val="bottom"/>
          </w:tcPr>
          <w:p>
            <w:pPr>
              <w:ind w:left="340"/>
              <w:spacing w:after="0"/>
              <w:rPr>
                <w:sz w:val="20"/>
                <w:szCs w:val="20"/>
                <w:color w:val="auto"/>
              </w:rPr>
            </w:pPr>
            <w:r>
              <w:rPr>
                <w:rFonts w:ascii="Arial" w:cs="Arial" w:eastAsia="Arial" w:hAnsi="Arial"/>
                <w:sz w:val="18"/>
                <w:szCs w:val="18"/>
                <w:color w:val="auto"/>
              </w:rPr>
              <w:t>Impairment and other charges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1,117,070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1,122,302</w:t>
            </w:r>
          </w:p>
        </w:tc>
      </w:tr>
      <w:tr>
        <w:trPr>
          <w:trHeight w:val="237"/>
        </w:trPr>
        <w:tc>
          <w:tcPr>
            <w:tcW w:w="5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105,701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279,005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327,880</w:t>
            </w: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(62,777)</w:t>
            </w:r>
          </w:p>
        </w:tc>
      </w:tr>
      <w:tr>
        <w:trPr>
          <w:trHeight w:val="230"/>
        </w:trPr>
        <w:tc>
          <w:tcPr>
            <w:tcW w:w="56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4,927</w:t>
            </w:r>
          </w:p>
        </w:tc>
      </w:tr>
      <w:tr>
        <w:trPr>
          <w:trHeight w:val="229"/>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r>
      <w:tr>
        <w:trPr>
          <w:trHeight w:val="237"/>
        </w:trPr>
        <w:tc>
          <w:tcPr>
            <w:tcW w:w="5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expense</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(52,764)</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275,116</w:t>
            </w:r>
          </w:p>
        </w:tc>
      </w:tr>
      <w:tr>
        <w:trPr>
          <w:trHeight w:val="230"/>
        </w:trPr>
        <w:tc>
          <w:tcPr>
            <w:tcW w:w="56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(74,662)</w:t>
            </w:r>
          </w:p>
        </w:tc>
      </w:tr>
      <w:tr>
        <w:trPr>
          <w:trHeight w:val="237"/>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200,454</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(12,837)</w:t>
            </w: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162"/>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42,987</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43,697</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9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5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200,454</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2"/>
        </w:trPr>
        <w:tc>
          <w:tcPr>
            <w:tcW w:w="5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195,035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130,121</w:t>
            </w:r>
          </w:p>
        </w:tc>
      </w:tr>
      <w:tr>
        <w:trPr>
          <w:trHeight w:val="23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79,433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33,717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194,371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120,143</w:t>
            </w:r>
          </w:p>
        </w:tc>
      </w:tr>
      <w:tr>
        <w:trPr>
          <w:trHeight w:val="21"/>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68"/>
              <w:spacing w:after="0"/>
              <w:rPr>
                <w:sz w:val="20"/>
                <w:szCs w:val="20"/>
                <w:color w:val="auto"/>
              </w:rPr>
            </w:pPr>
            <w:r>
              <w:rPr>
                <w:rFonts w:ascii="Arial" w:cs="Arial" w:eastAsia="Arial" w:hAnsi="Arial"/>
                <w:sz w:val="14"/>
                <w:szCs w:val="14"/>
                <w:b w:val="1"/>
                <w:bCs w:val="1"/>
                <w:color w:val="auto"/>
              </w:rPr>
              <w:t>AMC</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5"/>
              </w:rPr>
              <w:t>Networks</w:t>
            </w: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Interests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$ 360,117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2,209,251</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(228,470)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921,796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969,042</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70,239</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70,239</w:t>
            </w:r>
          </w:p>
        </w:tc>
        <w:tc>
          <w:tcPr>
            <w:tcW w:w="0" w:type="dxa"/>
            <w:vAlign w:val="bottom"/>
          </w:tcPr>
          <w:p>
            <w:pPr>
              <w:spacing w:after="0"/>
              <w:rPr>
                <w:sz w:val="1"/>
                <w:szCs w:val="1"/>
                <w:color w:val="auto"/>
              </w:rPr>
            </w:pPr>
          </w:p>
        </w:tc>
      </w:tr>
      <w:tr>
        <w:trPr>
          <w:trHeight w:val="135"/>
        </w:trPr>
        <w:tc>
          <w:tcPr>
            <w:tcW w:w="3120" w:type="dxa"/>
            <w:vAlign w:val="bottom"/>
          </w:tcPr>
          <w:p>
            <w:pPr>
              <w:ind w:left="20"/>
              <w:spacing w:after="0" w:line="135" w:lineRule="exact"/>
              <w:rPr>
                <w:sz w:val="20"/>
                <w:szCs w:val="20"/>
                <w:color w:val="auto"/>
              </w:rPr>
            </w:pPr>
            <w:r>
              <w:rPr>
                <w:rFonts w:ascii="Arial" w:cs="Arial" w:eastAsia="Arial" w:hAnsi="Arial"/>
                <w:sz w:val="14"/>
                <w:szCs w:val="14"/>
                <w:color w:val="auto"/>
              </w:rPr>
              <w:t>Net income (loss) attributable to non-redeemable</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(14,941)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(14,941)</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 to noncontrolling member</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9,826</w:t>
            </w:r>
          </w:p>
        </w:tc>
        <w:tc>
          <w:tcPr>
            <w:tcW w:w="0" w:type="dxa"/>
            <w:vAlign w:val="bottom"/>
          </w:tcPr>
          <w:p>
            <w:pPr>
              <w:spacing w:after="0"/>
              <w:rPr>
                <w:sz w:val="1"/>
                <w:szCs w:val="1"/>
                <w:color w:val="auto"/>
              </w:rPr>
            </w:pPr>
          </w:p>
        </w:tc>
      </w:tr>
      <w:tr>
        <w:trPr>
          <w:trHeight w:val="186"/>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7,648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7,648</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$ 366,553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2,279,490</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(219,276)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1,007,666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1,040,251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Class 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rPr>
              <w:t>AMC</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w w:val="95"/>
              </w:rPr>
              <w:t>Networks</w:t>
            </w:r>
          </w:p>
        </w:tc>
        <w:tc>
          <w:tcPr>
            <w:tcW w:w="10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20" w:type="dxa"/>
            <w:vAlign w:val="bottom"/>
          </w:tcPr>
          <w:p>
            <w:pPr>
              <w:spacing w:after="0"/>
              <w:rPr>
                <w:sz w:val="12"/>
                <w:szCs w:val="12"/>
                <w:color w:val="auto"/>
              </w:rPr>
            </w:pPr>
          </w:p>
        </w:tc>
        <w:tc>
          <w:tcPr>
            <w:tcW w:w="6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6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9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w w:val="99"/>
              </w:rPr>
              <w:t>Interests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12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$ 335,803</w:t>
            </w:r>
          </w:p>
        </w:tc>
        <w:tc>
          <w:tcPr>
            <w:tcW w:w="8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2,202,235</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(193,580)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925,351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51,627</w:t>
            </w:r>
          </w:p>
        </w:tc>
        <w:tc>
          <w:tcPr>
            <w:tcW w:w="1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976,978</w:t>
            </w:r>
          </w:p>
        </w:tc>
        <w:tc>
          <w:tcPr>
            <w:tcW w:w="0" w:type="dxa"/>
            <w:vAlign w:val="bottom"/>
          </w:tcPr>
          <w:p>
            <w:pPr>
              <w:spacing w:after="0"/>
              <w:rPr>
                <w:sz w:val="1"/>
                <w:szCs w:val="1"/>
                <w:color w:val="auto"/>
              </w:rPr>
            </w:pPr>
          </w:p>
        </w:tc>
      </w:tr>
      <w:tr>
        <w:trPr>
          <w:trHeight w:val="132"/>
        </w:trPr>
        <w:tc>
          <w:tcPr>
            <w:tcW w:w="31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Net income attributable to AMC Networks’</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83,429</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83,429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83,429</w:t>
            </w: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rPr>
              <w:t>Net income attributable to non-redeemable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Purchase of noncontrolling interest, net of tax</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(51,740)</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Share-based compensation expenses</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8,683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8,683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9"/>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$ 341,403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2,285,664</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(243,292)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964,668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48,778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1,013,446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20"/>
              <w:spacing w:after="0" w:line="139" w:lineRule="exact"/>
              <w:rPr>
                <w:sz w:val="20"/>
                <w:szCs w:val="20"/>
                <w:color w:val="auto"/>
              </w:rPr>
            </w:pPr>
            <w:r>
              <w:rPr>
                <w:rFonts w:ascii="Arial" w:cs="Arial" w:eastAsia="Arial" w:hAnsi="Arial"/>
                <w:sz w:val="14"/>
                <w:szCs w:val="14"/>
                <w:b w:val="1"/>
                <w:bCs w:val="1"/>
                <w:color w:val="auto"/>
                <w:w w:val="91"/>
              </w:rPr>
              <w:t>Networks</w:t>
            </w:r>
          </w:p>
        </w:tc>
        <w:tc>
          <w:tcPr>
            <w:tcW w:w="1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8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1060" w:type="dxa"/>
            <w:vAlign w:val="bottom"/>
            <w:gridSpan w:val="5"/>
            <w:vMerge w:val="continue"/>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$ 360,251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2,105,641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 (1,419,882)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(239,798)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806,988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853,813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08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173,849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173,849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173,849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Net income (loss) attributable to non-redeemable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(13,528)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20,522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21,644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13,530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w w:val="99"/>
              </w:rPr>
              <w:t>Net share issuances under employee stock plans</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gridSpan w:val="2"/>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$ 366,553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2,279,490</w:t>
            </w:r>
          </w:p>
        </w:tc>
        <w:tc>
          <w:tcPr>
            <w:tcW w:w="100" w:type="dxa"/>
            <w:vAlign w:val="bottom"/>
            <w:gridSpan w:val="2"/>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 (1,419,882)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(219,276)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1,007,666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1,040,251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Networks</w:t>
            </w:r>
          </w:p>
        </w:tc>
        <w:tc>
          <w:tcPr>
            <w:tcW w:w="20" w:type="dxa"/>
            <w:vAlign w:val="bottom"/>
          </w:tcPr>
          <w:p>
            <w:pPr>
              <w:spacing w:after="0"/>
              <w:rPr>
                <w:sz w:val="12"/>
                <w:szCs w:val="12"/>
                <w:color w:val="auto"/>
              </w:rPr>
            </w:pPr>
          </w:p>
        </w:tc>
        <w:tc>
          <w:tcPr>
            <w:tcW w:w="10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000" w:type="dxa"/>
            <w:vAlign w:val="bottom"/>
            <w:gridSpan w:val="4"/>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Interests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655</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$ 347,971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2,098,047</w:t>
            </w: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(175,818)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851,088</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51,584</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902,672</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187,617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187,617</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187,617</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4,309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(2,959)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Purchase of noncontrolling interest, net of tax</w:t>
            </w:r>
          </w:p>
        </w:tc>
        <w:tc>
          <w:tcPr>
            <w:tcW w:w="1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(3,066)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(3,066)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(1,297)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(67,474)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(67,474)</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(2,859)</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(70,333)</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16,812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(20,314)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(20,309)</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(20,309)</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660</w:t>
            </w:r>
          </w:p>
        </w:tc>
        <w:tc>
          <w:tcPr>
            <w:tcW w:w="8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$ 341,403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2,285,664</w:t>
            </w:r>
          </w:p>
        </w:tc>
        <w:tc>
          <w:tcPr>
            <w:tcW w:w="80" w:type="dxa"/>
            <w:vAlign w:val="bottom"/>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(243,292)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964,668</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48,778</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1,013,446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7920" w:type="dxa"/>
            <w:vAlign w:val="bottom"/>
          </w:tcPr>
          <w:p>
            <w:pPr>
              <w:jc w:val="center"/>
              <w:ind w:left="3191"/>
              <w:spacing w:after="0"/>
              <w:rPr>
                <w:sz w:val="20"/>
                <w:szCs w:val="20"/>
                <w:color w:val="auto"/>
              </w:rPr>
            </w:pPr>
            <w:r>
              <w:rPr>
                <w:rFonts w:ascii="Arial" w:cs="Arial" w:eastAsia="Arial" w:hAnsi="Arial"/>
                <w:sz w:val="16"/>
                <w:szCs w:val="16"/>
                <w:b w:val="1"/>
                <w:bCs w:val="1"/>
                <w:color w:val="auto"/>
              </w:rPr>
              <w:t>AMC NETWORKS INC. AND SUBSIDIARIES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8280" w:type="dxa"/>
            <w:vAlign w:val="bottom"/>
            <w:gridSpan w:val="2"/>
          </w:tcPr>
          <w:p>
            <w:pPr>
              <w:jc w:val="center"/>
              <w:ind w:left="2851"/>
              <w:spacing w:after="0"/>
              <w:rPr>
                <w:sz w:val="20"/>
                <w:szCs w:val="20"/>
                <w:color w:val="auto"/>
              </w:rPr>
            </w:pPr>
            <w:r>
              <w:rPr>
                <w:rFonts w:ascii="Arial" w:cs="Arial" w:eastAsia="Arial" w:hAnsi="Arial"/>
                <w:sz w:val="16"/>
                <w:szCs w:val="16"/>
                <w:b w:val="1"/>
                <w:bCs w:val="1"/>
                <w:color w:val="auto"/>
                <w:w w:val="99"/>
              </w:rPr>
              <w:t>CONDENSED CONSOLIDATED STATEMENTS OF CASH FLOWS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7920" w:type="dxa"/>
            <w:vAlign w:val="bottom"/>
          </w:tcPr>
          <w:p>
            <w:pPr>
              <w:jc w:val="center"/>
              <w:ind w:left="3191"/>
              <w:spacing w:after="0"/>
              <w:rPr>
                <w:sz w:val="20"/>
                <w:szCs w:val="20"/>
                <w:color w:val="auto"/>
              </w:rPr>
            </w:pPr>
            <w:r>
              <w:rPr>
                <w:rFonts w:ascii="Arial" w:cs="Arial" w:eastAsia="Arial" w:hAnsi="Arial"/>
                <w:sz w:val="16"/>
                <w:szCs w:val="16"/>
                <w:b w:val="1"/>
                <w:bCs w:val="1"/>
                <w:color w:val="auto"/>
                <w:w w:val="91"/>
              </w:rPr>
              <w:t>(in thousands) / (unaudited)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79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9"/>
        </w:trPr>
        <w:tc>
          <w:tcPr>
            <w:tcW w:w="7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20" w:type="dxa"/>
            <w:vAlign w:val="bottom"/>
          </w:tcPr>
          <w:p>
            <w:pPr>
              <w:ind w:left="340"/>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173,391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200,454</w:t>
            </w:r>
          </w:p>
        </w:tc>
      </w:tr>
      <w:tr>
        <w:trPr>
          <w:trHeight w:val="229"/>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792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49,821</w:t>
            </w:r>
          </w:p>
        </w:tc>
      </w:tr>
      <w:tr>
        <w:trPr>
          <w:trHeight w:val="236"/>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Impairment and other charges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20" w:type="dxa"/>
            <w:vAlign w:val="bottom"/>
          </w:tcPr>
          <w:p>
            <w:pPr>
              <w:ind w:left="680"/>
              <w:spacing w:after="0"/>
              <w:rPr>
                <w:sz w:val="20"/>
                <w:szCs w:val="20"/>
                <w:color w:val="auto"/>
              </w:rPr>
            </w:pPr>
            <w:r>
              <w:rPr>
                <w:rFonts w:ascii="Arial" w:cs="Arial" w:eastAsia="Arial" w:hAnsi="Arial"/>
                <w:sz w:val="18"/>
                <w:szCs w:val="18"/>
                <w:color w:val="auto"/>
              </w:rPr>
              <w:t>Share-based compensation expenses related to equity classified awards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16,812</w:t>
            </w:r>
          </w:p>
        </w:tc>
      </w:tr>
      <w:tr>
        <w:trPr>
          <w:trHeight w:val="243"/>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program rights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430,386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396,890</w:t>
            </w:r>
          </w:p>
        </w:tc>
      </w:tr>
      <w:tr>
        <w:trPr>
          <w:trHeight w:val="230"/>
        </w:trPr>
        <w:tc>
          <w:tcPr>
            <w:tcW w:w="7920" w:type="dxa"/>
            <w:vAlign w:val="bottom"/>
          </w:tcPr>
          <w:p>
            <w:pPr>
              <w:ind w:left="680"/>
              <w:spacing w:after="0"/>
              <w:rPr>
                <w:sz w:val="20"/>
                <w:szCs w:val="20"/>
                <w:color w:val="auto"/>
              </w:rPr>
            </w:pPr>
            <w:r>
              <w:rPr>
                <w:rFonts w:ascii="Arial" w:cs="Arial" w:eastAsia="Arial" w:hAnsi="Arial"/>
                <w:sz w:val="18"/>
                <w:szCs w:val="18"/>
                <w:color w:val="auto"/>
              </w:rPr>
              <w:t>Amortization of deferred carriage fees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16,902</w:t>
            </w:r>
          </w:p>
        </w:tc>
      </w:tr>
      <w:tr>
        <w:trPr>
          <w:trHeight w:val="229"/>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Unrealized foreign currency transaction loss/(gain)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7"/>
        </w:trPr>
        <w:tc>
          <w:tcPr>
            <w:tcW w:w="7920" w:type="dxa"/>
            <w:vAlign w:val="bottom"/>
          </w:tcPr>
          <w:p>
            <w:pPr>
              <w:ind w:left="680"/>
              <w:spacing w:after="0"/>
              <w:rPr>
                <w:sz w:val="20"/>
                <w:szCs w:val="20"/>
                <w:color w:val="auto"/>
              </w:rPr>
            </w:pPr>
            <w:r>
              <w:rPr>
                <w:rFonts w:ascii="Arial" w:cs="Arial" w:eastAsia="Arial" w:hAnsi="Arial"/>
                <w:sz w:val="18"/>
                <w:szCs w:val="18"/>
                <w:color w:val="auto"/>
              </w:rPr>
              <w:t>Amortization of deferred financing costs and discounts on indebtedness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3,828</w:t>
            </w:r>
          </w:p>
        </w:tc>
      </w:tr>
      <w:tr>
        <w:trPr>
          <w:trHeight w:val="236"/>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Bad debt expense</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9"/>
        </w:trPr>
        <w:tc>
          <w:tcPr>
            <w:tcW w:w="79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34,115</w:t>
            </w:r>
          </w:p>
        </w:tc>
      </w:tr>
      <w:tr>
        <w:trPr>
          <w:trHeight w:val="243"/>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investments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r>
      <w:tr>
        <w:trPr>
          <w:trHeight w:val="229"/>
        </w:trPr>
        <w:tc>
          <w:tcPr>
            <w:tcW w:w="792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(4,955)</w:t>
            </w:r>
          </w:p>
        </w:tc>
      </w:tr>
      <w:tr>
        <w:trPr>
          <w:trHeight w:val="230"/>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7920" w:type="dxa"/>
            <w:vAlign w:val="bottom"/>
          </w:tcPr>
          <w:p>
            <w:pPr>
              <w:ind w:left="680"/>
              <w:spacing w:after="0"/>
              <w:rPr>
                <w:sz w:val="20"/>
                <w:szCs w:val="20"/>
                <w:color w:val="auto"/>
              </w:rPr>
            </w:pPr>
            <w:r>
              <w:rPr>
                <w:rFonts w:ascii="Arial" w:cs="Arial" w:eastAsia="Arial" w:hAnsi="Arial"/>
                <w:sz w:val="18"/>
                <w:szCs w:val="18"/>
                <w:color w:val="auto"/>
              </w:rPr>
              <w:t>Accounts receivable, trade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58,410</w:t>
            </w:r>
          </w:p>
        </w:tc>
      </w:tr>
      <w:tr>
        <w:trPr>
          <w:trHeight w:val="236"/>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(50,853)</w:t>
            </w:r>
          </w:p>
        </w:tc>
      </w:tr>
      <w:tr>
        <w:trPr>
          <w:trHeight w:val="229"/>
        </w:trPr>
        <w:tc>
          <w:tcPr>
            <w:tcW w:w="7920" w:type="dxa"/>
            <w:vAlign w:val="bottom"/>
          </w:tcPr>
          <w:p>
            <w:pPr>
              <w:ind w:left="680"/>
              <w:spacing w:after="0"/>
              <w:rPr>
                <w:sz w:val="20"/>
                <w:szCs w:val="20"/>
                <w:color w:val="auto"/>
              </w:rPr>
            </w:pPr>
            <w:r>
              <w:rPr>
                <w:rFonts w:ascii="Arial" w:cs="Arial" w:eastAsia="Arial" w:hAnsi="Arial"/>
                <w:sz w:val="18"/>
                <w:szCs w:val="18"/>
                <w:color w:val="auto"/>
              </w:rPr>
              <w:t>Program rights and obligations,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(644,114)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(667,492)</w:t>
            </w:r>
          </w:p>
        </w:tc>
      </w:tr>
      <w:tr>
        <w:trPr>
          <w:trHeight w:val="243"/>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29"/>
        </w:trPr>
        <w:tc>
          <w:tcPr>
            <w:tcW w:w="7920" w:type="dxa"/>
            <w:vAlign w:val="bottom"/>
          </w:tcPr>
          <w:p>
            <w:pPr>
              <w:ind w:left="6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(59,828)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44,874</w:t>
            </w:r>
          </w:p>
        </w:tc>
      </w:tr>
      <w:tr>
        <w:trPr>
          <w:trHeight w:val="230"/>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carriage fees,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r>
      <w:tr>
        <w:trPr>
          <w:trHeight w:val="243"/>
        </w:trPr>
        <w:tc>
          <w:tcPr>
            <w:tcW w:w="79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Accounts payable, accrued liabilities and other liabilities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(68,714)</w:t>
            </w:r>
          </w:p>
        </w:tc>
      </w:tr>
      <w:tr>
        <w:trPr>
          <w:trHeight w:val="223"/>
        </w:trPr>
        <w:tc>
          <w:tcPr>
            <w:tcW w:w="79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17,174</w:t>
            </w:r>
          </w:p>
        </w:tc>
      </w:tr>
      <w:tr>
        <w:trPr>
          <w:trHeight w:val="217"/>
        </w:trPr>
        <w:tc>
          <w:tcPr>
            <w:tcW w:w="79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(21,554)</w:t>
            </w:r>
          </w:p>
        </w:tc>
      </w:tr>
      <w:tr>
        <w:trPr>
          <w:trHeight w:val="229"/>
        </w:trPr>
        <w:tc>
          <w:tcPr>
            <w:tcW w:w="7920" w:type="dxa"/>
            <w:vAlign w:val="bottom"/>
          </w:tcPr>
          <w:p>
            <w:pPr>
              <w:ind w:left="340"/>
              <w:spacing w:after="0"/>
              <w:rPr>
                <w:sz w:val="20"/>
                <w:szCs w:val="20"/>
                <w:color w:val="auto"/>
              </w:rPr>
            </w:pPr>
            <w:r>
              <w:rPr>
                <w:rFonts w:ascii="Arial" w:cs="Arial" w:eastAsia="Arial" w:hAnsi="Arial"/>
                <w:sz w:val="18"/>
                <w:szCs w:val="18"/>
                <w:color w:val="auto"/>
              </w:rPr>
              <w:t>Return of capital from investees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43"/>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investments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Principal payment received on loan to investee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r>
      <w:tr>
        <w:trPr>
          <w:trHeight w:val="237"/>
        </w:trPr>
        <w:tc>
          <w:tcPr>
            <w:tcW w:w="79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(9,929)</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Payments for financing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Deemed repurchases of restricted stock units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(20,309)</w:t>
            </w:r>
          </w:p>
        </w:tc>
      </w:tr>
      <w:tr>
        <w:trPr>
          <w:trHeight w:val="243"/>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finance lease obligations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(25,139)</w:t>
            </w:r>
          </w:p>
        </w:tc>
      </w:tr>
      <w:tr>
        <w:trPr>
          <w:trHeight w:val="230"/>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 of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7"/>
        </w:trPr>
        <w:tc>
          <w:tcPr>
            <w:tcW w:w="79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(66,486)</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 from operations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(59,241)</w:t>
            </w:r>
          </w:p>
        </w:tc>
      </w:tr>
    </w:tbl>
    <w:p>
      <w:pPr>
        <w:spacing w:after="0" w:line="1" w:lineRule="exact"/>
        <w:rPr>
          <w:sz w:val="20"/>
          <w:szCs w:val="20"/>
          <w:color w:val="auto"/>
        </w:rPr>
      </w:pPr>
    </w:p>
    <w:p>
      <w:pPr>
        <w:sectPr>
          <w:pgSz w:w="11900" w:h="16838" w:orient="portrait"/>
          <w:cols w:equalWidth="0" w:num="1">
            <w:col w:w="11200"/>
          </w:cols>
          <w:pgMar w:left="340" w:top="895" w:right="359" w:bottom="1440" w:gutter="0" w:footer="0" w:header="0"/>
        </w:sectPr>
      </w:pPr>
    </w:p>
    <w:p>
      <w:pPr>
        <w:ind w:left="20" w:right="2760"/>
        <w:spacing w:after="0" w:line="334" w:lineRule="auto"/>
        <w:rPr>
          <w:sz w:val="20"/>
          <w:szCs w:val="20"/>
          <w:color w:val="auto"/>
        </w:rPr>
      </w:pPr>
      <w:r>
        <w:rPr>
          <w:rFonts w:ascii="Arial" w:cs="Arial" w:eastAsia="Arial" w:hAnsi="Arial"/>
          <w:sz w:val="16"/>
          <w:szCs w:val="16"/>
          <w:color w:val="auto"/>
        </w:rPr>
        <w:t>Effect of exchange rate changes on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11517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ind w:left="420"/>
              <w:spacing w:after="0"/>
              <w:rPr>
                <w:sz w:val="20"/>
                <w:szCs w:val="20"/>
                <w:color w:val="auto"/>
              </w:rPr>
            </w:pPr>
            <w:r>
              <w:rPr>
                <w:rFonts w:ascii="Arial" w:cs="Arial" w:eastAsia="Arial" w:hAnsi="Arial"/>
                <w:sz w:val="18"/>
                <w:szCs w:val="18"/>
                <w:color w:val="auto"/>
                <w:w w:val="92"/>
              </w:rPr>
              <w:t>(15,636)</w:t>
            </w:r>
          </w:p>
        </w:tc>
      </w:tr>
      <w:tr>
        <w:trPr>
          <w:trHeight w:val="237"/>
        </w:trPr>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930,002</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8"/>
              </w:rPr>
              <w:t>892,221</w:t>
            </w:r>
          </w:p>
        </w:tc>
      </w:tr>
      <w:tr>
        <w:trPr>
          <w:trHeight w:val="230"/>
        </w:trPr>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893,370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8"/>
              </w:rPr>
              <w:t>817,344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7200" w:space="720"/>
            <w:col w:w="3280"/>
          </w:cols>
          <w:pgMar w:left="340" w:top="895" w:right="35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Domestic Operations: </w:t>
      </w:r>
      <w:r>
        <w:rPr>
          <w:rFonts w:ascii="Arial" w:cs="Arial" w:eastAsia="Arial" w:hAnsi="Arial"/>
          <w:sz w:val="17"/>
          <w:szCs w:val="17"/>
          <w:color w:val="auto"/>
        </w:rPr>
        <w:t>Includes our programming services, which consist of our five national programming networks, our global streaming</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our AMC Studios operation and IFC Films. Our national programming networks are AMC, WE tv, BBC AMERICA, IFC, and SundanceTV. Our global streaming services consist of our targeted subscription streaming services (Acorn TV, Shudder, Sundance Now, ALLBLK, and HIDIVE) and AMC+. Our AMC Studios operation produces original programming for our programming networks and third parties and also licenses programming worldwide, and IFC Films is our film distribution business. The operating segment also includes AMC Networks Broadcasting &amp; Technology, our technical services business, which primarily services most of the national programming networks.</w:t>
      </w:r>
    </w:p>
    <w:p>
      <w:pPr>
        <w:spacing w:after="0" w:line="69"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around the world, and 25/7 Media, our production services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2022 contained in the Company's Annual Report on Form 10-K (our "2022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6"/>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2023, other than contracts for which the Company has applied the practical expedients, the aggregate amount of transaction price allocated to future performance obligations was not material to our consolidated revenues.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2"/>
              </w:rPr>
              <w:t>December 31, 2022</w:t>
            </w: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7"/>
        </w:trPr>
        <w:tc>
          <w:tcPr>
            <w:tcW w:w="7520" w:type="dxa"/>
            <w:vAlign w:val="bottom"/>
          </w:tcPr>
          <w:p>
            <w:pPr>
              <w:ind w:left="260"/>
              <w:spacing w:after="0"/>
              <w:rPr>
                <w:sz w:val="20"/>
                <w:szCs w:val="20"/>
                <w:color w:val="auto"/>
              </w:rPr>
            </w:pPr>
            <w:r>
              <w:rPr>
                <w:rFonts w:ascii="Arial" w:cs="Arial" w:eastAsia="Arial" w:hAnsi="Arial"/>
                <w:sz w:val="18"/>
                <w:szCs w:val="18"/>
                <w:color w:val="auto"/>
              </w:rPr>
              <w:t>Accounts receivable (including long-term receivables within Other assets)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783,422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1,003,505</w:t>
            </w:r>
          </w:p>
        </w:tc>
      </w:tr>
      <w:tr>
        <w:trPr>
          <w:trHeight w:val="236"/>
        </w:trPr>
        <w:tc>
          <w:tcPr>
            <w:tcW w:w="7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Prepaid expenses and other current assets)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48,594</w:t>
            </w: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Contract liabilities, short-term (Deferred revenue)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134,883</w:t>
            </w:r>
          </w:p>
        </w:tc>
      </w:tr>
      <w:tr>
        <w:trPr>
          <w:trHeight w:val="243"/>
        </w:trPr>
        <w:tc>
          <w:tcPr>
            <w:tcW w:w="7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 liabilities, long-term (Deferred revenue included in Other liabilities)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recognized for the six months ended June 30, 2023 and 2022 relating to the contract liability at December 31, 2022 and 2021 was $97.4 million and $45.7 million,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between basic and diluted weighted average common shares outstanding: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74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274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6"/>
                <w:szCs w:val="16"/>
                <w:b w:val="1"/>
                <w:bCs w:val="1"/>
                <w:color w:val="auto"/>
              </w:rPr>
              <w:t>Six Months Ended June 30,</w:t>
            </w:r>
          </w:p>
        </w:tc>
      </w:tr>
      <w:tr>
        <w:trPr>
          <w:trHeight w:val="23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43,192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42,987</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6"/>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300" w:type="dxa"/>
            <w:vAlign w:val="bottom"/>
          </w:tcPr>
          <w:p>
            <w:pPr>
              <w:jc w:val="right"/>
              <w:spacing w:after="0"/>
              <w:rPr>
                <w:sz w:val="20"/>
                <w:szCs w:val="20"/>
                <w:color w:val="auto"/>
              </w:rPr>
            </w:pPr>
            <w:r>
              <w:rPr>
                <w:rFonts w:ascii="Arial" w:cs="Arial" w:eastAsia="Arial" w:hAnsi="Arial"/>
                <w:sz w:val="18"/>
                <w:szCs w:val="18"/>
                <w:color w:val="auto"/>
              </w:rPr>
              <w:t>43,900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43,679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43,835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43,697</w:t>
            </w:r>
          </w:p>
        </w:tc>
      </w:tr>
      <w:tr>
        <w:trPr>
          <w:trHeight w:val="21"/>
        </w:trPr>
        <w:tc>
          <w:tcPr>
            <w:tcW w:w="5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As of June 30, 2023 and June 30, 2022, 2.1 million and 0.8 million, respectively, of restricted stock units have been excluded from diluted weighted average common shares outstanding, as their impact would have been anti-dilutive.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Company's Board of Directors previously authorized a program to repurchase up to $1.5 billion of its outstanding shares of common stock (the "Stock Repurchase Program"). The Stock Repurchase Program has no pre-established closing date and may be suspended or discontinued at any time. For the three and six months ended June 30, 2023 and 2022, the Company did not repurchase any shares of its Class A Common Stock. As of June 30, 2023, the Company had $135.3 million of authorization remaining for repurchase under the Stock Repurchase Program.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Related Charges</w:t>
      </w:r>
    </w:p>
    <w:p>
      <w:pPr>
        <w:spacing w:after="0" w:line="121"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On November 28, 2022, the Company commenced a restructuring plan (the “Plan”) designed to achieve significant cost reductions in light of “cord cutting” and the related impacts being felt across the media industry as well as the broader economic outlook. The Plan encompasses initiatives that include, among other things, strategic programming assessments and organizational restructuring costs. The Plan is intended to improve the organizational design of the Company through the elimination of certain roles and centralization of certain functional areas of the Company. The programming assessments pertain to a broad mix of owned and licensed content, including legacy television series and films that will no longer be in active rotation on the Company’s linear or streaming platforms. As a result of the Plan, the Company recorded restructuring and other related charges of $6.0 million and $12.0 million for the three and six months ended June 30, 2023 consisting primarily of severance and other personnel costs.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restructuring and other related charges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6"/>
              </w:rPr>
              <w:t>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1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1113"/>
              <w:spacing w:after="0"/>
              <w:rPr>
                <w:sz w:val="20"/>
                <w:szCs w:val="20"/>
                <w:color w:val="auto"/>
              </w:rPr>
            </w:pPr>
            <w:r>
              <w:rPr>
                <w:rFonts w:ascii="Arial" w:cs="Arial" w:eastAsia="Arial" w:hAnsi="Arial"/>
                <w:sz w:val="16"/>
                <w:szCs w:val="16"/>
                <w:b w:val="1"/>
                <w:bCs w:val="1"/>
                <w:color w:val="auto"/>
              </w:rPr>
              <w:t>2023</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3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2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6,041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11,974</w:t>
            </w:r>
          </w:p>
        </w:tc>
      </w:tr>
      <w:tr>
        <w:trPr>
          <w:trHeight w:val="21"/>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and other related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Severance and Employee-</w:t>
            </w:r>
          </w:p>
        </w:tc>
        <w:tc>
          <w:tcPr>
            <w:tcW w:w="10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Content Impairments and</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vMerge w:val="restart"/>
          </w:tcPr>
          <w:p>
            <w:pPr>
              <w:jc w:val="right"/>
              <w:ind w:right="6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Related Costs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8"/>
              </w:rPr>
              <w:t>Other Exit Costs</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74,724</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111,874</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Charges (credits)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(52,236)</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(88,506)</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21,372</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Accrued restructuring and other related costs of $33.7 million and $2.3 million are included in Accrued liabilities and Other liabilities, respectively, in the consolidated balance sheet at June 30, 2023. Accrued restructuring and other related costs of $108.0 million and $3.9 million are included in Accrued liabilities and Other liabilities, respectively, in the consolidated balance sheet at December 31, 2022.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Program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June 30, 2023</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Predominantly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Predominantly</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ind w:right="5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Monetized Individually</w:t>
            </w:r>
          </w:p>
        </w:tc>
        <w:tc>
          <w:tcPr>
            <w:tcW w:w="120" w:type="dxa"/>
            <w:vAlign w:val="bottom"/>
          </w:tcPr>
          <w:p>
            <w:pPr>
              <w:spacing w:after="0"/>
              <w:rPr>
                <w:sz w:val="19"/>
                <w:szCs w:val="19"/>
                <w:color w:val="auto"/>
              </w:rPr>
            </w:pPr>
          </w:p>
        </w:tc>
        <w:tc>
          <w:tcPr>
            <w:tcW w:w="1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Monetized as a Group</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218,360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535,004</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753,364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4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297,007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218,360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832,011</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1,050,371</w:t>
            </w: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8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594,451</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153,175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158,012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4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91,087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91,087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5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838,713</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1,670,724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1,895,554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1,884,392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1,895,554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December 31, 2022</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Predominantly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Predominantly</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Monetized Individually</w:t>
            </w:r>
          </w:p>
        </w:tc>
        <w:tc>
          <w:tcPr>
            <w:tcW w:w="1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Monetized as a Group</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8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48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215,496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322,248</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537,744</w:t>
            </w:r>
          </w:p>
        </w:tc>
      </w:tr>
      <w:tr>
        <w:trPr>
          <w:trHeight w:val="236"/>
        </w:trPr>
        <w:tc>
          <w:tcPr>
            <w:tcW w:w="20" w:type="dxa"/>
            <w:vAlign w:val="bottom"/>
            <w:shd w:val="clear" w:color="auto" w:fill="CCEEFF"/>
          </w:tcPr>
          <w:p>
            <w:pPr>
              <w:spacing w:after="0"/>
              <w:rPr>
                <w:sz w:val="20"/>
                <w:szCs w:val="20"/>
                <w:color w:val="auto"/>
              </w:rPr>
            </w:pPr>
          </w:p>
        </w:tc>
        <w:tc>
          <w:tcPr>
            <w:tcW w:w="5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294,086</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339,184</w:t>
            </w:r>
          </w:p>
        </w:tc>
      </w:tr>
      <w:tr>
        <w:trPr>
          <w:trHeight w:val="223"/>
        </w:trPr>
        <w:tc>
          <w:tcPr>
            <w:tcW w:w="20" w:type="dxa"/>
            <w:vAlign w:val="bottom"/>
          </w:tcPr>
          <w:p>
            <w:pPr>
              <w:spacing w:after="0"/>
              <w:rPr>
                <w:sz w:val="19"/>
                <w:szCs w:val="19"/>
                <w:color w:val="auto"/>
              </w:rPr>
            </w:pPr>
          </w:p>
        </w:tc>
        <w:tc>
          <w:tcPr>
            <w:tcW w:w="5480" w:type="dxa"/>
            <w:vAlign w:val="bottom"/>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260,594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616,334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876,928</w:t>
            </w:r>
          </w:p>
        </w:tc>
      </w:tr>
      <w:tr>
        <w:trPr>
          <w:trHeight w:val="263"/>
        </w:trPr>
        <w:tc>
          <w:tcPr>
            <w:tcW w:w="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48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642,768</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645,860</w:t>
            </w:r>
          </w:p>
        </w:tc>
      </w:tr>
      <w:tr>
        <w:trPr>
          <w:trHeight w:val="237"/>
        </w:trPr>
        <w:tc>
          <w:tcPr>
            <w:tcW w:w="20" w:type="dxa"/>
            <w:vAlign w:val="bottom"/>
          </w:tcPr>
          <w:p>
            <w:pPr>
              <w:spacing w:after="0"/>
              <w:rPr>
                <w:sz w:val="20"/>
                <w:szCs w:val="20"/>
                <w:color w:val="auto"/>
              </w:rPr>
            </w:pPr>
          </w:p>
        </w:tc>
        <w:tc>
          <w:tcPr>
            <w:tcW w:w="548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171,418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176,791</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74,167</w:t>
            </w:r>
          </w:p>
        </w:tc>
      </w:tr>
      <w:tr>
        <w:trPr>
          <w:trHeight w:val="223"/>
        </w:trPr>
        <w:tc>
          <w:tcPr>
            <w:tcW w:w="20" w:type="dxa"/>
            <w:vAlign w:val="bottom"/>
          </w:tcPr>
          <w:p>
            <w:pPr>
              <w:spacing w:after="0"/>
              <w:rPr>
                <w:sz w:val="19"/>
                <w:szCs w:val="19"/>
                <w:color w:val="auto"/>
              </w:rPr>
            </w:pPr>
          </w:p>
        </w:tc>
        <w:tc>
          <w:tcPr>
            <w:tcW w:w="5480" w:type="dxa"/>
            <w:vAlign w:val="bottom"/>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888,353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896,818</w:t>
            </w:r>
          </w:p>
        </w:tc>
      </w:tr>
      <w:tr>
        <w:trPr>
          <w:trHeight w:val="257"/>
        </w:trPr>
        <w:tc>
          <w:tcPr>
            <w:tcW w:w="20" w:type="dxa"/>
            <w:vAlign w:val="bottom"/>
            <w:shd w:val="clear" w:color="auto" w:fill="CCEEFF"/>
          </w:tcPr>
          <w:p>
            <w:pPr>
              <w:spacing w:after="0"/>
              <w:rPr>
                <w:sz w:val="22"/>
                <w:szCs w:val="22"/>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1,504,687</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1,773,746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w:t>
            </w:r>
          </w:p>
        </w:tc>
      </w:tr>
      <w:tr>
        <w:trPr>
          <w:trHeight w:val="229"/>
        </w:trPr>
        <w:tc>
          <w:tcPr>
            <w:tcW w:w="2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Program rights, net (long-term)</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1,762,939</w:t>
            </w:r>
          </w:p>
        </w:tc>
      </w:tr>
      <w:tr>
        <w:trPr>
          <w:trHeight w:val="252"/>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1,773,746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Amortization of owned and licensed program rights, included in Technical and operating expenses in the condensed consolidated statements of income,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w w:val="92"/>
              </w:rPr>
              <w:t>Three Months Ended June 30, 2023</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659"/>
              <w:spacing w:after="0"/>
              <w:rPr>
                <w:sz w:val="20"/>
                <w:szCs w:val="20"/>
                <w:color w:val="auto"/>
              </w:rPr>
            </w:pPr>
            <w:r>
              <w:rPr>
                <w:rFonts w:ascii="Arial" w:cs="Arial" w:eastAsia="Arial" w:hAnsi="Arial"/>
                <w:sz w:val="16"/>
                <w:szCs w:val="16"/>
                <w:b w:val="1"/>
                <w:bCs w:val="1"/>
                <w:color w:val="auto"/>
                <w:w w:val="91"/>
              </w:rPr>
              <w:t>Six Months Ended June 30, 2023</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3"/>
              </w:rPr>
              <w:t>Predominantly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3"/>
              </w:rPr>
              <w:t>Predominantly</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3"/>
              </w:rPr>
              <w:t>Predominantly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3"/>
              </w:rPr>
              <w:t>Predominantly</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w w:val="90"/>
              </w:rPr>
              <w:t>Monetized as a</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w w:val="94"/>
              </w:rPr>
              <w:t>Monetized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0"/>
              </w:rPr>
              <w:t>Monetized as a</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9"/>
              </w:rPr>
              <w:t>Group</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Individually</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4"/>
              </w:rPr>
              <w:t>Group</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59,528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56,811</w:t>
            </w:r>
          </w:p>
        </w:tc>
        <w:tc>
          <w:tcPr>
            <w:tcW w:w="6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116,339</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80,831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101,747</w:t>
            </w:r>
          </w:p>
        </w:tc>
        <w:tc>
          <w:tcPr>
            <w:tcW w:w="5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182,578</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126,503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126,974</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245,673</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247,808</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59,999</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183,314</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243,313</w:t>
            </w:r>
          </w:p>
        </w:tc>
        <w:tc>
          <w:tcPr>
            <w:tcW w:w="20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82,966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347,420</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430,386</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6"/>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w w:val="92"/>
              </w:rPr>
              <w:t>Three Months Ended June 30, 2022</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59"/>
              <w:spacing w:after="0"/>
              <w:rPr>
                <w:sz w:val="20"/>
                <w:szCs w:val="20"/>
                <w:color w:val="auto"/>
              </w:rPr>
            </w:pPr>
            <w:r>
              <w:rPr>
                <w:rFonts w:ascii="Arial" w:cs="Arial" w:eastAsia="Arial" w:hAnsi="Arial"/>
                <w:sz w:val="16"/>
                <w:szCs w:val="16"/>
                <w:b w:val="1"/>
                <w:bCs w:val="1"/>
                <w:color w:val="auto"/>
                <w:w w:val="91"/>
              </w:rPr>
              <w:t>Six Months Ended June 30, 2022</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3"/>
              </w:rPr>
              <w:t>Predominantly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3"/>
              </w:rPr>
              <w:t>Predominantly</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3"/>
              </w:rPr>
              <w:t>Predominantly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3"/>
              </w:rPr>
              <w:t>Predominantly</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0"/>
              </w:rPr>
              <w:t>Monetized as a</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2"/>
              </w:rPr>
              <w:t>Monetized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0"/>
              </w:rPr>
              <w:t>Monetized as a</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Individually</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9"/>
              </w:rPr>
              <w:t>Group</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Individually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4"/>
              </w:rPr>
              <w:t>Group</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44,504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30,381</w:t>
            </w:r>
          </w:p>
        </w:tc>
        <w:tc>
          <w:tcPr>
            <w:tcW w:w="6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74,885</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94,344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47,316</w:t>
            </w:r>
          </w:p>
        </w:tc>
        <w:tc>
          <w:tcPr>
            <w:tcW w:w="5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141,660</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119,520</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129,153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237,989</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255,230</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54,137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149,901</w:t>
            </w:r>
          </w:p>
        </w:tc>
        <w:tc>
          <w:tcPr>
            <w:tcW w:w="6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204,038</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111,585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285,305</w:t>
            </w:r>
          </w:p>
        </w:tc>
        <w:tc>
          <w:tcPr>
            <w:tcW w:w="5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396,890</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6"/>
        <w:spacing w:after="0" w:line="280" w:lineRule="auto"/>
        <w:rPr>
          <w:sz w:val="20"/>
          <w:szCs w:val="20"/>
          <w:color w:val="auto"/>
        </w:rPr>
      </w:pPr>
      <w:r>
        <w:rPr>
          <w:rFonts w:ascii="Arial" w:cs="Arial" w:eastAsia="Arial" w:hAnsi="Arial"/>
          <w:sz w:val="16"/>
          <w:szCs w:val="16"/>
          <w:color w:val="auto"/>
        </w:rPr>
        <w:t>For programming rights predominantly monetized individually or as a group, 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There were no significant program rights write-offs included in technical and operating expenses for the three and six months ended June 30, 2023 or 2022.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6"/>
        <w:spacing w:after="0" w:line="249" w:lineRule="auto"/>
        <w:rPr>
          <w:sz w:val="20"/>
          <w:szCs w:val="20"/>
          <w:color w:val="auto"/>
        </w:rPr>
      </w:pPr>
      <w:r>
        <w:rPr>
          <w:rFonts w:ascii="Arial" w:cs="Arial" w:eastAsia="Arial" w:hAnsi="Arial"/>
          <w:sz w:val="18"/>
          <w:szCs w:val="18"/>
          <w:color w:val="auto"/>
        </w:rPr>
        <w:t>In the normal course of business, the Company may qualify for tax incentives through eligible investments in productions. Receivables related to tax incentives earned on production spend were $188.0 million and $143.1 million as of June 30, 2023 and December 31, 2022, respectively, recorded in Prepaid expenses and other current assets, and $75.0 million and $104.5 million as of June 30, 2023 and December 31, 2022, respectively, recorded in Other assets.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in and loans to non-consolidated entities which are included in Other assets in the condensed consolidated balance sheet.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Equity method investments were $83.3 million and $79.6 million at June 30, 2023 and December 31, 2022,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statements of income.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investments in marketable equity securities at June 30, 2023 or December 31, 2022.</w:t>
      </w:r>
    </w:p>
    <w:p>
      <w:pPr>
        <w:spacing w:after="0" w:line="104"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There were no realized or unrealized gains or losses on marketable equity securities for the three and six months ended June 30, 2023. In April 2022, the Company sold its interest in a marketable equity security for $9.9 million. The Company recognized a loss of $0.2 million and a gain of $4.1 million on marketable equity securities for the three and six months ended June 30, 2022, respectively, included in miscellaneous, net in the condensed consolidated statements of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non-marketable equity securities.</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Investments in non-marketable equity securities were $41.3 million and $42.7 million at June 30, 2023 and December 31, 2022, respectively. The changes in value as a result of observable price changes, if any, are recorded in miscellaneous, net in the condensed consolidated statement of income. During the three and six months ended June 30, 2023, the Company recognized impairment charges of $0.5 million and $1.7 million, respectively, on certain investments, which were included in miscellaneous, net in the consolidated statements of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0"/>
              </w:rPr>
              <w:t>Domestic Operations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353"/>
              <w:spacing w:after="0"/>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restart"/>
          </w:tcPr>
          <w:p>
            <w:pPr>
              <w:jc w:val="right"/>
              <w:ind w:right="6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and Other</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643,419</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"second component" goodwill</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348,732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299,470</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648,202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As of June 30, 2023 and December 31, 2022, accumulated impairment charges in the International and Other segment totaled $165.7 million and $163.8 million, respectively.</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$1.9 million impairment charge for International and Other relates to the 25/7 Media reporting unit. See "Impairment Test of Long-Lived Assets and Goodwill" below for more details.</w:t>
      </w:r>
    </w:p>
    <w:p>
      <w:pPr>
        <w:spacing w:after="0" w:line="6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reduction of $0.6 million in 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 As of June 30, 2023, all tax benefits have been realized.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June 30, 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3"/>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5"/>
              </w:rPr>
              <w:t>Estimated Useful</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Lives</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639,664</w:t>
            </w:r>
          </w:p>
        </w:tc>
        <w:tc>
          <w:tcPr>
            <w:tcW w:w="32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(407,959)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231,705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812,601</w:t>
            </w:r>
          </w:p>
        </w:tc>
        <w:tc>
          <w:tcPr>
            <w:tcW w:w="32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(500,321)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312,280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5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3"/>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634,000</w:t>
            </w:r>
          </w:p>
        </w:tc>
        <w:tc>
          <w:tcPr>
            <w:tcW w:w="32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(373,240)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260,760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785,620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(450,844)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334,776</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805,520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354,676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Aggregate amortization expense for amortizable intangible assets for the three months ended June 30, 2023 and 2022 was $10.5 million and $10.4 million, respectively, and for the six months ended June 30, 2023 and 2022 was $20.9 million and $21.0 million, respectively. Estimated aggregate amortization expense for intangible assets subject to amortization for each of the following five years 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40,615</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39,404</w:t>
            </w:r>
          </w:p>
        </w:tc>
      </w:tr>
      <w:tr>
        <w:trPr>
          <w:trHeight w:val="243"/>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900" w:type="dxa"/>
            <w:vAlign w:val="bottom"/>
            <w:shd w:val="clear" w:color="auto" w:fill="CCEEFF"/>
          </w:tcPr>
          <w:p>
            <w:pPr>
              <w:spacing w:after="0"/>
              <w:rPr>
                <w:sz w:val="21"/>
                <w:szCs w:val="21"/>
                <w:color w:val="auto"/>
              </w:rPr>
            </w:pPr>
          </w:p>
        </w:tc>
        <w:tc>
          <w:tcPr>
            <w:tcW w:w="4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37,667</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3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33,294</w:t>
            </w: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Long-Lived Assets and Goodwill</w:t>
      </w:r>
    </w:p>
    <w:p>
      <w:pPr>
        <w:spacing w:after="0" w:line="108"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6"/>
          <w:szCs w:val="16"/>
          <w:color w:val="auto"/>
        </w:rPr>
        <w:t>25/7 Media is our production services business and is part of our International and Other operating segment. See "Item 1. Business - International and Other" in our 2022 Form 10-K for further details. During the second quarter of 2023, given the impact of market challenges at 25/7 Media, specifically as it relates to reduced demand for new content and series cancellations from third parties, the Company revised its outlook for the 25/7 Media business,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resulting in lower expected future cash flows. As a result, the Company determined that sufficient indicators of potential impairment of long-lived assets existed at 25/7 Media. 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consolidated statement of income within the International and Other operating segment. Fair values used to determine the impairment charge were determined using an income approach, specifically a discounted cash flow ("DCF") model, and 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7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market comparables approach.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jc w:val="both"/>
        <w:ind w:firstLine="405"/>
        <w:spacing w:after="0" w:line="257" w:lineRule="auto"/>
        <w:rPr>
          <w:sz w:val="20"/>
          <w:szCs w:val="20"/>
          <w:color w:val="auto"/>
        </w:rPr>
      </w:pPr>
      <w:r>
        <w:rPr>
          <w:rFonts w:ascii="Arial" w:cs="Arial" w:eastAsia="Arial" w:hAnsi="Arial"/>
          <w:sz w:val="18"/>
          <w:szCs w:val="18"/>
          <w:color w:val="auto"/>
        </w:rPr>
        <w:t>During the second quarter of 2023, the Company also determined that a triggering event had occurred with respect to the 25/7 Media reporting unit, which required an interim goodwill impairment test to be performed. Accordingly, the Company performed a quantitative assessment using an income approach, specifically a DCF model, and a market comparables approach. Based on the valuations performed, a $1.9 million goodwill impairment charge was recorded, which is included in impairment and other charges in the consolidated statement of income, within the International and Other operating segment.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97,362</w:t>
            </w: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160,736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138,384</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33,718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107,998</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38,216</w:t>
            </w:r>
          </w:p>
        </w:tc>
        <w:tc>
          <w:tcPr>
            <w:tcW w:w="0" w:type="dxa"/>
            <w:vAlign w:val="bottom"/>
          </w:tcPr>
          <w:p>
            <w:pPr>
              <w:spacing w:after="0"/>
              <w:rPr>
                <w:sz w:val="1"/>
                <w:szCs w:val="1"/>
                <w:color w:val="auto"/>
              </w:rPr>
            </w:pP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374,803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419,065</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Note 9. Long-term Debt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7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ind w:left="460"/>
              <w:spacing w:after="0"/>
              <w:rPr>
                <w:sz w:val="20"/>
                <w:szCs w:val="20"/>
                <w:color w:val="auto"/>
              </w:rPr>
            </w:pPr>
            <w:r>
              <w:rPr>
                <w:rFonts w:ascii="Arial" w:cs="Arial" w:eastAsia="Arial" w:hAnsi="Arial"/>
                <w:sz w:val="18"/>
                <w:szCs w:val="18"/>
                <w:color w:val="auto"/>
              </w:rPr>
              <w:t>The Company's long-term debt consists of the following:</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240"/>
        </w:trPr>
        <w:tc>
          <w:tcPr>
            <w:tcW w:w="7320" w:type="dxa"/>
            <w:vAlign w:val="bottom"/>
            <w:shd w:val="clear" w:color="auto" w:fill="CCEEFF"/>
          </w:tcPr>
          <w:p>
            <w:pPr>
              <w:ind w:left="20"/>
              <w:spacing w:after="0" w:line="239"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Term Loan A Facility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624,375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641,250</w:t>
            </w: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5.00% Notes due April 2024</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4.75% Notes due August 2025</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4.25% Notes due February 2029</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2,841,250</w:t>
            </w: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(16,425)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(18,718)</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3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2,799,746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2,812,453</w:t>
            </w: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450,625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Noncurrent portion of long-term debt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2,349,121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2,778,703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140" w:right="60" w:hanging="484"/>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revolving credit facility remains undrawn at June 30, 2023. Total undrawn revolver commitments are available to be drawn for general corporate purposes of the Company.</w:t>
      </w:r>
    </w:p>
    <w:p>
      <w:pPr>
        <w:spacing w:after="0" w:line="6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the six months ended June 30, 2023, the Company repaid a total of $16.9 million of the principal amount of the Term Loan A Facility in accordance with the terms of the agreement.</w:t>
      </w:r>
    </w:p>
    <w:p>
      <w:pPr>
        <w:spacing w:after="0" w:line="62" w:lineRule="exact"/>
        <w:rPr>
          <w:sz w:val="20"/>
          <w:szCs w:val="20"/>
          <w:color w:val="auto"/>
        </w:rPr>
      </w:pPr>
    </w:p>
    <w:p>
      <w:pPr>
        <w:jc w:val="both"/>
        <w:ind w:firstLine="446"/>
        <w:spacing w:after="0" w:line="261" w:lineRule="auto"/>
        <w:rPr>
          <w:sz w:val="20"/>
          <w:szCs w:val="20"/>
          <w:color w:val="auto"/>
        </w:rPr>
      </w:pPr>
      <w:r>
        <w:rPr>
          <w:rFonts w:ascii="Arial" w:cs="Arial" w:eastAsia="Arial" w:hAnsi="Arial"/>
          <w:sz w:val="17"/>
          <w:szCs w:val="17"/>
          <w:color w:val="auto"/>
        </w:rPr>
        <w:t>In April 2023, the Company entered into Amendment No. 2 ("Amendment No. 2") to the Second Amended and Restated Credit Agreement (the "Credit Agreement"). Amendment No. 2 (i) reduced the aggregate principal amount of the revolving loan commitments under the Credit Agreement from $500 million to $400 million, (ii) replaced the interest rate based on London Interbank Offered Rate with an interest rate based on the Secured Overnight Financing Rate,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 The maturity date of the Term Loan A Facility and revolving credit facility under the Credit Agreement is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February 8, 2026. In connection with the modification of the revolving loan commitments, the Company recorded $0.6 million to write-off a portion of the unamortized deferred financing costs, which is included in interest expense within the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second quarter of 2023, a majority owned subsidiary of the Company extended its credit facility totaling $4.5 million to July 21, 2024. The facility bears interest at the greater of 3.5% or the prime rate plus 1%. There were no outstanding borrowings under the credit facility as of June 30,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condensed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44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8"/>
              </w:rPr>
              <w:t>December 31, 2022</w:t>
            </w:r>
          </w:p>
        </w:tc>
      </w:tr>
      <w:tr>
        <w:trPr>
          <w:trHeight w:val="185"/>
        </w:trPr>
        <w:tc>
          <w:tcPr>
            <w:tcW w:w="20" w:type="dxa"/>
            <w:vAlign w:val="bottom"/>
            <w:shd w:val="clear" w:color="auto" w:fill="CCEEFF"/>
          </w:tcPr>
          <w:p>
            <w:pPr>
              <w:spacing w:after="0"/>
              <w:rPr>
                <w:sz w:val="16"/>
                <w:szCs w:val="16"/>
                <w:color w:val="auto"/>
              </w:rPr>
            </w:pPr>
          </w:p>
        </w:tc>
        <w:tc>
          <w:tcPr>
            <w:tcW w:w="2360" w:type="dxa"/>
            <w:vAlign w:val="bottom"/>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Assets</w:t>
            </w:r>
          </w:p>
        </w:tc>
        <w:tc>
          <w:tcPr>
            <w:tcW w:w="4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480" w:type="dxa"/>
            <w:vAlign w:val="bottom"/>
          </w:tcPr>
          <w:p>
            <w:pPr>
              <w:ind w:left="720"/>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97,567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108,229</w:t>
            </w: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w:t>
            </w:r>
          </w:p>
        </w:tc>
      </w:tr>
      <w:tr>
        <w:trPr>
          <w:trHeight w:val="223"/>
        </w:trPr>
        <w:tc>
          <w:tcPr>
            <w:tcW w:w="20" w:type="dxa"/>
            <w:vAlign w:val="bottom"/>
          </w:tcPr>
          <w:p>
            <w:pPr>
              <w:spacing w:after="0"/>
              <w:rPr>
                <w:sz w:val="19"/>
                <w:szCs w:val="19"/>
                <w:color w:val="auto"/>
              </w:rPr>
            </w:pPr>
          </w:p>
        </w:tc>
        <w:tc>
          <w:tcPr>
            <w:tcW w:w="236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58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36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2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lease obligations</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32,207</w:t>
            </w:r>
          </w:p>
        </w:tc>
      </w:tr>
      <w:tr>
        <w:trPr>
          <w:trHeight w:val="230"/>
        </w:trPr>
        <w:tc>
          <w:tcPr>
            <w:tcW w:w="20" w:type="dxa"/>
            <w:vAlign w:val="bottom"/>
          </w:tcPr>
          <w:p>
            <w:pPr>
              <w:spacing w:after="0"/>
              <w:rPr>
                <w:sz w:val="19"/>
                <w:szCs w:val="19"/>
                <w:color w:val="auto"/>
              </w:rPr>
            </w:pPr>
          </w:p>
        </w:tc>
        <w:tc>
          <w:tcPr>
            <w:tcW w:w="2360" w:type="dxa"/>
            <w:vAlign w:val="bottom"/>
            <w:gridSpan w:val="3"/>
          </w:tcPr>
          <w:p>
            <w:pPr>
              <w:ind w:left="340"/>
              <w:spacing w:after="0"/>
              <w:rPr>
                <w:sz w:val="20"/>
                <w:szCs w:val="20"/>
                <w:color w:val="auto"/>
              </w:rPr>
            </w:pPr>
            <w:r>
              <w:rPr>
                <w:rFonts w:ascii="Arial" w:cs="Arial" w:eastAsia="Arial" w:hAnsi="Arial"/>
                <w:sz w:val="18"/>
                <w:szCs w:val="18"/>
                <w:color w:val="auto"/>
              </w:rPr>
              <w:t>Finance</w:t>
            </w:r>
          </w:p>
        </w:tc>
        <w:tc>
          <w:tcPr>
            <w:tcW w:w="4480" w:type="dxa"/>
            <w:vAlign w:val="bottom"/>
          </w:tcPr>
          <w:p>
            <w:pPr>
              <w:ind w:left="72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r>
      <w:tr>
        <w:trPr>
          <w:trHeight w:val="236"/>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36,411</w:t>
            </w:r>
          </w:p>
        </w:tc>
      </w:tr>
      <w:tr>
        <w:trPr>
          <w:trHeight w:val="210"/>
        </w:trPr>
        <w:tc>
          <w:tcPr>
            <w:tcW w:w="20" w:type="dxa"/>
            <w:vAlign w:val="bottom"/>
          </w:tcPr>
          <w:p>
            <w:pPr>
              <w:spacing w:after="0"/>
              <w:rPr>
                <w:sz w:val="18"/>
                <w:szCs w:val="18"/>
                <w:color w:val="auto"/>
              </w:rPr>
            </w:pPr>
          </w:p>
        </w:tc>
        <w:tc>
          <w:tcPr>
            <w:tcW w:w="236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Lease obligations</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105,768</w:t>
            </w:r>
          </w:p>
        </w:tc>
      </w:tr>
      <w:tr>
        <w:trPr>
          <w:trHeight w:val="230"/>
        </w:trPr>
        <w:tc>
          <w:tcPr>
            <w:tcW w:w="20" w:type="dxa"/>
            <w:vAlign w:val="bottom"/>
          </w:tcPr>
          <w:p>
            <w:pPr>
              <w:spacing w:after="0"/>
              <w:rPr>
                <w:sz w:val="19"/>
                <w:szCs w:val="19"/>
                <w:color w:val="auto"/>
              </w:rPr>
            </w:pPr>
          </w:p>
        </w:tc>
        <w:tc>
          <w:tcPr>
            <w:tcW w:w="2360" w:type="dxa"/>
            <w:vAlign w:val="bottom"/>
            <w:gridSpan w:val="3"/>
          </w:tcPr>
          <w:p>
            <w:pPr>
              <w:ind w:left="340"/>
              <w:spacing w:after="0"/>
              <w:rPr>
                <w:sz w:val="20"/>
                <w:szCs w:val="20"/>
                <w:color w:val="auto"/>
              </w:rPr>
            </w:pPr>
            <w:r>
              <w:rPr>
                <w:rFonts w:ascii="Arial" w:cs="Arial" w:eastAsia="Arial" w:hAnsi="Arial"/>
                <w:sz w:val="18"/>
                <w:szCs w:val="18"/>
                <w:color w:val="auto"/>
              </w:rPr>
              <w:t>Finance</w:t>
            </w:r>
          </w:p>
        </w:tc>
        <w:tc>
          <w:tcPr>
            <w:tcW w:w="4480" w:type="dxa"/>
            <w:vAlign w:val="bottom"/>
          </w:tcPr>
          <w:p>
            <w:pPr>
              <w:ind w:left="720"/>
              <w:spacing w:after="0"/>
              <w:rPr>
                <w:sz w:val="20"/>
                <w:szCs w:val="20"/>
                <w:color w:val="auto"/>
              </w:rPr>
            </w:pPr>
            <w:r>
              <w:rPr>
                <w:rFonts w:ascii="Arial" w:cs="Arial" w:eastAsia="Arial" w:hAnsi="Arial"/>
                <w:sz w:val="18"/>
                <w:szCs w:val="18"/>
                <w:color w:val="auto"/>
              </w:rPr>
              <w:t>Lease obligations</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19,031</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124,799</w:t>
            </w:r>
          </w:p>
        </w:tc>
      </w:tr>
      <w:tr>
        <w:trPr>
          <w:trHeight w:val="250"/>
        </w:trPr>
        <w:tc>
          <w:tcPr>
            <w:tcW w:w="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4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spacing w:after="0"/>
              <w:rPr>
                <w:sz w:val="21"/>
                <w:szCs w:val="21"/>
                <w:color w:val="auto"/>
              </w:rPr>
            </w:pPr>
          </w:p>
        </w:tc>
      </w:tr>
      <w:tr>
        <w:trPr>
          <w:trHeight w:val="256"/>
        </w:trPr>
        <w:tc>
          <w:tcPr>
            <w:tcW w:w="20" w:type="dxa"/>
            <w:vAlign w:val="bottom"/>
            <w:shd w:val="clear" w:color="auto" w:fill="CCEEFF"/>
          </w:tcPr>
          <w:p>
            <w:pPr>
              <w:spacing w:after="0"/>
              <w:rPr>
                <w:sz w:val="22"/>
                <w:szCs w:val="22"/>
                <w:color w:val="auto"/>
              </w:rPr>
            </w:pPr>
          </w:p>
        </w:tc>
        <w:tc>
          <w:tcPr>
            <w:tcW w:w="2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4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June 30, 2023 and December 31,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Level I</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Level II</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III</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w w:val="91"/>
              </w:rPr>
              <w:t>At June 30, 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5"/>
        </w:trPr>
        <w:tc>
          <w:tcPr>
            <w:tcW w:w="20" w:type="dxa"/>
            <w:vAlign w:val="bottom"/>
            <w:shd w:val="clear" w:color="auto" w:fill="CCEEFF"/>
          </w:tcPr>
          <w:p>
            <w:pPr>
              <w:spacing w:after="0"/>
              <w:rPr>
                <w:sz w:val="16"/>
                <w:szCs w:val="16"/>
                <w:color w:val="auto"/>
              </w:rPr>
            </w:pPr>
          </w:p>
        </w:tc>
        <w:tc>
          <w:tcPr>
            <w:tcW w:w="508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80,000</w:t>
            </w:r>
          </w:p>
        </w:tc>
      </w:tr>
      <w:tr>
        <w:trPr>
          <w:trHeight w:val="236"/>
        </w:trPr>
        <w:tc>
          <w:tcPr>
            <w:tcW w:w="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w:t>
            </w:r>
          </w:p>
        </w:tc>
      </w:tr>
      <w:tr>
        <w:trPr>
          <w:trHeight w:val="189"/>
        </w:trPr>
        <w:tc>
          <w:tcPr>
            <w:tcW w:w="20" w:type="dxa"/>
            <w:vAlign w:val="bottom"/>
          </w:tcPr>
          <w:p>
            <w:pPr>
              <w:spacing w:after="0"/>
              <w:rPr>
                <w:sz w:val="16"/>
                <w:szCs w:val="16"/>
                <w:color w:val="auto"/>
              </w:rPr>
            </w:pPr>
          </w:p>
        </w:tc>
        <w:tc>
          <w:tcPr>
            <w:tcW w:w="50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3"/>
        </w:trPr>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300" w:type="dxa"/>
            <w:vAlign w:val="bottom"/>
            <w:tcBorders>
              <w:bottom w:val="single" w:sz="8" w:color="auto"/>
            </w:tcBorders>
            <w:shd w:val="clear" w:color="auto" w:fill="CCEEFF"/>
          </w:tcPr>
          <w:p>
            <w:pPr>
              <w:jc w:val="center"/>
              <w:ind w:right="719"/>
              <w:spacing w:after="0"/>
              <w:rPr>
                <w:sz w:val="20"/>
                <w:szCs w:val="20"/>
                <w:color w:val="auto"/>
              </w:rPr>
            </w:pPr>
            <w:r>
              <w:rPr>
                <w:rFonts w:ascii="Arial" w:cs="Arial" w:eastAsia="Arial" w:hAnsi="Arial"/>
                <w:sz w:val="16"/>
                <w:szCs w:val="16"/>
                <w:b w:val="1"/>
                <w:bCs w:val="1"/>
                <w:color w:val="auto"/>
                <w:w w:val="92"/>
              </w:rPr>
              <w:t>At December 31, 2022: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08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37"/>
        </w:trPr>
        <w:tc>
          <w:tcPr>
            <w:tcW w:w="20" w:type="dxa"/>
            <w:vAlign w:val="bottom"/>
          </w:tcPr>
          <w:p>
            <w:pPr>
              <w:spacing w:after="0"/>
              <w:rPr>
                <w:sz w:val="20"/>
                <w:szCs w:val="20"/>
                <w:color w:val="auto"/>
              </w:rPr>
            </w:pP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1"/>
              </w:rPr>
              <w:t>Liabilities</w:t>
            </w:r>
          </w:p>
        </w:tc>
        <w:tc>
          <w:tcPr>
            <w:tcW w:w="4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8,965</w:t>
            </w:r>
          </w:p>
        </w:tc>
      </w:tr>
    </w:tbl>
    <w:p>
      <w:pPr>
        <w:spacing w:after="0" w:line="18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Company's cash equivalents (comprised of money market mutual funds) are classified within Level I of the fair value hierarchy because they are valued using quoted market prices.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At June 30, 2023 and December 31, 2022, the Company did not have any material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2023</w:t>
            </w:r>
          </w:p>
        </w:tc>
        <w:tc>
          <w:tcPr>
            <w:tcW w:w="140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jc w:val="right"/>
              <w:ind w:right="553"/>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2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618,169</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590,034</w:t>
            </w:r>
          </w:p>
        </w:tc>
      </w:tr>
      <w:tr>
        <w:trPr>
          <w:trHeight w:val="243"/>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392,872</w:t>
            </w:r>
          </w:p>
        </w:tc>
      </w:tr>
      <w:tr>
        <w:trPr>
          <w:trHeight w:val="23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795,244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693,000</w:t>
            </w: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534,948</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2,799,746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2,210,854</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213"/>
              <w:spacing w:after="0"/>
              <w:rPr>
                <w:sz w:val="20"/>
                <w:szCs w:val="20"/>
                <w:color w:val="auto"/>
              </w:rPr>
            </w:pPr>
            <w:r>
              <w:rPr>
                <w:rFonts w:ascii="Arial" w:cs="Arial" w:eastAsia="Arial" w:hAnsi="Arial"/>
                <w:sz w:val="16"/>
                <w:szCs w:val="16"/>
                <w:b w:val="1"/>
                <w:bCs w:val="1"/>
                <w:color w:val="auto"/>
              </w:rPr>
              <w:t>December 31, 2022</w:t>
            </w: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20" w:type="dxa"/>
            <w:vAlign w:val="bottom"/>
            <w:tcBorders>
              <w:bottom w:val="single" w:sz="8" w:color="auto"/>
            </w:tcBorders>
          </w:tcPr>
          <w:p>
            <w:pPr>
              <w:spacing w:after="0"/>
              <w:rPr>
                <w:sz w:val="18"/>
                <w:szCs w:val="18"/>
                <w:color w:val="auto"/>
              </w:rPr>
            </w:pPr>
          </w:p>
        </w:tc>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2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633,486</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615,600</w:t>
            </w:r>
          </w:p>
        </w:tc>
      </w:tr>
      <w:tr>
        <w:trPr>
          <w:trHeight w:val="243"/>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398,687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375,348</w:t>
            </w:r>
          </w:p>
        </w:tc>
      </w:tr>
      <w:tr>
        <w:trPr>
          <w:trHeight w:val="23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794,171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607,000</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620,818</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2,812,453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2,218,766</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160" w:type="dxa"/>
            <w:vAlign w:val="bottom"/>
            <w:tcBorders>
              <w:bottom w:val="single" w:sz="8" w:color="auto"/>
            </w:tcBorders>
          </w:tcPr>
          <w:p>
            <w:pPr>
              <w:ind w:left="146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4"/>
              </w:rPr>
              <w:t>December 31, 2022</w:t>
            </w:r>
          </w:p>
        </w:tc>
      </w:tr>
      <w:tr>
        <w:trPr>
          <w:trHeight w:val="178"/>
        </w:trPr>
        <w:tc>
          <w:tcPr>
            <w:tcW w:w="33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w w:val="99"/>
              </w:rPr>
              <w:t>Derivatives not designated as hedging</w:t>
            </w:r>
          </w:p>
        </w:tc>
        <w:tc>
          <w:tcPr>
            <w:tcW w:w="4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34"/>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instruments:</w:t>
            </w:r>
          </w:p>
        </w:tc>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tcPr>
          <w:p>
            <w:pPr>
              <w:ind w:left="400"/>
              <w:spacing w:after="0"/>
              <w:rPr>
                <w:sz w:val="20"/>
                <w:szCs w:val="20"/>
                <w:color w:val="auto"/>
              </w:rPr>
            </w:pPr>
            <w:r>
              <w:rPr>
                <w:rFonts w:ascii="Arial" w:cs="Arial" w:eastAsia="Arial" w:hAnsi="Arial"/>
                <w:sz w:val="18"/>
                <w:szCs w:val="18"/>
                <w:color w:val="auto"/>
              </w:rPr>
              <w:t>Accrued liabilities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3,663</w:t>
            </w:r>
          </w:p>
        </w:tc>
      </w:tr>
      <w:tr>
        <w:trPr>
          <w:trHeight w:val="23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program rights obligations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5,220</w:t>
            </w:r>
          </w:p>
        </w:tc>
      </w:tr>
    </w:tbl>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of gains and losses related to the Company's derivative financial instruments not designated as hedging instruments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0"/>
              </w:rPr>
              <w:t>Location of Gain or (Loss) Recognized in Earnings on</w:t>
            </w:r>
          </w:p>
        </w:tc>
        <w:tc>
          <w:tcPr>
            <w:tcW w:w="120" w:type="dxa"/>
            <w:vAlign w:val="bottom"/>
          </w:tcPr>
          <w:p>
            <w:pPr>
              <w:spacing w:after="0"/>
              <w:rPr>
                <w:sz w:val="16"/>
                <w:szCs w:val="16"/>
                <w:color w:val="auto"/>
              </w:rPr>
            </w:pPr>
          </w:p>
        </w:tc>
        <w:tc>
          <w:tcPr>
            <w:tcW w:w="5540" w:type="dxa"/>
            <w:vAlign w:val="bottom"/>
            <w:gridSpan w:val="11"/>
            <w:vMerge w:val="restart"/>
          </w:tcPr>
          <w:p>
            <w:pPr>
              <w:jc w:val="right"/>
              <w:ind w:right="435"/>
              <w:spacing w:after="0"/>
              <w:rPr>
                <w:sz w:val="20"/>
                <w:szCs w:val="20"/>
                <w:color w:val="auto"/>
              </w:rPr>
            </w:pPr>
            <w:r>
              <w:rPr>
                <w:rFonts w:ascii="Arial" w:cs="Arial" w:eastAsia="Arial" w:hAnsi="Arial"/>
                <w:sz w:val="16"/>
                <w:szCs w:val="16"/>
                <w:b w:val="1"/>
                <w:bCs w:val="1"/>
                <w:color w:val="auto"/>
              </w:rPr>
              <w:t>Amount of Gain or (Loss) Recognized in Earnings on Derivatives</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18"/>
                <w:szCs w:val="18"/>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5540" w:type="dxa"/>
            <w:vAlign w:val="bottom"/>
            <w:tcBorders>
              <w:bottom w:val="single" w:sz="8" w:color="auto"/>
            </w:tcBorders>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5"/>
          </w:tcPr>
          <w:p>
            <w:pPr>
              <w:jc w:val="right"/>
              <w:ind w:right="235"/>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36"/>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9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Foreign currency</w:t>
            </w:r>
          </w:p>
        </w:tc>
        <w:tc>
          <w:tcPr>
            <w:tcW w:w="39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Miscellaneous, net</w:t>
            </w:r>
          </w:p>
        </w:tc>
        <w:tc>
          <w:tcPr>
            <w:tcW w:w="940" w:type="dxa"/>
            <w:vAlign w:val="bottom"/>
            <w:gridSpan w:val="2"/>
            <w:vMerge w:val="restart"/>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4,908</w:t>
            </w: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derivatives</w:t>
            </w:r>
          </w:p>
        </w:tc>
        <w:tc>
          <w:tcPr>
            <w:tcW w:w="39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and six months ended June 30, 2023, income tax expense was $22.2 million and $59.1 million, respectively, representing an effective tax rate of 26% and 25%, respectively. The items resulting in variances from the federal statutory rate of 21% for the three and six months ended June 30, 2023 primarily consist of state and local income tax expense and tax expense related to non-deductible compensation.</w:t>
      </w:r>
    </w:p>
    <w:p>
      <w:pPr>
        <w:spacing w:after="0" w:line="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and six months ended June 30, 2022, income tax expense was $33.0 million and $74.7 million, respectively, representing an effective tax rate of 27% for both periods. The items resulting in variances from the federal statutory rate of 21% for the three and six months ended June 30, 2022 primarily consist of state and local income tax expense and tax expense for an increase in the valuation allowance for foreign taxes.</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30, 2023, the Company had foreign tax credit carry forwards of approximately $52.5 million, expiring on various dates from 2024 through 2033. These carryforwards have been reduced by a valuation allowance of $52.5 million as it is more likely than not that these carry forwards will not be realized. For the six months ended June 30, 2023, $0.4 million relating to amortization of tax deductible second component goodwill was realized as a reduction in tax liability (as determined on a 'with-and-without' approach).</w:t>
      </w:r>
    </w:p>
    <w:p>
      <w:pPr>
        <w:spacing w:after="0" w:line="7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of June 30, 2023, approximately $198.0 million of cash and cash equivalents, previously held by foreign subsidiaries, was repatriated to the United States. Our consolidated cash and cash equivalents balance of $893.4 million, as of June 30, 2023, includes approximately $178.7 million held by foreign subsidiaries. Of this amount, approximately $60.0 million is expected to be repatriated to the United States with the remaining amount continuing to be reinvested in foreign operations. Tax expense related to the repatriated amount, as well as the expected remaining repatriation amount, has been accrued in the current period and the Company does not expect to incur any significant, additional taxes related to the remaining balance.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As of June 30, 2023, the Company's contractual obligations not reflected on the Company's condensed consolidated balance sheet increased $5.2 million, as compared to December 31, 2022, to $917.4 million. The increase was primarily driven by the renewal of a third-party service contract and additional program rights commitments, partially offset by payments for program rights.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46"/>
        <w:spacing w:after="0" w:line="285" w:lineRule="auto"/>
        <w:rPr>
          <w:sz w:val="20"/>
          <w:szCs w:val="20"/>
          <w:color w:val="auto"/>
        </w:rPr>
      </w:pPr>
      <w:r>
        <w:rPr>
          <w:rFonts w:ascii="Arial" w:cs="Arial" w:eastAsia="Arial" w:hAnsi="Arial"/>
          <w:sz w:val="16"/>
          <w:szCs w:val="16"/>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In December 2022, the parties entered into an agreement to resolve through confidential binding arbitration the remaining claims in the litigation (consisting mainly of ordinary course profit participation audit claims), which had been scheduled for a February 2023 jury trial. The arbitration is expected to commence on October 16, 2023. As a result, on January 9, 2023,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Plaintiffs filed with the court a notice of dismissal of the remaining claims, and on January 19, 2023, the court formally dismissed the case. On January, 26, 2023, the Plaintiffs filed a notice of appeal of the court’s post-trial, demurrer, and summary adjudication decisions. The Company believes the two remaining claims in the case for breach of contract, which will now be resolved through confidential binding arbitration, are without merit and is continuing to defend against them. At this time, no determination can be made as to the ultimate outcome of this litigation or the potential liability, if any, on the part of the Company.</w:t>
      </w:r>
    </w:p>
    <w:p>
      <w:pPr>
        <w:spacing w:after="0" w:line="80"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The motion is fully briefed and awaiting decision. The court has scheduled a trial date of September 17, 2024.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65" w:lineRule="exact"/>
        <w:rPr>
          <w:sz w:val="20"/>
          <w:szCs w:val="20"/>
          <w:color w:val="auto"/>
        </w:rPr>
      </w:pPr>
    </w:p>
    <w:p>
      <w:pPr>
        <w:jc w:val="both"/>
        <w:ind w:firstLine="446"/>
        <w:spacing w:after="0" w:line="274" w:lineRule="auto"/>
        <w:rPr>
          <w:sz w:val="20"/>
          <w:szCs w:val="20"/>
          <w:color w:val="auto"/>
        </w:rPr>
      </w:pPr>
      <w:r>
        <w:rPr>
          <w:rFonts w:ascii="Arial" w:cs="Arial" w:eastAsia="Arial" w:hAnsi="Arial"/>
          <w:sz w:val="16"/>
          <w:szCs w:val="16"/>
          <w:color w:val="auto"/>
        </w:rPr>
        <w:t>The Company is party to actions and claims arising from alleged violation of the federal Video Privacy Protection Act (the “VPPA”) and analogous state laws. In addition to certain putative class actions currently pending, the Company is facing a series of arbitration claims managed by multiple plaintiffs’ law firms. The class action complaints and the arbitration claims all allege that the Company’s use of a Meta Platforms, Inc. pixel on the websites for certain of its subscription video services, including AMC+ and Shudder, violated the privacy protection provisions of the VPPA and its state law analogues.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Company’s business or financial position or the Company’s ability to meet its financial obligations as they become due.</w:t>
      </w:r>
    </w:p>
    <w:p>
      <w:pPr>
        <w:spacing w:after="0" w:line="55" w:lineRule="exact"/>
        <w:rPr>
          <w:sz w:val="20"/>
          <w:szCs w:val="20"/>
          <w:color w:val="auto"/>
        </w:rPr>
      </w:pPr>
    </w:p>
    <w:p>
      <w:pPr>
        <w:jc w:val="both"/>
        <w:ind w:firstLine="446"/>
        <w:spacing w:after="0" w:line="275"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Plans</w:t>
      </w:r>
    </w:p>
    <w:p>
      <w:pPr>
        <w:spacing w:after="0" w:line="121"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During the second quarter of 2023, AMC Networks granted 1,792,097 restricted stock units ("RSUs") to certain executive officers and employees under the AMC Networks Inc. Amended and Restated 2016 Employee Stock Plan, which vest ratably over a three-year period, and 131,640 RSUs under the 2011 Stock Plan for Non-Employee Directors to non-employee directors that vested on the date of grant.</w:t>
      </w:r>
    </w:p>
    <w:p>
      <w:pPr>
        <w:spacing w:after="0" w:line="76"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February 2023, AMC Networks granted 297,325 RSUs under the AMC Networks Inc. Amended and Restated 2016 Employee Stock Plan to its chief executive officer. The RSUs vest ratably over a three-year period.</w:t>
      </w:r>
    </w:p>
    <w:p>
      <w:pPr>
        <w:spacing w:after="0" w:line="62"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During the three months ended June 30, 2023, 135,243 RSUs of AMC Networks Class A Common Stock previously issued to employees of the Company vested. On the vesting date, 71,801 RSUs were surrendered to the Company to cover the required statutory tax withholding obligations and 63,442 shares of AMC Networks Class A Common Stock were issued. During the six months ended June 30, 2023, 883,424 RSUs of AMC Networks Class A Common Stock previously issued to employees of the Company vested. On the vesting date, 387,675 RSUs were surrendered to the Company to cover the required statutory tax withholding obligations and 495,749 shares of AMC Networks Class A Common Stock were issued. Units are surrendered to satisfy the employees' statutory minimum tax withholding obligations for the applicable income and other employment tax. The units surrendered during the six months ended June 30, 2023 had an aggregate value of $7.2 million,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which has been reflected as a financing activity in the condensed consolidated statement of cash flows for the six months ended June 30, 2023.</w:t>
      </w:r>
    </w:p>
    <w:p>
      <w:pPr>
        <w:spacing w:after="0" w:line="12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Company recorded share-based compensation expenses of $7.6 million and $13.5 million (including $0.2 million recorded as part of Restructuring and other related charges) for the three and six months ended June 30, 2023, respectively, and $8.7 million and $16.8 million for the three and six months ended June 30, 2022, respectively. Share-based compensation expenses are recognized in the consolidated statements of income as part of selling, general and administrative expenses.</w:t>
      </w:r>
    </w:p>
    <w:p>
      <w:pPr>
        <w:spacing w:after="0" w:line="79"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As of June 30, 2023, there was $40.5 million of total unrecognized share-based compensation cost related to outstanding unvested share-based awards. The unrecognized compensation cost is expected to be recognized over a weighted average remaining period of approximately 2.5 years.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Redeemable Noncontrolling Interests</w:t>
      </w:r>
    </w:p>
    <w:p>
      <w:pPr>
        <w:spacing w:after="0" w:line="117"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In connection with the Company's previous acquisitions of New Video Channel America L.L.C (owner of the cable channel BBC America) and RLJ Entertainment, the terms of the acquisition agreements provide the noncontrolling members with a right to put all of their noncontrolling interest to subsidiaries of the Company at a future time. Since the exercise of these put rights is outside the Company's control, the noncontrolling interest in each entity is presented as a redeemable noncontrolling interest outside of stockholders' equity on the Company's consolidated balance sheet.</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summarize activity related to redeemable noncontrolling interest for the three and six months ended June 30, 2023 and 2022:</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6040" w:type="dxa"/>
            <w:vAlign w:val="bottom"/>
          </w:tcPr>
          <w:p>
            <w:pPr>
              <w:jc w:val="center"/>
              <w:ind w:left="4119"/>
              <w:spacing w:after="0"/>
              <w:rPr>
                <w:sz w:val="20"/>
                <w:szCs w:val="20"/>
                <w:color w:val="auto"/>
              </w:rPr>
            </w:pPr>
            <w:r>
              <w:rPr>
                <w:rFonts w:ascii="Arial" w:cs="Arial" w:eastAsia="Arial" w:hAnsi="Arial"/>
                <w:sz w:val="16"/>
                <w:szCs w:val="16"/>
                <w:b w:val="1"/>
                <w:bCs w:val="1"/>
                <w:color w:val="auto"/>
                <w:w w:val="91"/>
              </w:rPr>
              <w:t>Three Months Ended June</w:t>
            </w:r>
          </w:p>
        </w:tc>
      </w:tr>
      <w:tr>
        <w:trPr>
          <w:trHeight w:val="210"/>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40" w:type="dxa"/>
            <w:vAlign w:val="bottom"/>
          </w:tcPr>
          <w:p>
            <w:pPr>
              <w:jc w:val="right"/>
              <w:ind w:right="559"/>
              <w:spacing w:after="0"/>
              <w:rPr>
                <w:sz w:val="20"/>
                <w:szCs w:val="20"/>
                <w:color w:val="auto"/>
              </w:rPr>
            </w:pPr>
            <w:r>
              <w:rPr>
                <w:rFonts w:ascii="Arial" w:cs="Arial" w:eastAsia="Arial" w:hAnsi="Arial"/>
                <w:sz w:val="16"/>
                <w:szCs w:val="16"/>
                <w:b w:val="1"/>
                <w:bCs w:val="1"/>
                <w:color w:val="auto"/>
              </w:rPr>
              <w:t>30, 2023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6140" w:type="dxa"/>
            <w:vAlign w:val="bottom"/>
            <w:tcBorders>
              <w:top w:val="single" w:sz="8" w:color="auto"/>
            </w:tcBorders>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249,919</w:t>
            </w:r>
          </w:p>
        </w:tc>
        <w:tc>
          <w:tcPr>
            <w:tcW w:w="0" w:type="dxa"/>
            <w:vAlign w:val="bottom"/>
          </w:tcPr>
          <w:p>
            <w:pPr>
              <w:spacing w:after="0"/>
              <w:rPr>
                <w:sz w:val="1"/>
                <w:szCs w:val="1"/>
                <w:color w:val="auto"/>
              </w:rPr>
            </w:pPr>
          </w:p>
        </w:tc>
      </w:tr>
      <w:tr>
        <w:trPr>
          <w:trHeight w:val="237"/>
        </w:trPr>
        <w:tc>
          <w:tcPr>
            <w:tcW w:w="348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22"/>
        </w:trPr>
        <w:tc>
          <w:tcPr>
            <w:tcW w:w="3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57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June 30, 2023</w:t>
            </w:r>
          </w:p>
        </w:tc>
        <w:tc>
          <w:tcPr>
            <w:tcW w:w="614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241,486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4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2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w w:val="94"/>
              </w:rPr>
              <w:t>Three Months Ended June</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331"/>
              <w:spacing w:after="0"/>
              <w:rPr>
                <w:sz w:val="20"/>
                <w:szCs w:val="20"/>
                <w:color w:val="auto"/>
              </w:rPr>
            </w:pPr>
            <w:r>
              <w:rPr>
                <w:rFonts w:ascii="Arial" w:cs="Arial" w:eastAsia="Arial" w:hAnsi="Arial"/>
                <w:sz w:val="16"/>
                <w:szCs w:val="16"/>
                <w:b w:val="1"/>
                <w:bCs w:val="1"/>
                <w:color w:val="auto"/>
                <w:w w:val="89"/>
              </w:rPr>
              <w:t>30, 2022</w:t>
            </w:r>
          </w:p>
        </w:tc>
        <w:tc>
          <w:tcPr>
            <w:tcW w:w="0" w:type="dxa"/>
            <w:vAlign w:val="bottom"/>
          </w:tcPr>
          <w:p>
            <w:pPr>
              <w:spacing w:after="0"/>
              <w:rPr>
                <w:sz w:val="1"/>
                <w:szCs w:val="1"/>
                <w:color w:val="auto"/>
              </w:rPr>
            </w:pPr>
          </w:p>
        </w:tc>
      </w:tr>
      <w:tr>
        <w:trPr>
          <w:trHeight w:val="23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614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287,756</w:t>
            </w:r>
          </w:p>
        </w:tc>
        <w:tc>
          <w:tcPr>
            <w:tcW w:w="0" w:type="dxa"/>
            <w:vAlign w:val="bottom"/>
          </w:tcPr>
          <w:p>
            <w:pPr>
              <w:spacing w:after="0"/>
              <w:rPr>
                <w:sz w:val="1"/>
                <w:szCs w:val="1"/>
                <w:color w:val="auto"/>
              </w:rPr>
            </w:pPr>
          </w:p>
        </w:tc>
      </w:tr>
      <w:tr>
        <w:trPr>
          <w:trHeight w:val="229"/>
        </w:trPr>
        <w:tc>
          <w:tcPr>
            <w:tcW w:w="348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5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5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0" w:type="dxa"/>
            <w:vAlign w:val="bottom"/>
          </w:tcPr>
          <w:p>
            <w:pPr>
              <w:spacing w:after="0"/>
              <w:rPr>
                <w:sz w:val="1"/>
                <w:szCs w:val="1"/>
                <w:color w:val="auto"/>
              </w:rPr>
            </w:pPr>
          </w:p>
        </w:tc>
      </w:tr>
      <w:tr>
        <w:trPr>
          <w:trHeight w:val="230"/>
        </w:trPr>
        <w:tc>
          <w:tcPr>
            <w:tcW w:w="3480" w:type="dxa"/>
            <w:vAlign w:val="bottom"/>
          </w:tcPr>
          <w:p>
            <w:pPr>
              <w:ind w:left="360"/>
              <w:spacing w:after="0"/>
              <w:rPr>
                <w:sz w:val="20"/>
                <w:szCs w:val="20"/>
                <w:color w:val="auto"/>
              </w:rPr>
            </w:pPr>
            <w:r>
              <w:rPr>
                <w:rFonts w:ascii="Arial" w:cs="Arial" w:eastAsia="Arial" w:hAnsi="Arial"/>
                <w:sz w:val="18"/>
                <w:szCs w:val="18"/>
                <w:color w:val="auto"/>
              </w:rPr>
              <w:t>Other</w:t>
            </w:r>
          </w:p>
        </w:tc>
        <w:tc>
          <w:tcPr>
            <w:tcW w:w="57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614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270,726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4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331"/>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3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614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253,669</w:t>
            </w:r>
          </w:p>
        </w:tc>
        <w:tc>
          <w:tcPr>
            <w:tcW w:w="0" w:type="dxa"/>
            <w:vAlign w:val="bottom"/>
          </w:tcPr>
          <w:p>
            <w:pPr>
              <w:spacing w:after="0"/>
              <w:rPr>
                <w:sz w:val="1"/>
                <w:szCs w:val="1"/>
                <w:color w:val="auto"/>
              </w:rPr>
            </w:pPr>
          </w:p>
        </w:tc>
      </w:tr>
      <w:tr>
        <w:trPr>
          <w:trHeight w:val="230"/>
        </w:trPr>
        <w:tc>
          <w:tcPr>
            <w:tcW w:w="348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5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13,070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57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(25,253)</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June 30, 2023</w:t>
            </w:r>
          </w:p>
        </w:tc>
        <w:tc>
          <w:tcPr>
            <w:tcW w:w="574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241,486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4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331"/>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614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283,849</w:t>
            </w:r>
          </w:p>
        </w:tc>
        <w:tc>
          <w:tcPr>
            <w:tcW w:w="0" w:type="dxa"/>
            <w:vAlign w:val="bottom"/>
          </w:tcPr>
          <w:p>
            <w:pPr>
              <w:spacing w:after="0"/>
              <w:rPr>
                <w:sz w:val="1"/>
                <w:szCs w:val="1"/>
                <w:color w:val="auto"/>
              </w:rPr>
            </w:pPr>
          </w:p>
        </w:tc>
      </w:tr>
      <w:tr>
        <w:trPr>
          <w:trHeight w:val="230"/>
        </w:trPr>
        <w:tc>
          <w:tcPr>
            <w:tcW w:w="348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5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5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5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270,726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bottom w:val="single" w:sz="8" w:color="CCEEFF"/>
            </w:tcBorders>
            <w:vMerge w:val="restart"/>
          </w:tcPr>
          <w:p>
            <w:pPr>
              <w:jc w:val="right"/>
              <w:ind w:right="3410"/>
              <w:spacing w:after="0"/>
              <w:rPr>
                <w:sz w:val="20"/>
                <w:szCs w:val="20"/>
                <w:color w:val="auto"/>
              </w:rPr>
            </w:pPr>
            <w:r>
              <w:rPr>
                <w:rFonts w:ascii="Arial" w:cs="Arial" w:eastAsia="Arial" w:hAnsi="Arial"/>
                <w:sz w:val="18"/>
                <w:szCs w:val="18"/>
                <w:color w:val="auto"/>
              </w:rPr>
              <w:t>19</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8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121" w:lineRule="exact"/>
        <w:rPr>
          <w:sz w:val="20"/>
          <w:szCs w:val="20"/>
          <w:color w:val="auto"/>
        </w:rPr>
      </w:pPr>
    </w:p>
    <w:p>
      <w:pPr>
        <w:jc w:val="both"/>
        <w:ind w:firstLine="446"/>
        <w:spacing w:after="0" w:line="275" w:lineRule="auto"/>
        <w:rPr>
          <w:sz w:val="20"/>
          <w:szCs w:val="20"/>
          <w:color w:val="auto"/>
        </w:rPr>
      </w:pPr>
      <w:r>
        <w:rPr>
          <w:rFonts w:ascii="Arial" w:cs="Arial" w:eastAsia="Arial" w:hAnsi="Arial"/>
          <w:sz w:val="17"/>
          <w:szCs w:val="17"/>
          <w:color w:val="auto"/>
        </w:rPr>
        <w:t>The Company and its related parties enter into transactions with each other in the ordinary course of business. Revenues, net from related parties amounted to $1.3 million and $1.2 million for the three months ended June 30, 2023 and 2022, respectively, and $2.6 million and $2.5 million for the six months ended June 30, 2023 and 2022, respectively. Amounts charged to the Company, included in selling, general and administrative expenses, pursuant to transactions with its related parties amounted to $3.3 million and $0.7 million for the three months ended June 30, 2023 and 2022, respectively, and $6.6 million and $1.3 million for the six months ended June 30, 2023 and 2022, respectively.</w:t>
      </w:r>
    </w:p>
    <w:p>
      <w:pPr>
        <w:spacing w:after="0" w:line="6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As disclosed in Note 20 of our 2022 Form 10-K, from time to time the Company enters into arrangements with 605, LLC. James L. Dolan, the Non-Executive Chairman and a director of the Company, and his spouse, Kristin A. Dolan, the Chief Executive Officer of the Company, own 50% of 605, LLC. Kristin A. Dolan is also the Non-executive Chairman and founder of 605, LLC, and served as its Chief Executive Officer from its inception in 2016 until February 2023. 605, LLC provides audience measurement and data analytics services to the Company and its subsidiaries pursuant to a Master Services Agreement dated February 8, 2019 (the “Master Services Agreement").</w:t>
      </w:r>
    </w:p>
    <w:p>
      <w:pPr>
        <w:spacing w:after="0" w:line="80"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On August 1, 2022, the Audit Committee authorized the Company to enter into a Statement of Work for Strategic Analytic Services (the “Statement of Work”) with 605, LLC under the Master Services Agreement. The fees payable to 605, LLC by the Company for these services were $10.5 million payable in five installments. The initial term of the Statement of Work ran from August 1, 2022 to December 31, 2022. The term was automatically extended to June 30, 2023 per the terms of the agreement. The Statement of Work expired by its terms on June 30, 2023.</w:t>
      </w:r>
    </w:p>
    <w:p>
      <w:pPr>
        <w:spacing w:after="0" w:line="63" w:lineRule="exact"/>
        <w:rPr>
          <w:sz w:val="20"/>
          <w:szCs w:val="20"/>
          <w:color w:val="auto"/>
        </w:rPr>
      </w:pPr>
    </w:p>
    <w:p>
      <w:pPr>
        <w:jc w:val="both"/>
        <w:ind w:firstLine="446"/>
        <w:spacing w:after="0" w:line="275" w:lineRule="auto"/>
        <w:rPr>
          <w:sz w:val="20"/>
          <w:szCs w:val="20"/>
          <w:color w:val="auto"/>
        </w:rPr>
      </w:pPr>
      <w:r>
        <w:rPr>
          <w:rFonts w:ascii="Arial" w:cs="Arial" w:eastAsia="Arial" w:hAnsi="Arial"/>
          <w:sz w:val="17"/>
          <w:szCs w:val="17"/>
          <w:color w:val="auto"/>
        </w:rPr>
        <w:t>Under the Statement of Work, 605, LLC was engaged in a strategic, research, market, business and financial assessment of the Company and its business, partnering with the Company’s management team. 605, LLC utilized their expertise, including assessment of extensive real-time business intelligence and consumer research, to enable potential further acceleration of the Company’s long-term growth and value creation. Among the analytic services provided by 605, LLC were situation analysis, customer experience, data utilization, addressing the market, content strategy and overview, sales strategy, pricing analysis, customer profiles, content (by offering), marketing strategy and financial analysis.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31"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20320</wp:posOffset>
            </wp:positionV>
            <wp:extent cx="2185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Operating lease additions</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3,023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43"/>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17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Contingent consideration for purchase of noncontrolling interests</w:t>
            </w:r>
          </w:p>
        </w:tc>
        <w:tc>
          <w:tcPr>
            <w:tcW w:w="1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Data:</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420" w:type="dxa"/>
            <w:vAlign w:val="bottom"/>
          </w:tcPr>
          <w:p>
            <w:pPr>
              <w:ind w:left="360"/>
              <w:spacing w:after="0"/>
              <w:rPr>
                <w:sz w:val="20"/>
                <w:szCs w:val="20"/>
                <w:color w:val="auto"/>
              </w:rPr>
            </w:pPr>
            <w:r>
              <w:rPr>
                <w:rFonts w:ascii="Arial" w:cs="Arial" w:eastAsia="Arial" w:hAnsi="Arial"/>
                <w:sz w:val="18"/>
                <w:szCs w:val="18"/>
                <w:color w:val="auto"/>
              </w:rPr>
              <w:t>Cash interest paid</w:t>
            </w:r>
          </w:p>
        </w:tc>
        <w:tc>
          <w:tcPr>
            <w:tcW w:w="17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58,539</w:t>
            </w:r>
          </w:p>
        </w:tc>
      </w:tr>
      <w:tr>
        <w:trPr>
          <w:trHeight w:val="23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 net</w:t>
            </w:r>
          </w:p>
        </w:tc>
        <w:tc>
          <w:tcPr>
            <w:tcW w:w="17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6"/>
                <w:szCs w:val="16"/>
                <w:b w:val="1"/>
                <w:bCs w:val="1"/>
                <w:color w:val="auto"/>
                <w:w w:val="98"/>
              </w:rPr>
              <w:t>Three Months Ended June 30, 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2"/>
              <w:spacing w:after="0" w:line="172" w:lineRule="exact"/>
              <w:rPr>
                <w:sz w:val="20"/>
                <w:szCs w:val="20"/>
                <w:color w:val="auto"/>
              </w:rPr>
            </w:pPr>
            <w:r>
              <w:rPr>
                <w:rFonts w:ascii="Arial" w:cs="Arial" w:eastAsia="Arial" w:hAnsi="Arial"/>
                <w:sz w:val="16"/>
                <w:szCs w:val="16"/>
                <w:b w:val="1"/>
                <w:bCs w:val="1"/>
                <w:color w:val="auto"/>
                <w:w w:val="95"/>
              </w:rPr>
              <w:t>Corporate / Inter-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Domestic Operations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and Other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2"/>
              </w:rPr>
              <w:t>Eliminations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333,754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57,280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391,034</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5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100,077</w:t>
            </w:r>
          </w:p>
        </w:tc>
        <w:tc>
          <w:tcPr>
            <w:tcW w:w="0" w:type="dxa"/>
            <w:vAlign w:val="bottom"/>
          </w:tcPr>
          <w:p>
            <w:pPr>
              <w:spacing w:after="0"/>
              <w:rPr>
                <w:sz w:val="1"/>
                <w:szCs w:val="1"/>
                <w:color w:val="auto"/>
              </w:rPr>
            </w:pPr>
          </w:p>
        </w:tc>
      </w:tr>
      <w:tr>
        <w:trPr>
          <w:trHeight w:val="223"/>
        </w:trPr>
        <w:tc>
          <w:tcPr>
            <w:tcW w:w="466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414,668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491,111</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187,517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678,628</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105,701</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24,882</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184,806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19,186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(27,215)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176,777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6"/>
                <w:szCs w:val="16"/>
                <w:b w:val="1"/>
                <w:bCs w:val="1"/>
                <w:color w:val="auto"/>
                <w:w w:val="98"/>
              </w:rPr>
              <w:t>Three Months Ended June 30, 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Corporate / Inter-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Domestic Operations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and Other</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2"/>
              </w:rPr>
              <w:t>Eliminations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347,024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56,702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403,726</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110,913</w:t>
            </w:r>
          </w:p>
        </w:tc>
        <w:tc>
          <w:tcPr>
            <w:tcW w:w="0" w:type="dxa"/>
            <w:vAlign w:val="bottom"/>
          </w:tcPr>
          <w:p>
            <w:pPr>
              <w:spacing w:after="0"/>
              <w:rPr>
                <w:sz w:val="1"/>
                <w:szCs w:val="1"/>
                <w:color w:val="auto"/>
              </w:rPr>
            </w:pPr>
          </w:p>
        </w:tc>
      </w:tr>
      <w:tr>
        <w:trPr>
          <w:trHeight w:val="223"/>
        </w:trPr>
        <w:tc>
          <w:tcPr>
            <w:tcW w:w="466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419,450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514,639</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201,652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223,386</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621,102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125,771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(8,848)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738,025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153,203</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209,489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19,187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(33,134)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195,542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6"/>
                <w:szCs w:val="16"/>
                <w:b w:val="1"/>
                <w:bCs w:val="1"/>
                <w:color w:val="auto"/>
              </w:rPr>
              <w:t>Six Months Ended June 30, 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restart"/>
          </w:tcPr>
          <w:p>
            <w:pPr>
              <w:jc w:val="center"/>
              <w:ind w:right="112"/>
              <w:spacing w:after="0"/>
              <w:rPr>
                <w:sz w:val="20"/>
                <w:szCs w:val="20"/>
                <w:color w:val="auto"/>
              </w:rPr>
            </w:pPr>
            <w:r>
              <w:rPr>
                <w:rFonts w:ascii="Arial" w:cs="Arial" w:eastAsia="Arial" w:hAnsi="Arial"/>
                <w:sz w:val="16"/>
                <w:szCs w:val="16"/>
                <w:b w:val="1"/>
                <w:bCs w:val="1"/>
                <w:color w:val="auto"/>
                <w:w w:val="95"/>
              </w:rPr>
              <w:t>International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32"/>
              <w:spacing w:after="0"/>
              <w:rPr>
                <w:sz w:val="20"/>
                <w:szCs w:val="20"/>
                <w:color w:val="auto"/>
              </w:rPr>
            </w:pPr>
            <w:r>
              <w:rPr>
                <w:rFonts w:ascii="Arial" w:cs="Arial" w:eastAsia="Arial" w:hAnsi="Arial"/>
                <w:sz w:val="16"/>
                <w:szCs w:val="16"/>
                <w:b w:val="1"/>
                <w:bCs w:val="1"/>
                <w:color w:val="auto"/>
                <w:w w:val="97"/>
              </w:rPr>
              <w:t>Corporate / Inter-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Domestic Operations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32"/>
              <w:spacing w:after="0" w:line="162" w:lineRule="exact"/>
              <w:rPr>
                <w:sz w:val="20"/>
                <w:szCs w:val="20"/>
                <w:color w:val="auto"/>
              </w:rPr>
            </w:pPr>
            <w:r>
              <w:rPr>
                <w:rFonts w:ascii="Arial" w:cs="Arial" w:eastAsia="Arial" w:hAnsi="Arial"/>
                <w:sz w:val="16"/>
                <w:szCs w:val="16"/>
                <w:b w:val="1"/>
                <w:bCs w:val="1"/>
                <w:color w:val="auto"/>
                <w:w w:val="88"/>
              </w:rPr>
              <w:t>segment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2"/>
              </w:rPr>
              <w:t>and Other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2"/>
              </w:rPr>
              <w:t>Eliminations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681,284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113,970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795,254</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184,177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168,488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1,028,975</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367,100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1,193,673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207,376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(4,974)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1,396,075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24,882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392,540</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4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6"/>
                <w:szCs w:val="16"/>
                <w:b w:val="1"/>
                <w:bCs w:val="1"/>
                <w:color w:val="auto"/>
              </w:rPr>
              <w:t>Six Months Ended June 30, 2022</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restart"/>
          </w:tcPr>
          <w:p>
            <w:pPr>
              <w:jc w:val="center"/>
              <w:ind w:right="112"/>
              <w:spacing w:after="0"/>
              <w:rPr>
                <w:sz w:val="20"/>
                <w:szCs w:val="20"/>
                <w:color w:val="auto"/>
              </w:rPr>
            </w:pPr>
            <w:r>
              <w:rPr>
                <w:rFonts w:ascii="Arial" w:cs="Arial" w:eastAsia="Arial" w:hAnsi="Arial"/>
                <w:sz w:val="16"/>
                <w:szCs w:val="16"/>
                <w:b w:val="1"/>
                <w:bCs w:val="1"/>
                <w:color w:val="auto"/>
                <w:w w:val="95"/>
              </w:rPr>
              <w:t>International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32"/>
              <w:spacing w:after="0"/>
              <w:rPr>
                <w:sz w:val="20"/>
                <w:szCs w:val="20"/>
                <w:color w:val="auto"/>
              </w:rPr>
            </w:pPr>
            <w:r>
              <w:rPr>
                <w:rFonts w:ascii="Arial" w:cs="Arial" w:eastAsia="Arial" w:hAnsi="Arial"/>
                <w:sz w:val="16"/>
                <w:szCs w:val="16"/>
                <w:b w:val="1"/>
                <w:bCs w:val="1"/>
                <w:color w:val="auto"/>
                <w:w w:val="97"/>
              </w:rPr>
              <w:t>Corporate / Inter-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Domestic Operations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32"/>
              <w:spacing w:after="0" w:line="162" w:lineRule="exact"/>
              <w:rPr>
                <w:sz w:val="20"/>
                <w:szCs w:val="20"/>
                <w:color w:val="auto"/>
              </w:rPr>
            </w:pPr>
            <w:r>
              <w:rPr>
                <w:rFonts w:ascii="Arial" w:cs="Arial" w:eastAsia="Arial" w:hAnsi="Arial"/>
                <w:sz w:val="16"/>
                <w:szCs w:val="16"/>
                <w:b w:val="1"/>
                <w:bCs w:val="1"/>
                <w:color w:val="auto"/>
                <w:w w:val="88"/>
              </w:rPr>
              <w:t>segment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2"/>
              </w:rPr>
              <w:t>and Other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2"/>
              </w:rPr>
              <w:t>Eliminations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690,772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117,114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807,886</w:t>
            </w: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74,389</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195,984</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191,503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1,003,870</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402,193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446,312</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235,622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1,450,182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327,880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16,812</w:t>
            </w: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428,708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42,199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(64,181)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406,726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Subscription revenues in the Domestic Operations segment include revenues related to the Company's streaming services of $137.4 million and $122.1 million for the three months ended June 30, 2023 and 2022, respectively, and $278.3 million and $231.7 million for the six months ended June 30, 2023 and 2022, respectively.</w:t>
      </w:r>
    </w:p>
    <w:p>
      <w:pPr>
        <w:spacing w:after="0" w:line="76"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Corporate overhead costs not allocated to the segments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Inter-segment eliminations are primarily licensing revenues recognized between the Domestic Operations and International and Other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Domestic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(2,412)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(7,442)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(4,626)</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(10,444)</w:t>
            </w: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23"/>
        </w:trPr>
        <w:tc>
          <w:tcPr>
            <w:tcW w:w="47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r>
      <w:tr>
        <w:trPr>
          <w:trHeight w:val="21"/>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6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551,637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600,226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1,157,865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1,191,434</w:t>
            </w:r>
          </w:p>
        </w:tc>
      </w:tr>
      <w:tr>
        <w:trPr>
          <w:trHeight w:val="243"/>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180,071</w:t>
            </w:r>
          </w:p>
        </w:tc>
      </w:tr>
      <w:tr>
        <w:trPr>
          <w:trHeight w:val="229"/>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78,677</w:t>
            </w:r>
          </w:p>
        </w:tc>
      </w:tr>
      <w:tr>
        <w:trPr>
          <w:trHeight w:val="248"/>
        </w:trPr>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1,450,182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One customer within the Domestic Operations segment accounted for approximately 13% of consolidated revenues, net for the three and six months ended June 30, 2023. For the three and six months ended June 30, 2022, no customer accounted for 10% or more of consolidated revenues, net.</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2"/>
              </w:rPr>
              <w:t>December 31, 2022</w:t>
            </w:r>
          </w:p>
        </w:tc>
      </w:tr>
      <w:tr>
        <w:trPr>
          <w:trHeight w:val="22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7"/>
        </w:trPr>
        <w:tc>
          <w:tcPr>
            <w:tcW w:w="74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173,096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187,833</w:t>
            </w:r>
          </w:p>
        </w:tc>
      </w:tr>
      <w:tr>
        <w:trPr>
          <w:trHeight w:val="23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r>
      <w:tr>
        <w:trPr>
          <w:trHeight w:val="250"/>
        </w:trPr>
        <w:tc>
          <w:tcPr>
            <w:tcW w:w="74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186,482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202,034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30"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strikes, including those related to the Writers, Directors, and Screen Actors guilds;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launch our streaming services in countries outside of the United States;</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 including increases in inflation rates and recession risk;</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laws or treaties relating to taxation, or the interpretation thereof, in the United States or in the countries in which we operate;</w:t>
      </w:r>
    </w:p>
    <w:p>
      <w:pPr>
        <w:spacing w:after="0" w:line="74" w:lineRule="exact"/>
        <w:rPr>
          <w:rFonts w:ascii="Arial" w:cs="Arial" w:eastAsia="Arial" w:hAnsi="Arial"/>
          <w:sz w:val="17"/>
          <w:szCs w:val="17"/>
          <w:color w:val="auto"/>
        </w:rPr>
      </w:pPr>
    </w:p>
    <w:p>
      <w:pPr>
        <w:ind w:left="820" w:right="6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or inability to access, capital or credit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the expected benefits of our restructuring plan;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pandemics or other health emergencies on the economy and our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ind w:left="820" w:right="2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8" w:lineRule="exact"/>
        <w:rPr>
          <w:rFonts w:ascii="Arial" w:cs="Arial" w:eastAsia="Arial" w:hAnsi="Arial"/>
          <w:sz w:val="18"/>
          <w:szCs w:val="18"/>
          <w:color w:val="auto"/>
        </w:rPr>
      </w:pPr>
    </w:p>
    <w:p>
      <w:pPr>
        <w:ind w:left="820" w:right="6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2022 Annual Report on Form 10-K (the "2022 Form 10-K"), as filed with the Securities and Exchange Commission ("SEC").</w:t>
      </w:r>
    </w:p>
    <w:p>
      <w:pPr>
        <w:spacing w:after="0" w:line="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or MD&amp;A, is a supplement to and should be read in conjunction with the unaudited condensed consolidated financial statements and notes thereto included elsewhere herein and our 2022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spacing w:after="0" w:line="8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six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June 30, 2022. Our discussion is presented on both a consolidated and segment basis. Our two segments are: (i) Domestic Operations and (ii) International and Other.</w:t>
      </w:r>
    </w:p>
    <w:p>
      <w:pPr>
        <w:spacing w:after="0" w:line="76"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June 30, 2023, as well as an analysis of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for the six months ended June 30, 2023 and 2022. The discussion of our financial condition and liquidity includes summaries of (i) our primary sources of liquidity and (ii) our contractual obligations that existed at June 30, 2023 as compared to December 31, 2022.</w:t>
      </w:r>
    </w:p>
    <w:p>
      <w:pPr>
        <w:spacing w:after="0" w:line="5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12" w:lineRule="exact"/>
        <w:rPr>
          <w:sz w:val="20"/>
          <w:szCs w:val="20"/>
          <w:color w:val="auto"/>
        </w:rPr>
      </w:pPr>
    </w:p>
    <w:p>
      <w:pPr>
        <w:jc w:val="both"/>
        <w:ind w:firstLine="446"/>
        <w:spacing w:after="0" w:line="229"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(loss) ("AOI")</w:t>
      </w:r>
      <w:r>
        <w:rPr>
          <w:rFonts w:ascii="Arial" w:cs="Arial" w:eastAsia="Arial" w:hAnsi="Arial"/>
          <w:sz w:val="23"/>
          <w:szCs w:val="23"/>
          <w:color w:val="auto"/>
          <w:vertAlign w:val="superscript"/>
        </w:rPr>
        <w:t>1</w:t>
      </w:r>
      <w:r>
        <w:rPr>
          <w:rFonts w:ascii="Arial" w:cs="Arial" w:eastAsia="Arial" w:hAnsi="Arial"/>
          <w:sz w:val="18"/>
          <w:szCs w:val="18"/>
          <w:color w:val="auto"/>
        </w:rPr>
        <w:t>,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52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52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auto"/>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581,819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621,102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1,193,673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1,226,645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235,622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5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52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162,530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105,701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153,203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279,005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327,880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auto"/>
            </w:tcBorders>
            <w:gridSpan w:val="3"/>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0"/>
              </w:rPr>
              <w:t>Adjusted Operating Income (Loss)</w:t>
            </w:r>
          </w:p>
        </w:tc>
        <w:tc>
          <w:tcPr>
            <w:tcW w:w="18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184,806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209,489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404,194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428,708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80" w:lineRule="exact"/>
        <w:rPr>
          <w:sz w:val="20"/>
          <w:szCs w:val="20"/>
          <w:color w:val="auto"/>
        </w:rPr>
      </w:pPr>
    </w:p>
    <w:p>
      <w:pPr>
        <w:ind w:right="80" w:firstLine="8"/>
        <w:spacing w:after="0" w:line="201" w:lineRule="auto"/>
        <w:tabs>
          <w:tab w:leader="none" w:pos="104"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Adjusted Operating Income (Loss), is a non-GAAP financial measure. See the "Non-GAAP Financial Measures" section on page 35 for additional information, including our definition and our use of this non-GAAP financial measure, and for a reconciliation to its most comparable GAAP financial measure.</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273" w:lineRule="auto"/>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Domestic Operations: </w:t>
      </w:r>
      <w:r>
        <w:rPr>
          <w:rFonts w:ascii="Arial" w:cs="Arial" w:eastAsia="Arial" w:hAnsi="Arial"/>
          <w:sz w:val="17"/>
          <w:szCs w:val="17"/>
          <w:color w:val="auto"/>
        </w:rPr>
        <w:t>Includes our programming services, which consist of our five national programming networks, our global streaming</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our AMC Studios operation and IFC Films. Our national programming networks are AMC, WE tv, BBC AMERICA, IFC, and SundanceTV. Our global streaming services consist of our targeted subscription streaming services (Acorn TV, Shudder, Sundance Now, ALLBLK, and HIDIVE) and AMC+. Our AMC Studios operation produces original programming for our programming services and third parties and also licenses programming worldwide, and IFC Films is our film distribution business. The operating segment also includes AMC Networks Broadcasting &amp; Technology, our technical services business, which primarily services most of the national programming networks.</w:t>
      </w:r>
    </w:p>
    <w:p>
      <w:pPr>
        <w:spacing w:after="0" w:line="69"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around the world, and 25/7 Media, our production services business.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Domestic Operations</w:t>
      </w:r>
    </w:p>
    <w:p>
      <w:pPr>
        <w:spacing w:after="0" w:line="11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Subscription revenue includes fees paid by distributors and consumers for our programming networks and streaming services.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typically based on a per subscriber fee and are generally paid by distributors and consumers on a monthly basis.</w:t>
      </w:r>
    </w:p>
    <w:p>
      <w:pPr>
        <w:spacing w:after="0" w:line="73"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w:t>
      </w:r>
    </w:p>
    <w:p>
      <w:pPr>
        <w:spacing w:after="0" w:line="16"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Programming expenses, included in technical and operating expenses, represent the largest expenses of the Domestic Operations segment and primarily consists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spacing w:after="0" w:line="7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typically resulting in an accelerated amortization pattern and, to a lesser extent, program rights that are predominantly monetized individually are amortized based on the individual-film-forecast-computation method.</w:t>
      </w:r>
    </w:p>
    <w:p>
      <w:pPr>
        <w:spacing w:after="0" w:line="70"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Most original series require us to make significant up-front investments. Our programming efforts are not always commercially successful, which could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ind w:left="180"/>
        <w:spacing w:after="0"/>
        <w:rPr>
          <w:sz w:val="20"/>
          <w:szCs w:val="20"/>
          <w:color w:val="auto"/>
        </w:rPr>
      </w:pPr>
      <w:r>
        <w:rPr>
          <w:rFonts w:ascii="Arial" w:cs="Arial" w:eastAsia="Arial" w:hAnsi="Arial"/>
          <w:sz w:val="18"/>
          <w:szCs w:val="18"/>
          <w:i w:val="1"/>
          <w:iCs w:val="1"/>
          <w:u w:val="single" w:color="auto"/>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and 25/7 Media.</w:t>
      </w:r>
    </w:p>
    <w:p>
      <w:pPr>
        <w:spacing w:after="0" w:line="117"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six months ended June 30, 2023, distribution revenues represented 81% of the revenues of the International and Other segment. Distribution revenue primarily includes subscription fees paid by distributors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Subscription revenues are derived from the distribution of our programming networks primarily in Europe, and to a lesser extent, Latin America. Our production services revenues are based on master production agreements whereby a third-party engages us to produce content on its behalf. Production services revenues are recognized based on the percentage of cost incurred to total estimated cost of the contract.</w:t>
      </w:r>
    </w:p>
    <w:p>
      <w:pPr>
        <w:spacing w:after="0" w:line="57"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Programming expenses, program operating costs and production costs incurred to produce content for third parties are included in technical and operating expenses, and represent the largest expense of the International and Other segment. Programming expenses primarily consist of amortization of acquired content, costs of dubbing and sub-titling of programs, and production costs. Program operating costs include costs such as origination, transmission, uplinking and encryption of our linear AMCNI channels as well as content hosting and delivery costs at our various on-line content distribution initiatives. Our programming efforts are not all commercially successful, which could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Corporate / Inter-segment Eliminations</w:t>
      </w:r>
    </w:p>
    <w:p>
      <w:pPr>
        <w:spacing w:after="0" w:line="11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The segment financial information set forth below, including the discussion related to individual line items, does not reflect inter-segment eliminations unless specifically indicated.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 Additionally, changes in macroeconomic facts and circumstances, particularly high inflation and the rise in interest rates, may adversely impact our results of operations, cash flows and financial position or our ability to refinance our indebtedness on terms favorable to us, or at all.</w:t>
      </w:r>
    </w:p>
    <w:p>
      <w:pPr>
        <w:spacing w:after="0" w:line="63"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Capital and credit market disruptions, as well as other events such as pandemics or other health emergencies, inflation, international conflict and recession, could cause economic downturns, which may lead to lower demand for our products, such as lower demand for television advertising and a decrease in the number of subscribers receiving our programming services.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6"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income notwithstanding that a third-party owns an interest, which may be significant, in such entity. The noncontrolling owner's interest in the operating results of consolidated subsidiaries are reflected in net income attributable to noncontrolling interests in our consolidated statements of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2023 and 2022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4"/>
              </w:rPr>
              <w:t>Three Months Ended 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5"/>
              </w:rPr>
              <w:t>Six Months Ended 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391,034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403,726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795,254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807,886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400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514,639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1,028,975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1,003,870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400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1,396,075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60"/>
              <w:spacing w:after="0" w:line="189" w:lineRule="exact"/>
              <w:rPr>
                <w:sz w:val="20"/>
                <w:szCs w:val="20"/>
                <w:color w:val="auto"/>
              </w:rPr>
            </w:pPr>
            <w:r>
              <w:rPr>
                <w:rFonts w:ascii="Arial" w:cs="Arial" w:eastAsia="Arial" w:hAnsi="Arial"/>
                <w:sz w:val="18"/>
                <w:szCs w:val="18"/>
                <w:color w:val="auto"/>
                <w:w w:val="94"/>
              </w:rPr>
              <w:t>Technical and operating (excluding depreciation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0"/>
              <w:spacing w:after="0"/>
              <w:rPr>
                <w:sz w:val="20"/>
                <w:szCs w:val="20"/>
                <w:color w:val="auto"/>
              </w:rPr>
            </w:pPr>
            <w:r>
              <w:rPr>
                <w:rFonts w:ascii="Arial" w:cs="Arial" w:eastAsia="Arial" w:hAnsi="Arial"/>
                <w:sz w:val="18"/>
                <w:szCs w:val="18"/>
                <w:color w:val="auto"/>
              </w:rPr>
              <w:t>and 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321,961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325,772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648,690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other charges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572,927</w:t>
            </w:r>
          </w:p>
        </w:tc>
        <w:tc>
          <w:tcPr>
            <w:tcW w:w="100" w:type="dxa"/>
            <w:vAlign w:val="bottom"/>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1,117,070</w:t>
            </w:r>
          </w:p>
        </w:tc>
        <w:tc>
          <w:tcPr>
            <w:tcW w:w="100" w:type="dxa"/>
            <w:vAlign w:val="bottom"/>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1,122,302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Miscellaneous,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189.6 %</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noncontrolling</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(12,837)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income attributable to AMC Networks'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70,239</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83,429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173,849</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187,617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stockholders</w:t>
            </w:r>
          </w:p>
        </w:tc>
        <w:tc>
          <w:tcPr>
            <w:tcW w:w="2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(15.8)%</w:t>
            </w:r>
          </w:p>
        </w:tc>
        <w:tc>
          <w:tcPr>
            <w:tcW w:w="3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Subscription revenues decreased 3.8% in our Domestic Operations segment primarily due to a decline in affiliate revenues, partially offset by an increase in streaming revenues. The decrease in our Domestic Operations segment was partially offset by a 1.0% increase in our International and Other segment primarily due to the favorable impact of foreign currency translation at AMCNI.</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revenues vary based on the impact of renewals of affiliation agreements and the number of subscribers to our services.</w:t>
      </w:r>
    </w:p>
    <w:p>
      <w:pPr>
        <w:spacing w:after="0" w:line="1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Content licensing and other revenues decreased 54.2% in our International and Other segment primarily due to a reduction in the volume of productions at 25/7 Media driven by reduced demand for new content and series cancellations from third parties. The decrease in our International and Other segment was partially offset by an 11.7% increase in our Domestic Operations segment primarily due to the timing and availability of deliveries, including a $20.3 million impact associated with</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termination of an output agreement that resulted in the acceleration of revenue previously anticipated to be recognized in 2024.</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Content licensing revenues vary based on the timing of availability of our programming to distributors, including AMC Studios produced series for third parties, and the timing and volume of productions at 25/7 Media.</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Advertising revenues decreased 17.1% in our Domestic Operations segment primarily due to linear ratings declines, softness in the advertising market and fewer original programming episodes within the quarter, partially offset by digital and advanced advertising revenue growth. Advertising revenues also decreased 6.3% in our International and Other segment primarily due to the impact of the wind-down of two channels in 2022 and marketplace declines in the U.K.</w:t>
      </w:r>
    </w:p>
    <w:p>
      <w:pPr>
        <w:spacing w:after="0" w:line="79" w:lineRule="exact"/>
        <w:rPr>
          <w:sz w:val="20"/>
          <w:szCs w:val="20"/>
          <w:color w:val="auto"/>
        </w:rPr>
      </w:pPr>
    </w:p>
    <w:p>
      <w:pPr>
        <w:ind w:right="20" w:firstLine="648"/>
        <w:spacing w:after="0" w:line="375" w:lineRule="auto"/>
        <w:rPr>
          <w:sz w:val="20"/>
          <w:szCs w:val="20"/>
          <w:color w:val="auto"/>
        </w:rPr>
      </w:pPr>
      <w:r>
        <w:rPr>
          <w:rFonts w:ascii="Arial" w:cs="Arial" w:eastAsia="Arial" w:hAnsi="Arial"/>
          <w:sz w:val="18"/>
          <w:szCs w:val="18"/>
          <w:color w:val="auto"/>
        </w:rPr>
        <w:t xml:space="preserve">Advertising revenues vary based on the timing of our original programming series and the popularity of our programming as measured by Nielsen. </w:t>
      </w:r>
      <w:r>
        <w:rPr>
          <w:rFonts w:ascii="Arial" w:cs="Arial" w:eastAsia="Arial" w:hAnsi="Arial"/>
          <w:sz w:val="18"/>
          <w:szCs w:val="18"/>
          <w:u w:val="single" w:color="auto"/>
          <w:color w:val="auto"/>
        </w:rPr>
        <w:t>Six months ended June 30, 2023 vs. 2022</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Subscription revenues decreased 1.4% in our Domestic Operations segment primarily due to a decline in affiliate revenues, partially offset by an increase in streaming revenues. Subscription revenues also decreased 2.7% in our International and Other segment primarily due to the unfavorable impact of foreign currency translation at AMCNI.</w:t>
      </w:r>
    </w:p>
    <w:p>
      <w:pPr>
        <w:spacing w:after="0" w:line="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Content licensing and other revenues increased 37.8% in our Domestic Operations segment primarily due to the timing and availability of deliveries in the period, including $56.1 million for the delivery of the remaining episodes of an AMC Studios produced series to a third party and the $20.3 million impact associated with the termination of an output agreement that resulted in the acceleration of revenue previously anticipated to be recognized in 2024. The increase in our Domestic Operations segment was partially offset by a 26.7% decrease in our International and Other segment due to a reduction in the volume of productions at 25/7 Media driven by reduced demand for new content and series cancellations from third parties.</w:t>
      </w:r>
    </w:p>
    <w:p>
      <w:pPr>
        <w:spacing w:after="0" w:line="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Advertising revenues decreased 18.4% in our Domestic Operations segment primarily due to linear ratings declines, softness in the advertising market and fewer original programming episodes within the period, partially offset by digital and advanced advertising revenue growth. Advertising revenues also decreased 11.9% in our International and Other segment, primarily due to the impact of the wind-down of two channels in 2022 and marketplace declines in the U.K.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components of technical and operating expenses primarily include the amortization of program rights, such as those for original programming, feature films and licensed series, and other direct programming costs, such as participation and residual costs, distribution and production related costs and program delivery costs, such as transmission, encryption, hosting, and formatting.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Technical and operating expenses (excluding depreciation and amortization) decreased 34.0% in our International and Other segment primarily due to a reduction in the volume of productions at 25/7 Media driven by reduced demand for new content and series cancellations from third parties. The decrease in our International and Other segment was partially offset by an 8.1% increase in our Domestic Operations segment primarily due to an increase in program rights amortization primarily driven by the impact associated with the termination of an output agreement that resulted in the acceleration of program rights amortization previously anticipated to be recognized in 2024.</w:t>
      </w:r>
    </w:p>
    <w:p>
      <w:pPr>
        <w:spacing w:after="0" w:line="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may be significant changes in the level of our technical and operating expenses due to original programming costs and/or content acquisition costs. As competition for programming increases, costs for content acquisition and original programming may increase.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0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Technical and operating expenses (excluding depreciation and amortization) increased 12.8% in our Domestic Operations segment primarily due to costs associated with the delivery of the remaining episodes of an AMC Studios produced series to a third party and an increase in program rights amortization primarily driven by the impact associated with the termination of an output agreement that resulted in the acceleration of program rights amortization previously anticipated to be recognized in 2024</w:t>
      </w:r>
      <w:r>
        <w:rPr>
          <w:rFonts w:ascii="Arial" w:cs="Arial" w:eastAsia="Arial" w:hAnsi="Arial"/>
          <w:sz w:val="18"/>
          <w:szCs w:val="18"/>
          <w:i w:val="1"/>
          <w:iCs w:val="1"/>
          <w:color w:val="auto"/>
        </w:rPr>
        <w:t>.</w:t>
      </w:r>
      <w:r>
        <w:rPr>
          <w:rFonts w:ascii="Arial" w:cs="Arial" w:eastAsia="Arial" w:hAnsi="Arial"/>
          <w:sz w:val="18"/>
          <w:szCs w:val="18"/>
          <w:color w:val="auto"/>
        </w:rPr>
        <w:t xml:space="preserve"> The increase in our Domestic Operations segment was partially offset by an 18.4% decrease in our International and Other segment primarily due to a reduction in the volume of productions at 25/7 Media driven by reduced demand for new content and series cancellations from third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selling, general and administrative expenses primarily include sales, marketing and advertising expenses, administrative costs and costs of non-production facilities.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Selling, general and administrative expenses (including share-based compensation expenses) decreased 21.6% in our Domestic Operations segment primarily due to lower marketing and subscriber acquisition expenses related to our streaming services, and decreased 1.2% in our International and Other segment primarily due to lower advertising and marketing costs at AMCNI.</w:t>
      </w:r>
    </w:p>
    <w:p>
      <w:pPr>
        <w:spacing w:after="0" w:line="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may be significant changes in the level of our selling, general and administrative expenses due to the timing of promotions and marketing of original programming series.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(including share-based compensation expenses) decreased 21.6% in our Domestic Operations segment primarily due to lower marketing and subscriber acquisition expenses related to our streaming services, and decreased 1.8% in our International and Other segment primarily due to the favorable impact of foreign currency translation.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expenses include depreciation of fixed assets and amortization of finite-lived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primarily due to the impact of fully depreciated equipment in our Domestic Operations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Depreciation and amortization expense increased due to higher depreciation of equipment in Corporate, partially offset by the impact of fully depreciated equipment in our Domestic Operations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198"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During the second quarter of 2023, given the impact of market challenges at 25/7 Media, specifically as it relates to reduced demand for new content and series cancellations from third parties, the Company revised its outlook for the 25/7 Media business, resulting in lower expected future cash flows. As a result, the Company determined that sufficient indicators of potential impairment of long-lived assets and goodwill existed at 25/7 Media and an impairment charge of $24.9 million was recorded. See Note 7, Goodwill and Other Intangible Assets to the condensed consolidated financial statements included in this Quarterly Report on Form 10-Q for additional information.</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 and other charges for the three and six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related charges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June 30, 2023, restructuring and other related charges of $6.0 million consisted primarily of severance and other employee-related costs, with $3.9 million related to our Domestic Operations segment, $0.2 million related to AMCNI and $1.9 million related to Corporate. For the six months ended June 30, 2023, restructuring and other related charges of $12.0 million consisted primarily of severance and other employee-related costs, with $4.7 million related to our Domestic Operations segment, $1.7 million related to AMCNI and $5.6 million related to Corporate.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restructuring and other related charges for the three and six months ended June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decrease in operating income was primarily attributable to a decrease in revenues, net of $59.4 million and an impairment charge of $24.9 million, partially offset by a decrease in selling, general and administrative expenses of $37.5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operating income was primarily attributable to a decrease in revenues, net of $54.1 million, an increase in technical and operating expenses of $38.7 million, an impairment charge of $24.9 million, and restructuring and other related charges of $12.0 million, partially offset by a decrease in selling, general and administrative expenses of $82.6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increase in interest expense, net was primarily due to higher interest rates on our Term Loan A Facility, partially offset by higher interest income generated from our money market mutual fund accounts and bank deposits.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interest expense, net was primarily due to higher interest rates on our Term Loan A Facility, partially offset by higher interest income generated from our money market mutual fund accounts and bank deposits.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Miscellaneous,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increase in miscellaneous, net was primarily related to $8.1 million of higher net gains on derivative financial instruments and a $2.1 million favorable variance in the foreign currency remeasurement of monetary assets and liabilities (principally intercompany loans) that are denominated in currencies other than the underlying functional currency of the applicable entity, and $0.5 million of higher net earnings of equity method investees as compared to the three months ended June 30,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0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increase in miscellaneous, net was primarily related to $13.6 million of higher net gains on derivative financial instruments and a $1.6 million favorable variance in the foreign currency remeasurement of monetary assets and liabilities (principally intercompany loans) that are denominated in currencies other than the underlying functional currency of the applicable entity as compared to the six months ended June 30, 2022. These increases were partially offset by $3.8 million of lower net gains on marketable securities and a $1.8 million impairment charge related to certain investments in 2023.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1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For the three months ended June 30, 2023, income tax expense was $22.2 million representing an effective tax rate of 26%. The items resulting in variances from the federal statutory rate of 21% primarily consist of state and local income tax expense and tax expense related to non-deductible compensation. For the three months ended June 30, 2022, income tax expense was $33.0 million representing an effective tax rate of 27%. The items resulting in variances from the federal statutory rate of 21% primarily consist of state and local income tax expense and tax expense for an increase in the valuation allowance for foreign taxes.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0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For the six months ended June 30, 2023, income tax expense was $59.1 million representing an effective tax rate of 25%. The items resulting in variances from the federal statutory rate of 21% primarily consist of state and local income tax expense and tax expense related to non-deductible compensation. For the six months ended June 30, 2022, income tax expense was $74.7 million representing an effective tax rate of 27%. The items resulting in variances from the federal statutory rate of 21% primarily consist of state and local income tax expense and tax expense for an increase in the valuation allowance for foreign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b w:val="1"/>
          <w:bCs w:val="1"/>
          <w:color w:val="auto"/>
        </w:rPr>
        <w:t>Segment Results of Operations</w:t>
      </w:r>
    </w:p>
    <w:p>
      <w:pPr>
        <w:spacing w:after="0" w:line="10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ind w:left="580"/>
              <w:spacing w:after="0"/>
              <w:rPr>
                <w:sz w:val="20"/>
                <w:szCs w:val="20"/>
                <w:color w:val="auto"/>
              </w:rPr>
            </w:pPr>
            <w:r>
              <w:rPr>
                <w:rFonts w:ascii="Arial" w:cs="Arial" w:eastAsia="Arial" w:hAnsi="Arial"/>
                <w:sz w:val="14"/>
                <w:szCs w:val="14"/>
                <w:b w:val="1"/>
                <w:bCs w:val="1"/>
                <w:color w:val="auto"/>
                <w:w w:val="94"/>
              </w:rPr>
              <w:t>Three Months Ended 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tcPr>
          <w:p>
            <w:pPr>
              <w:ind w:left="700"/>
              <w:spacing w:after="0"/>
              <w:rPr>
                <w:sz w:val="20"/>
                <w:szCs w:val="20"/>
                <w:color w:val="auto"/>
              </w:rPr>
            </w:pPr>
            <w:r>
              <w:rPr>
                <w:rFonts w:ascii="Arial" w:cs="Arial" w:eastAsia="Arial" w:hAnsi="Arial"/>
                <w:sz w:val="14"/>
                <w:szCs w:val="14"/>
                <w:b w:val="1"/>
                <w:bCs w:val="1"/>
                <w:color w:val="auto"/>
                <w:w w:val="95"/>
              </w:rPr>
              <w:t>Six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333,754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681,284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690,772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404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328,212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404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1,193,673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Technical and operating expenses (excluding</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274,233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253,699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543,243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481,806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(b)</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253,523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325,073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6"/>
        </w:trPr>
        <w:tc>
          <w:tcPr>
            <w:tcW w:w="404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184,806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209,489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404,194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428,708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00" w:hanging="188"/>
        <w:spacing w:after="0"/>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Technical and operating expenses exclude cloud computing amortization</w:t>
      </w:r>
    </w:p>
    <w:p>
      <w:pPr>
        <w:spacing w:after="0" w:line="22" w:lineRule="exact"/>
        <w:rPr>
          <w:rFonts w:ascii="Arial" w:cs="Arial" w:eastAsia="Arial" w:hAnsi="Arial"/>
          <w:sz w:val="14"/>
          <w:szCs w:val="14"/>
          <w:color w:val="auto"/>
        </w:rPr>
      </w:pPr>
    </w:p>
    <w:p>
      <w:pPr>
        <w:ind w:left="720" w:hanging="208"/>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Selling, general and administrative expenses exclude share-based compensation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1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Subscription revenues decreased primarily due to a 12.7% decline in affiliate revenues, partially offset by a 12.5% increase in streaming revenues. Affiliate revenues decreased due to basic subscriber declines and a 3% impact of a strategic non-renewal that occurred at the end of 2022, partially offset by contractual rate increases. Streaming revenues increased due to year-over-year subscriber growth and 2022 price increases. Subscription revenues include revenues related to the Company's streaming services of $137.4 million and $122.1 million for the three months ended June 30, 2023 and 2022, respectively. Aggregate paid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our streaming services increased 6% to 11.0 million at June 30, 2023 compared to 10.3 million at June 30, 2022.</w:t>
      </w:r>
    </w:p>
    <w:p>
      <w:pPr>
        <w:spacing w:after="0" w:line="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Content licensing and other revenues increased primarily due to the timing and availability of deliveries, including a $20.3 million impact associated with the termination of an output agreement that resulted in the acceleration of revenue previously anticipated to be recognized in 2024.</w:t>
      </w:r>
    </w:p>
    <w:p>
      <w:pPr>
        <w:spacing w:after="0" w:line="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Advertising revenues decreased due to linear ratings declines, softness in the advertising market and fewer original programming episodes within the quarter, partially offset by digital and advanced advertising revenue growth.</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Subscription revenues decreased primarily due to a 12.2% decline in affiliate revenues, partially offset by a 20.1% increase in streaming revenues. Affiliate revenues decreased due to basic subscriber declines and a 3% impact of a strategic non-renewal that occurred at the end of 2022, partially offset by contractual rate increases. Streaming revenues increased due to year-over-year subscriber growth and 2022 price increases. Subscription revenues include revenues related to the Company's streaming services of $278.3 million and $231.7 million for the six months ended June 30, 2023 and 2022, respectively.</w:t>
      </w:r>
    </w:p>
    <w:p>
      <w:pPr>
        <w:spacing w:after="0" w:line="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Content licensing and other revenues increased primarily due to the timing and availability of deliveries, including $56.1 million for the delivery of the remaining episodes of an AMC Studios produced series to a third party and a $20.3 million impact associated with the termination of an output agreement that resulted in the acceleration of revenue previously anticipated to be recognized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8" w:lineRule="exact"/>
        <w:rPr>
          <w:sz w:val="20"/>
          <w:szCs w:val="20"/>
          <w:color w:val="auto"/>
        </w:rPr>
      </w:pPr>
    </w:p>
    <w:p>
      <w:pPr>
        <w:ind w:right="120" w:firstLine="8"/>
        <w:spacing w:after="0" w:line="219" w:lineRule="auto"/>
        <w:tabs>
          <w:tab w:leader="none" w:pos="86"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A paid subscription is defined as a subscription to a direct-to-consumer service or a subscription received through distributor arrangements, in which we receive a fee for the distribution of our streaming services.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jc w:val="both"/>
        <w:ind w:firstLine="648"/>
        <w:spacing w:after="0" w:line="261" w:lineRule="auto"/>
        <w:rPr>
          <w:sz w:val="20"/>
          <w:szCs w:val="20"/>
          <w:color w:val="auto"/>
        </w:rPr>
      </w:pPr>
      <w:r>
        <w:rPr>
          <w:rFonts w:ascii="Arial" w:cs="Arial" w:eastAsia="Arial" w:hAnsi="Arial"/>
          <w:sz w:val="18"/>
          <w:szCs w:val="18"/>
          <w:color w:val="auto"/>
        </w:rPr>
        <w:t>Advertising revenues decreased due to linear ratings declines, softness in the advertising market and fewer original programming episodes within the period, partially offset by digital and advanced advertising revenue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0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Technical and operating expenses (excluding depreciation and amortization) increased primarily due to an increase in program rights amortization, including the impact associated with the termination of an output agreement that resulted in the acceleration of program rights amortization previously anticipated to be recognized in 2024.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Technical and operating expenses (excluding depreciation and amortization) increased primarily due to costs associated with the delivery of the remaining episodes of an AMC Studios produced series to a third party and an increase in program rights amortization, including the impact associated with the termination of an output agreement that resulted in the acceleration of program rights amortization previously anticipated to be recognized in 2024.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general and administrative expenses primarily decreased due to lower marketing and subscriber acquisition expenses related to our streaming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Selling, general and administrative expenses primarily decreased due to lower marketing and subscriber acquisition expenses related to our streaming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1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decrease in segment adjusted operating income was primarily attributable to a decrease in revenues, net of $39.3 million and an increase in technical and operating expenses of $20.5 million, partially offset by a decrease in selling, general and administrative expenses of $34.7 million.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1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decrease in segment adjusted operating income was primarily attributable to a decrease in revenues, net of $33.0 million and an increase in technical and operating expenses of $61.4 million, partially offset by a decrease in selling, general and administrative expenses of $71.6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International and Other</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ind w:left="580"/>
              <w:spacing w:after="0"/>
              <w:rPr>
                <w:sz w:val="20"/>
                <w:szCs w:val="20"/>
                <w:color w:val="auto"/>
              </w:rPr>
            </w:pPr>
            <w:r>
              <w:rPr>
                <w:rFonts w:ascii="Arial" w:cs="Arial" w:eastAsia="Arial" w:hAnsi="Arial"/>
                <w:sz w:val="14"/>
                <w:szCs w:val="14"/>
                <w:b w:val="1"/>
                <w:bCs w:val="1"/>
                <w:color w:val="auto"/>
                <w:w w:val="94"/>
              </w:rPr>
              <w:t>Three Months Ended June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ind w:left="680"/>
              <w:spacing w:after="0"/>
              <w:rPr>
                <w:sz w:val="20"/>
                <w:szCs w:val="20"/>
                <w:color w:val="auto"/>
              </w:rPr>
            </w:pPr>
            <w:r>
              <w:rPr>
                <w:rFonts w:ascii="Arial" w:cs="Arial" w:eastAsia="Arial" w:hAnsi="Arial"/>
                <w:sz w:val="14"/>
                <w:szCs w:val="14"/>
                <w:b w:val="1"/>
                <w:bCs w:val="1"/>
                <w:color w:val="auto"/>
                <w:w w:val="95"/>
              </w:rPr>
              <w:t>Six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57,280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56,702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1.0 %</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113,970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117,114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400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78,938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104,037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168,488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00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125,771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207,376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Technical and operating expenses (excluding</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49,980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75,701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110,541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135,396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7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spacing w:after="0"/>
        <w:rPr>
          <w:sz w:val="20"/>
          <w:szCs w:val="20"/>
          <w:color w:val="auto"/>
        </w:rPr>
      </w:pPr>
      <w:r>
        <w:rPr>
          <w:rFonts w:ascii="Arial" w:cs="Arial" w:eastAsia="Arial" w:hAnsi="Arial"/>
          <w:sz w:val="14"/>
          <w:szCs w:val="14"/>
          <w:color w:val="auto"/>
        </w:rPr>
        <w:t>(a) Selling, general and administrative expenses exclude share-based compensation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revenues increased primarily due to the favorable impact of foreign currency translation at AMCNI.</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Content licensing and other revenues decreased due to a reduction in the volume of productions at 25/7 Media driven by reduced demand for new content and series cancellations from third parties.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Advertising revenues decreased primarily due to the impact of the wind-down of two channels in 2022 and marketplace declines in the U.K.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revenues decreased primarily due to the unfavorable impact of foreign currency translation at AMCNI.</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Content licensing and other revenues decreased due to a reduction in the volume of productions at 25/7 Media driven by reduced demand for new content and series cancellations from third parties.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Advertising revenues decreased primarily due to the impact of the wind-down of two channels in 2022 and marketplace declines in the U.K.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Technical and operating expenses (excluding depreciation and amortization) decreased due to a reduction in the volume of productions at 25/7 Media driven by reduced demand for new content and series cancellations from third parties.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and operating expenses (excluding depreciation and amortization) decreased due to a reduction in the volume of productions at 25/7 Media driven by reduced demand for new content and series cancellations from third parties, as well as lower program rights amortization at AMCNI, primarily resulting from the impact of the wind-down of two channels in 2022 in the U.K.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Selling, general and administrative expenses decreased primarily due to lower advertising and marketing costs at AMCNI.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Selling, general and administrative expenses decreased primarily due to the favorable impact of foreign currency translation at AMCNI.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vs. 2022</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Segment adjusted operating income was flat as a decrease in revenues, net of $26.5 million, was offset by decreases in technical and operating expenses of $25.7 million and selling, general and administrative expenses of $0.7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vs. 2022</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The decrease in segment adjusted operating income was primarily attributable to a decrease in revenues, net of $28.2 million, partially offset by decreases in technical and operating expenses of $24.9 million and selling, general and administrative expenses of $1.5 million.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Inter-segment Elimination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Corporate and Inter-segment Eliminations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ind w:left="600"/>
              <w:spacing w:after="0"/>
              <w:rPr>
                <w:sz w:val="20"/>
                <w:szCs w:val="20"/>
                <w:color w:val="auto"/>
              </w:rPr>
            </w:pPr>
            <w:r>
              <w:rPr>
                <w:rFonts w:ascii="Arial" w:cs="Arial" w:eastAsia="Arial" w:hAnsi="Arial"/>
                <w:sz w:val="14"/>
                <w:szCs w:val="14"/>
                <w:b w:val="1"/>
                <w:bCs w:val="1"/>
                <w:color w:val="auto"/>
                <w:w w:val="94"/>
              </w:rPr>
              <w:t>Three Months Ended June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ind w:left="660"/>
              <w:spacing w:after="0"/>
              <w:rPr>
                <w:sz w:val="20"/>
                <w:szCs w:val="20"/>
                <w:color w:val="auto"/>
              </w:rPr>
            </w:pPr>
            <w:r>
              <w:rPr>
                <w:rFonts w:ascii="Arial" w:cs="Arial" w:eastAsia="Arial" w:hAnsi="Arial"/>
                <w:sz w:val="14"/>
                <w:szCs w:val="14"/>
                <w:b w:val="1"/>
                <w:bCs w:val="1"/>
                <w:color w:val="auto"/>
                <w:w w:val="95"/>
              </w:rPr>
              <w:t>Six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(58.8)%</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Technical and operating expenses (excluding</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ind w:left="2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(b)</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(27,215)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(51,977)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1"/>
              </w:rPr>
              <w:t>(19.0)%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700" w:hanging="188"/>
        <w:spacing w:after="0"/>
        <w:tabs>
          <w:tab w:leader="none" w:pos="7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Technical and operating expenses exclude cloud computing amortization</w:t>
      </w:r>
    </w:p>
    <w:p>
      <w:pPr>
        <w:spacing w:after="0" w:line="36" w:lineRule="exact"/>
        <w:rPr>
          <w:rFonts w:ascii="Arial" w:cs="Arial" w:eastAsia="Arial" w:hAnsi="Arial"/>
          <w:sz w:val="14"/>
          <w:szCs w:val="14"/>
          <w:color w:val="auto"/>
        </w:rPr>
      </w:pPr>
    </w:p>
    <w:p>
      <w:pPr>
        <w:ind w:left="720" w:hanging="208"/>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Selling, general and administrative expenses exclude share-based compensation expenses and cloud computing amortization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net</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Revenue eliminations are primarily related to inter-segment licensing revenues recognized between the Domestic Operations and International and 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Technical and operating expense eliminations are primarily related to inter-segment programming amortization recognized between the Domestic Operations and International and 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Corporate overhead costs not allocated to the segments include such costs as executive salaries and benefits, costs of maintaining corporate headquarters, facilities and common support functions.</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general and administrative expenses for the three and six months ended June 30, 2023 compared to 2022 decreased primarily due to lower employee related costs.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Internally, we use revenues, net and AOI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performance and/or liquidity presented in accordance with GAAP. Since AOI is not a measure of performance calculated in accordance with GAAP, this measure may not be comparable to similar measures with similar titles used by other companies.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operating income (loss) to AOI for the periods indicated: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thousands)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Operating income (loss)</w:t>
      </w:r>
    </w:p>
    <w:p>
      <w:pPr>
        <w:spacing w:after="0" w:line="59" w:lineRule="exact"/>
        <w:rPr>
          <w:sz w:val="20"/>
          <w:szCs w:val="20"/>
          <w:color w:val="auto"/>
        </w:rPr>
      </w:pPr>
    </w:p>
    <w:p>
      <w:pPr>
        <w:ind w:left="400" w:right="1080"/>
        <w:spacing w:after="0" w:line="379" w:lineRule="auto"/>
        <w:rPr>
          <w:sz w:val="20"/>
          <w:szCs w:val="20"/>
          <w:color w:val="auto"/>
        </w:rPr>
      </w:pPr>
      <w:r>
        <w:rPr>
          <w:rFonts w:ascii="Arial" w:cs="Arial" w:eastAsia="Arial" w:hAnsi="Arial"/>
          <w:sz w:val="13"/>
          <w:szCs w:val="13"/>
          <w:color w:val="auto"/>
        </w:rPr>
        <w:t>Share-based compensation expenses Depreciation and amortization</w:t>
      </w:r>
    </w:p>
    <w:p>
      <w:pPr>
        <w:ind w:left="400"/>
        <w:spacing w:after="0"/>
        <w:rPr>
          <w:sz w:val="20"/>
          <w:szCs w:val="20"/>
          <w:color w:val="auto"/>
        </w:rPr>
      </w:pPr>
      <w:r>
        <w:rPr>
          <w:rFonts w:ascii="Arial" w:cs="Arial" w:eastAsia="Arial" w:hAnsi="Arial"/>
          <w:sz w:val="14"/>
          <w:szCs w:val="14"/>
          <w:color w:val="auto"/>
        </w:rPr>
        <w:t>Restructuring and other related charges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Impairment and other charges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Cloud computing amortization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Three Months Ended June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80" w:type="dxa"/>
            <w:vAlign w:val="bottom"/>
            <w:tcBorders>
              <w:top w:val="single" w:sz="8" w:color="auto"/>
            </w:tcBorders>
            <w:gridSpan w:val="2"/>
            <w:vMerge w:val="restart"/>
          </w:tcPr>
          <w:p>
            <w:pPr>
              <w:jc w:val="right"/>
              <w:ind w:right="10"/>
              <w:spacing w:after="0"/>
              <w:rPr>
                <w:sz w:val="20"/>
                <w:szCs w:val="20"/>
                <w:color w:val="auto"/>
              </w:rPr>
            </w:pPr>
            <w:r>
              <w:rPr>
                <w:rFonts w:ascii="Arial" w:cs="Arial" w:eastAsia="Arial" w:hAnsi="Arial"/>
                <w:sz w:val="16"/>
                <w:szCs w:val="16"/>
                <w:color w:val="auto"/>
                <w:w w:val="97"/>
              </w:rPr>
              <w:t>Domestic Operations</w:t>
            </w: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w w:val="92"/>
              </w:rPr>
              <w:t>International and Other</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51"/>
              <w:spacing w:after="0" w:line="165" w:lineRule="exact"/>
              <w:rPr>
                <w:sz w:val="20"/>
                <w:szCs w:val="20"/>
                <w:color w:val="auto"/>
              </w:rPr>
            </w:pPr>
            <w:r>
              <w:rPr>
                <w:rFonts w:ascii="Arial" w:cs="Arial" w:eastAsia="Arial" w:hAnsi="Arial"/>
                <w:sz w:val="16"/>
                <w:szCs w:val="16"/>
                <w:color w:val="auto"/>
                <w:w w:val="95"/>
              </w:rPr>
              <w:t>Corporate / Inter-</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158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color w:val="auto"/>
                <w:w w:val="97"/>
              </w:rPr>
              <w:t>segment Eliminations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 w:type="dxa"/>
            <w:vAlign w:val="bottom"/>
          </w:tcPr>
          <w:p>
            <w:pPr>
              <w:jc w:val="right"/>
              <w:ind w:right="315"/>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162,530</w:t>
            </w:r>
          </w:p>
        </w:tc>
        <w:tc>
          <w:tcPr>
            <w:tcW w:w="12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(45,124)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105,701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25,745</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24,882</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-889635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-589915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-298450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20" w:space="720"/>
            <w:col w:w="6700"/>
          </w:cols>
          <w:pgMar w:left="320" w:top="1003"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34"/>
        </w:trPr>
        <w:tc>
          <w:tcPr>
            <w:tcW w:w="454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184,806</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176,777</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3"/>
        </w:trPr>
        <w:tc>
          <w:tcPr>
            <w:tcW w:w="4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w w:val="97"/>
              </w:rPr>
              <w:t>Three Months Ended June 30, 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1"/>
              <w:spacing w:after="0" w:line="162" w:lineRule="exact"/>
              <w:rPr>
                <w:sz w:val="20"/>
                <w:szCs w:val="20"/>
                <w:color w:val="auto"/>
              </w:rPr>
            </w:pPr>
            <w:r>
              <w:rPr>
                <w:rFonts w:ascii="Arial" w:cs="Arial" w:eastAsia="Arial" w:hAnsi="Arial"/>
                <w:sz w:val="16"/>
                <w:szCs w:val="16"/>
                <w:color w:val="auto"/>
                <w:w w:val="91"/>
              </w:rPr>
              <w:t>Corporate / Inter-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color w:val="auto"/>
                <w:w w:val="97"/>
              </w:rPr>
              <w:t>Domestic Operations</w:t>
            </w:r>
          </w:p>
        </w:tc>
        <w:tc>
          <w:tcPr>
            <w:tcW w:w="120" w:type="dxa"/>
            <w:vAlign w:val="bottom"/>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2"/>
              </w:rPr>
              <w:t>International and Other</w:t>
            </w:r>
          </w:p>
        </w:tc>
        <w:tc>
          <w:tcPr>
            <w:tcW w:w="120" w:type="dxa"/>
            <w:vAlign w:val="bottom"/>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segment Eliminations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188,812</w:t>
            </w:r>
          </w:p>
        </w:tc>
        <w:tc>
          <w:tcPr>
            <w:tcW w:w="38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153,203</w:t>
            </w:r>
          </w:p>
        </w:tc>
        <w:tc>
          <w:tcPr>
            <w:tcW w:w="0" w:type="dxa"/>
            <w:vAlign w:val="bottom"/>
          </w:tcPr>
          <w:p>
            <w:pPr>
              <w:spacing w:after="0"/>
              <w:rPr>
                <w:sz w:val="1"/>
                <w:szCs w:val="1"/>
                <w:color w:val="auto"/>
              </w:rPr>
            </w:pPr>
          </w:p>
        </w:tc>
      </w:tr>
      <w:tr>
        <w:trPr>
          <w:trHeight w:val="229"/>
        </w:trPr>
        <w:tc>
          <w:tcPr>
            <w:tcW w:w="454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0" w:type="dxa"/>
            <w:vAlign w:val="bottom"/>
          </w:tcPr>
          <w:p>
            <w:pPr>
              <w:spacing w:after="0"/>
              <w:rPr>
                <w:sz w:val="1"/>
                <w:szCs w:val="1"/>
                <w:color w:val="auto"/>
              </w:rPr>
            </w:pPr>
          </w:p>
        </w:tc>
      </w:tr>
      <w:tr>
        <w:trPr>
          <w:trHeight w:val="237"/>
        </w:trPr>
        <w:tc>
          <w:tcPr>
            <w:tcW w:w="454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23"/>
        </w:trPr>
        <w:tc>
          <w:tcPr>
            <w:tcW w:w="454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209,489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195,542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6"/>
                <w:szCs w:val="16"/>
                <w:b w:val="1"/>
                <w:bCs w:val="1"/>
                <w:color w:val="auto"/>
              </w:rPr>
              <w:t>Six Months Ended June 30, 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w w:val="97"/>
              </w:rPr>
              <w:t>Domestic Operations</w:t>
            </w:r>
          </w:p>
        </w:tc>
        <w:tc>
          <w:tcPr>
            <w:tcW w:w="120" w:type="dxa"/>
            <w:vAlign w:val="bottom"/>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w w:val="92"/>
              </w:rPr>
              <w:t>International and 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1"/>
              <w:spacing w:after="0" w:line="162" w:lineRule="exact"/>
              <w:rPr>
                <w:sz w:val="20"/>
                <w:szCs w:val="20"/>
                <w:color w:val="auto"/>
              </w:rPr>
            </w:pPr>
            <w:r>
              <w:rPr>
                <w:rFonts w:ascii="Arial" w:cs="Arial" w:eastAsia="Arial" w:hAnsi="Arial"/>
                <w:sz w:val="16"/>
                <w:szCs w:val="16"/>
                <w:color w:val="auto"/>
                <w:w w:val="91"/>
              </w:rPr>
              <w:t>Corporate / Inter-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segment Eliminations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279,005</w:t>
            </w:r>
          </w:p>
        </w:tc>
        <w:tc>
          <w:tcPr>
            <w:tcW w:w="0" w:type="dxa"/>
            <w:vAlign w:val="bottom"/>
          </w:tcPr>
          <w:p>
            <w:pPr>
              <w:spacing w:after="0"/>
              <w:rPr>
                <w:sz w:val="1"/>
                <w:szCs w:val="1"/>
                <w:color w:val="auto"/>
              </w:rPr>
            </w:pPr>
          </w:p>
        </w:tc>
      </w:tr>
      <w:tr>
        <w:trPr>
          <w:trHeight w:val="237"/>
        </w:trPr>
        <w:tc>
          <w:tcPr>
            <w:tcW w:w="454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w:t>
            </w:r>
          </w:p>
        </w:tc>
        <w:tc>
          <w:tcPr>
            <w:tcW w:w="0" w:type="dxa"/>
            <w:vAlign w:val="bottom"/>
          </w:tcPr>
          <w:p>
            <w:pPr>
              <w:spacing w:after="0"/>
              <w:rPr>
                <w:sz w:val="1"/>
                <w:szCs w:val="1"/>
                <w:color w:val="auto"/>
              </w:rPr>
            </w:pPr>
          </w:p>
        </w:tc>
      </w:tr>
      <w:tr>
        <w:trPr>
          <w:trHeight w:val="230"/>
        </w:trPr>
        <w:tc>
          <w:tcPr>
            <w:tcW w:w="4540" w:type="dxa"/>
            <w:vAlign w:val="bottom"/>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0" w:type="dxa"/>
            <w:vAlign w:val="bottom"/>
          </w:tcPr>
          <w:p>
            <w:pPr>
              <w:spacing w:after="0"/>
              <w:rPr>
                <w:sz w:val="1"/>
                <w:szCs w:val="1"/>
                <w:color w:val="auto"/>
              </w:rPr>
            </w:pPr>
          </w:p>
        </w:tc>
      </w:tr>
      <w:tr>
        <w:trPr>
          <w:trHeight w:val="229"/>
        </w:trPr>
        <w:tc>
          <w:tcPr>
            <w:tcW w:w="454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34"/>
        </w:trPr>
        <w:tc>
          <w:tcPr>
            <w:tcW w:w="454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404,194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392,540</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3"/>
        </w:trPr>
        <w:tc>
          <w:tcPr>
            <w:tcW w:w="4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6"/>
                <w:szCs w:val="16"/>
                <w:b w:val="1"/>
                <w:bCs w:val="1"/>
                <w:color w:val="auto"/>
              </w:rPr>
              <w:t>Six Months Ended June 30, 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1"/>
              <w:spacing w:after="0" w:line="162" w:lineRule="exact"/>
              <w:rPr>
                <w:sz w:val="20"/>
                <w:szCs w:val="20"/>
                <w:color w:val="auto"/>
              </w:rPr>
            </w:pPr>
            <w:r>
              <w:rPr>
                <w:rFonts w:ascii="Arial" w:cs="Arial" w:eastAsia="Arial" w:hAnsi="Arial"/>
                <w:sz w:val="16"/>
                <w:szCs w:val="16"/>
                <w:color w:val="auto"/>
                <w:w w:val="91"/>
              </w:rPr>
              <w:t>Corporate / Inter-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color w:val="auto"/>
                <w:w w:val="97"/>
              </w:rPr>
              <w:t>Domestic Operations</w:t>
            </w:r>
          </w:p>
        </w:tc>
        <w:tc>
          <w:tcPr>
            <w:tcW w:w="120" w:type="dxa"/>
            <w:vAlign w:val="bottom"/>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2"/>
              </w:rPr>
              <w:t>International and Other</w:t>
            </w:r>
          </w:p>
        </w:tc>
        <w:tc>
          <w:tcPr>
            <w:tcW w:w="120" w:type="dxa"/>
            <w:vAlign w:val="bottom"/>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segment Eliminations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387,334</w:t>
            </w:r>
          </w:p>
        </w:tc>
        <w:tc>
          <w:tcPr>
            <w:tcW w:w="38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327,880</w:t>
            </w:r>
          </w:p>
        </w:tc>
        <w:tc>
          <w:tcPr>
            <w:tcW w:w="0" w:type="dxa"/>
            <w:vAlign w:val="bottom"/>
          </w:tcPr>
          <w:p>
            <w:pPr>
              <w:spacing w:after="0"/>
              <w:rPr>
                <w:sz w:val="1"/>
                <w:szCs w:val="1"/>
                <w:color w:val="auto"/>
              </w:rPr>
            </w:pPr>
          </w:p>
        </w:tc>
      </w:tr>
      <w:tr>
        <w:trPr>
          <w:trHeight w:val="230"/>
        </w:trPr>
        <w:tc>
          <w:tcPr>
            <w:tcW w:w="454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16,812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237"/>
        </w:trPr>
        <w:tc>
          <w:tcPr>
            <w:tcW w:w="454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23"/>
        </w:trPr>
        <w:tc>
          <w:tcPr>
            <w:tcW w:w="454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406,726</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operations typically generate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w:t>
      </w:r>
    </w:p>
    <w:p>
      <w:pPr>
        <w:spacing w:after="0" w:line="56"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Board of Directors previously authorized a program to repurchase up to $1.5 billion of our outstanding shares of common stock (the "Stock Repurchase Program"). The Stock Repurchase Program has no pre-established closing date and may be suspended or discontinued at any time. For the three and six months ended June 30, 2023, we did not repurchase any of our Class A common stock. As of June 30, 2023, we had $135.3 million of authorization remaining for repurchase under the Stock Repurchase Program.</w:t>
      </w:r>
    </w:p>
    <w:p>
      <w:pPr>
        <w:spacing w:after="0" w:line="79"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Our principal uses of cash include the production, acquisition and promotion of programming, technology investments, debt service and payments for income taxes. We continue to invest in original programming, the funding of which generally occurs a minimum of nine months in advance of a program's airing.</w:t>
      </w:r>
    </w:p>
    <w:p>
      <w:pPr>
        <w:spacing w:after="0" w:line="76" w:lineRule="exact"/>
        <w:rPr>
          <w:sz w:val="20"/>
          <w:szCs w:val="20"/>
          <w:color w:val="auto"/>
        </w:rPr>
      </w:pPr>
    </w:p>
    <w:p>
      <w:pPr>
        <w:jc w:val="both"/>
        <w:ind w:firstLine="446"/>
        <w:spacing w:after="0" w:line="296" w:lineRule="auto"/>
        <w:rPr>
          <w:sz w:val="20"/>
          <w:szCs w:val="20"/>
          <w:color w:val="auto"/>
        </w:rPr>
      </w:pPr>
      <w:r>
        <w:rPr>
          <w:rFonts w:ascii="Arial" w:cs="Arial" w:eastAsia="Arial" w:hAnsi="Arial"/>
          <w:sz w:val="16"/>
          <w:szCs w:val="16"/>
          <w:color w:val="auto"/>
        </w:rPr>
        <w:t>As of June 30, 2023, approximately $198.0 million of cash and cash equivalents, previously held by foreign subsidiaries, was repatriated to the United States. Our consolidated cash and cash equivalents balance of $893.4 million, as of June 30, 2023, includes approximately $178.7 million held by foreign subsidiaries. Of this amount, approximately $60.0 million is expected to be repatriated to the United States with the remaining amount continuing to be reinvested in foreign operations. Tax expense related to the repatriated amount, as well as the expected remaining repatriation amount, has been accrued in the current period and the Company does not expect to incur any significant, additional taxes related to the remaining balance.</w:t>
      </w:r>
    </w:p>
    <w:p>
      <w:pPr>
        <w:spacing w:after="0" w:line="53"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We believe that a combination of cash-on-hand, cash generated from operating activities, availability under our revolving credit facility, borrowings under additional financing facilities and, when we have access to capital and credit markets, proceeds from the sale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then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 Given the maturity dates of our 5.00% senior notes due 2024 and our 4.75% senior notes due 2025, we may access the capital or credit markets in the near term to refinance those senior notes through privately negotiated transactions, open market repurchases, tender offers or redemptions.</w:t>
      </w:r>
    </w:p>
    <w:p>
      <w:pPr>
        <w:spacing w:after="0" w:line="5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2022 Form 10-K.</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economic or market disruptions could lead to lower demand for our services, such as loss of subscribers and lower levels of advertising.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events would adversely impact our results of operations, cash flows and financial position.</w:t>
      </w:r>
    </w:p>
    <w:p>
      <w:pPr>
        <w:spacing w:after="0" w:line="10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revolving credit facility was not drawn upon at June 30, 2023. The total undrawn revolver commitment is available to be drawn for our general corporate purposes.</w:t>
      </w:r>
    </w:p>
    <w:p>
      <w:pPr>
        <w:spacing w:after="0" w:line="62"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In April 2023, the Company entered into Amendment No. 2 ("Amendment No. 2") to the Second Amended and Restated Credit Agreement (the "Credit Agreement"). Amendment No. 2 (i) reduced the aggregate principal amount of the revolving loan commitments under the Credit Agreement from $500 million to $400 million, (ii) replaced the interest rate based on London Interbank Offered Rate with an interest rate based on the Secured Overnight Financing Rate,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 The maturity date of the Term Loan A Facility and revolving credit facility under the Credit Agreement is February 8, 2026. In connection with the modification of the revolving loan commitments, the Company recorded $0.6 million to write-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off a portion of the unamortized deferred financing costs, which is included in interest expense within the consolidated statements of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June 30, 2023.</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is a summary of cash flows provided by (used in) operating, investing and financing activities for the periods indicated:</w:t>
      </w:r>
    </w:p>
    <w:p>
      <w:pPr>
        <w:spacing w:after="0" w:line="197"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20320</wp:posOffset>
            </wp:positionV>
            <wp:extent cx="2305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2022</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0"/>
              </w:rPr>
              <w:t>25,047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19"/>
                <w:szCs w:val="19"/>
                <w:color w:val="auto"/>
              </w:rPr>
            </w:pPr>
          </w:p>
        </w:tc>
        <w:tc>
          <w:tcPr>
            <w:tcW w:w="1320" w:type="dxa"/>
            <w:vAlign w:val="bottom"/>
          </w:tcPr>
          <w:p>
            <w:pPr>
              <w:jc w:val="center"/>
              <w:ind w:left="592"/>
              <w:spacing w:after="0"/>
              <w:rPr>
                <w:sz w:val="20"/>
                <w:szCs w:val="20"/>
                <w:color w:val="auto"/>
              </w:rPr>
            </w:pPr>
            <w:r>
              <w:rPr>
                <w:rFonts w:ascii="Arial" w:cs="Arial" w:eastAsia="Arial" w:hAnsi="Arial"/>
                <w:sz w:val="18"/>
                <w:szCs w:val="18"/>
                <w:color w:val="auto"/>
                <w:w w:val="89"/>
              </w:rPr>
              <w:t>(12,988)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(9,929)</w:t>
            </w: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89"/>
              </w:rPr>
              <w:t>(54,816)</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(66,486)</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from operations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ind w:left="592"/>
              <w:spacing w:after="0"/>
              <w:rPr>
                <w:sz w:val="20"/>
                <w:szCs w:val="20"/>
                <w:color w:val="auto"/>
              </w:rPr>
            </w:pPr>
            <w:r>
              <w:rPr>
                <w:rFonts w:ascii="Arial" w:cs="Arial" w:eastAsia="Arial" w:hAnsi="Arial"/>
                <w:sz w:val="18"/>
                <w:szCs w:val="18"/>
                <w:color w:val="auto"/>
                <w:w w:val="89"/>
              </w:rPr>
              <w:t>(42,757)</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(59,241)</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6"/>
        <w:spacing w:after="0" w:line="261" w:lineRule="auto"/>
        <w:rPr>
          <w:sz w:val="20"/>
          <w:szCs w:val="20"/>
          <w:color w:val="auto"/>
        </w:rPr>
      </w:pPr>
      <w:r>
        <w:rPr>
          <w:rFonts w:ascii="Arial" w:cs="Arial" w:eastAsia="Arial" w:hAnsi="Arial"/>
          <w:sz w:val="18"/>
          <w:szCs w:val="18"/>
          <w:color w:val="auto"/>
        </w:rPr>
        <w:t>Net cash provided by operating activities for the six months ended June 30, 2023 and 2022 amounted to $25.0 million and $17.2 million, respectively.</w:t>
      </w:r>
    </w:p>
    <w:p>
      <w:pPr>
        <w:spacing w:after="0" w:line="63" w:lineRule="exact"/>
        <w:rPr>
          <w:sz w:val="20"/>
          <w:szCs w:val="20"/>
          <w:color w:val="auto"/>
        </w:rPr>
      </w:pPr>
    </w:p>
    <w:p>
      <w:pPr>
        <w:jc w:val="both"/>
        <w:ind w:firstLine="446"/>
        <w:spacing w:after="0" w:line="303" w:lineRule="auto"/>
        <w:rPr>
          <w:sz w:val="20"/>
          <w:szCs w:val="20"/>
          <w:color w:val="auto"/>
        </w:rPr>
      </w:pPr>
      <w:r>
        <w:rPr>
          <w:rFonts w:ascii="Arial" w:cs="Arial" w:eastAsia="Arial" w:hAnsi="Arial"/>
          <w:sz w:val="16"/>
          <w:szCs w:val="16"/>
          <w:color w:val="auto"/>
        </w:rPr>
        <w:t>For the six months ended June 30, 2023, net cash provided by operating activities primarily resulted from $709.3 million of net income before amortization of program rights, depreciation and amortization, and other non-cash items, partially offset by payments for program rights of $644.1 million and restructuring initiatives of $88.5 million. Changes in all other assets and liabilities during the quarter resulted in a net cash inflow of $48.3 million.</w:t>
      </w:r>
    </w:p>
    <w:p>
      <w:pPr>
        <w:spacing w:after="0" w:line="32"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For the six months ended June 30, 2022, net cash provided by operating activities primarily resulted from net income before amortization of program rights, depreciation and amortization, and other non-cash items of $710.4 million, partially offset by payments for program rights of $667.5 million. Changes in all other assets and liabilities resulted in a net cash outflow of $25.7 million.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investing activities for the six months ended June 30, 2023 and 2022 amounted to $13.0 million and $9.9 million, respectively.</w:t>
      </w:r>
    </w:p>
    <w:p>
      <w:pPr>
        <w:spacing w:after="0" w:line="115" w:lineRule="exact"/>
        <w:rPr>
          <w:sz w:val="20"/>
          <w:szCs w:val="20"/>
          <w:color w:val="auto"/>
        </w:rPr>
      </w:pPr>
    </w:p>
    <w:p>
      <w:pPr>
        <w:jc w:val="both"/>
        <w:ind w:firstLine="446"/>
        <w:spacing w:after="0" w:line="261" w:lineRule="auto"/>
        <w:rPr>
          <w:sz w:val="20"/>
          <w:szCs w:val="20"/>
          <w:color w:val="auto"/>
        </w:rPr>
      </w:pPr>
      <w:r>
        <w:rPr>
          <w:rFonts w:ascii="Arial" w:cs="Arial" w:eastAsia="Arial" w:hAnsi="Arial"/>
          <w:sz w:val="18"/>
          <w:szCs w:val="18"/>
          <w:color w:val="auto"/>
        </w:rPr>
        <w:t>For the six months ended June 30, 2023, net cash used in investing activities consisted primarily of capital expenditures of $21.5 million, partially offset by proceeds from the sale of investments of $8.6 million.</w:t>
      </w:r>
    </w:p>
    <w:p>
      <w:pPr>
        <w:spacing w:after="0" w:line="76" w:lineRule="exact"/>
        <w:rPr>
          <w:sz w:val="20"/>
          <w:szCs w:val="20"/>
          <w:color w:val="auto"/>
        </w:rPr>
      </w:pPr>
    </w:p>
    <w:p>
      <w:pPr>
        <w:jc w:val="both"/>
        <w:ind w:firstLine="446"/>
        <w:spacing w:after="0" w:line="261" w:lineRule="auto"/>
        <w:rPr>
          <w:sz w:val="20"/>
          <w:szCs w:val="20"/>
          <w:color w:val="auto"/>
        </w:rPr>
      </w:pPr>
      <w:r>
        <w:rPr>
          <w:rFonts w:ascii="Arial" w:cs="Arial" w:eastAsia="Arial" w:hAnsi="Arial"/>
          <w:sz w:val="18"/>
          <w:szCs w:val="18"/>
          <w:color w:val="auto"/>
        </w:rPr>
        <w:t>For the six months ended June 30, 2022, net cash used in investing activities consisted of capital expenditures of $21.6 million, partially offset by proceeds from the sale of a marketable equity security of $9.9 million and a return of capital from investees of $1.8 million.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financing activities for the six months ended June 30, 2023 and 2022 amounted to $54.8 million and $66.5 million, respectively.</w:t>
      </w:r>
    </w:p>
    <w:p>
      <w:pPr>
        <w:spacing w:after="0" w:line="140"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For the six months ended June 30, 2023, net cash used in financing activities primarily consisted of distributions to noncontrolling interests of $27.1 million, principal payments on the Term Loan A Facility of $16.9 million, and taxes paid in lieu of shares issued for equity-based compensation of $7.2 million.</w:t>
      </w:r>
    </w:p>
    <w:p>
      <w:pPr>
        <w:spacing w:after="0" w:line="67"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For the six months ended June 30, 2022, net cash used in financing activities consisted of distributions to noncontrolling interests of $25.1 million, taxes paid in lieu of shares issued for equity-based compensation of $20.3 million, principal payments on long-term debt of $16.9 million, purchase of noncontrolling interests of $2.5 million and payments on finance leases of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As of June 30, 2023, our contractual obligations not reflected on the condensed consolidated balance sheet increased $5.2 million, as compared to December 31, 2022, to $917.4 million. The increase was primarily driven by the renewal of a third-party service contract and additional program rights commitments, partially offset by payments for program rights.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Debt of AMC Networks as of June 30, 2023 included $400.0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jc w:val="both"/>
        <w:ind w:firstLine="446"/>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right"/>
              <w:ind w:right="771"/>
              <w:spacing w:after="0"/>
              <w:rPr>
                <w:sz w:val="20"/>
                <w:szCs w:val="20"/>
                <w:color w:val="auto"/>
              </w:rPr>
            </w:pPr>
            <w:r>
              <w:rPr>
                <w:rFonts w:ascii="Arial" w:cs="Arial" w:eastAsia="Arial" w:hAnsi="Arial"/>
                <w:sz w:val="16"/>
                <w:szCs w:val="16"/>
                <w:b w:val="1"/>
                <w:bCs w:val="1"/>
                <w:color w:val="auto"/>
              </w:rPr>
              <w:t>Six Months Ended June 30, 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Six Months Ended June 30, 2022</w:t>
            </w:r>
          </w:p>
        </w:tc>
        <w:tc>
          <w:tcPr>
            <w:tcW w:w="0" w:type="dxa"/>
            <w:vAlign w:val="bottom"/>
          </w:tcPr>
          <w:p>
            <w:pPr>
              <w:spacing w:after="0"/>
              <w:rPr>
                <w:sz w:val="1"/>
                <w:szCs w:val="1"/>
                <w:color w:val="auto"/>
              </w:rPr>
            </w:pPr>
          </w:p>
        </w:tc>
      </w:tr>
      <w:tr>
        <w:trPr>
          <w:trHeight w:val="398"/>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Parent Company</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1"/>
              </w:rPr>
              <w:t>Guarantor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Parent Company</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1,009,946</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1,020,245</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753,189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743,394</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276,851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CCEEFF"/>
            </w:tcBorders>
            <w:gridSpan w:val="2"/>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Borders>
              <w:top w:val="single" w:sz="8" w:color="CCEE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223,608</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304,027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255,211</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321,509</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316,942</w:t>
            </w:r>
          </w:p>
        </w:tc>
        <w:tc>
          <w:tcPr>
            <w:tcW w:w="0" w:type="dxa"/>
            <w:vAlign w:val="bottom"/>
          </w:tcPr>
          <w:p>
            <w:pPr>
              <w:spacing w:after="0"/>
              <w:rPr>
                <w:sz w:val="1"/>
                <w:szCs w:val="1"/>
                <w:color w:val="auto"/>
              </w:rPr>
            </w:pPr>
          </w:p>
        </w:tc>
      </w:tr>
      <w:tr>
        <w:trPr>
          <w:trHeight w:val="797"/>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right"/>
              <w:ind w:right="1451"/>
              <w:spacing w:after="0"/>
              <w:rPr>
                <w:sz w:val="20"/>
                <w:szCs w:val="20"/>
                <w:color w:val="auto"/>
              </w:rPr>
            </w:pPr>
            <w:r>
              <w:rPr>
                <w:rFonts w:ascii="Arial" w:cs="Arial" w:eastAsia="Arial" w:hAnsi="Arial"/>
                <w:sz w:val="16"/>
                <w:szCs w:val="16"/>
                <w:b w:val="1"/>
                <w:bCs w:val="1"/>
                <w:color w:val="auto"/>
              </w:rPr>
              <w:t>June 30, 2023</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right"/>
              <w:ind w:right="1231"/>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Parent Company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ind w:right="292"/>
              <w:spacing w:after="0"/>
              <w:rPr>
                <w:sz w:val="20"/>
                <w:szCs w:val="20"/>
                <w:color w:val="auto"/>
              </w:rPr>
            </w:pPr>
            <w:r>
              <w:rPr>
                <w:rFonts w:ascii="Arial" w:cs="Arial" w:eastAsia="Arial" w:hAnsi="Arial"/>
                <w:sz w:val="16"/>
                <w:szCs w:val="16"/>
                <w:b w:val="1"/>
                <w:bCs w:val="1"/>
                <w:color w:val="auto"/>
              </w:rPr>
              <w:t>Parent Company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Guarantor Subsidiaries</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23,497</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79,020</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1,323,359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1,258,759</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4,078,771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3,573,422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3,893,205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3,706,858</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48,254</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554,558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701,717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157,658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872,109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2,532,171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2022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significant accounting policies since December 31, 2022.</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discuss our critical accounting estimates in Item 7, "Management's Discussion and Analysis of Financial Condition and Results of Operations," in our 2022 Form 10-K. There have been no significant changes in our critical accounting estimates since December 31, 2022.</w:t>
      </w:r>
    </w:p>
    <w:p>
      <w:pPr>
        <w:spacing w:after="0" w:line="49"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6"/>
          <w:szCs w:val="16"/>
          <w:color w:val="auto"/>
        </w:rPr>
        <w:t>25/7 Media is our production services business and is part of our International and Other segment. See "Item 1. Business - International and Other" in our 2022 Form 10-K for further details. During the second quarter of 2023, given the impact of market challenges at 25/7 Media, specifically as it relates to reduced demand for new content and series cancellations from third parties, the Company revised its outlook for the 25/7 Media business, resulting in</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lower expected future cash flows. As a result, the Company determined that sufficient indicators of potential impairment of long-lived assets existed at 25/7 Media. 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consolidated statement of income within the International and Other operating segment. Fair values used to determine the impairment charge were determined using an income approach, specifically a discounted cash flow ("DCF") model, and a market comparables approach.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spacing w:after="0" w:line="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second quarter of 2023, the Company also determined that a triggering event had occurred with respect to the 25/7 Media reporting unit, which required an interim goodwill impairment test to be performed. Accordingly, the Company performed a quantitative assessment using an income approach, specifically a DCF model, and a market comparables approach.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Based on the valuations performed, a $1.9 million goodwill impairment charge was recorded, which is included in impairment and other charges in the consolidated statement of income, within the International and Other operating segment.</w:t>
      </w:r>
    </w:p>
    <w:p>
      <w:pPr>
        <w:spacing w:after="0" w:line="200" w:lineRule="exact"/>
        <w:rPr>
          <w:sz w:val="20"/>
          <w:szCs w:val="20"/>
          <w:color w:val="auto"/>
        </w:rPr>
      </w:pP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Based on the level of interest rates prevailing at June 30, 2023, the carrying value of our fixed rate debt of $2.18 billion was more than its fair value of $1.62 billion by approximately $560.8 million. The fair value of these financial instruments is estimated based on reference to quoted market prices for these or comparable securities. A hypothetical 100 basis point decrease in interest rates prevailing at June 30, 2023 would increase the estimated fair value of our fixed rate debt by approximately $38.8 million to approximately $1.66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For the three and six months ended June 30, 2023, we did not have any interest rate swap contracts outstanding.</w:t>
      </w:r>
    </w:p>
    <w:p>
      <w:pPr>
        <w:spacing w:after="0" w:line="7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As of June 30, 2023, we had $2.8 billion of debt outstanding (excluding finance leases), of which $624.4 million is outstanding under our loan facility and is subject to variable interest rates. A hypothetical 100 basis point increase in interest rates prevailing at June 30, 2023 would increase our annual interest expense by approximately $6.2 million. The interest rate paid on approximately 78% of our debt (excluding finance leases) as of June 30, 2023 is fixed.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gains of $3.1 million and $2.5 million for the three and six months ended June 30, 2023, respectively, and gains of $1.0 million and $0.9 million for the three and six months ended June 30, 2022, respectively, related to foreign currency transactions. Such amounts are included in miscellaneous, net in the condensed consolidated statements of income.</w:t>
      </w:r>
    </w:p>
    <w:p>
      <w:pPr>
        <w:spacing w:after="0" w:line="5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Based upon that evaluation as of June 30, 2023, the Company's Chief Executive Officer and Chief Financial Officer concluded that the Company's disclosure controls and procedures are effective.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During the three months ended June 30, 2023,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14, Commitments and Contingencies to the condensed consolidated financial statements included in this Quarterly Report on Form 10-Q for a description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For the three and six months ended June 30, 2023, the Company did not repurchase any of its Class A common stock. As of June 30, 2023, the Company had $135.3 million of authorization remaining for repurchase under the Stock Repurchase Program.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Index to Exhibits.</w:t>
      </w:r>
    </w:p>
    <w:p>
      <w:pPr>
        <w:spacing w:after="0" w:line="171" w:lineRule="exact"/>
        <w:rPr>
          <w:sz w:val="20"/>
          <w:szCs w:val="20"/>
          <w:color w:val="auto"/>
        </w:rPr>
      </w:pPr>
    </w:p>
    <w:p>
      <w:pPr>
        <w:ind w:left="1060" w:right="20"/>
        <w:spacing w:after="0" w:line="291" w:lineRule="auto"/>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Amendment No. 2, dated as of April 19, 2023, to the Second Amended and Restated Credit Agreement, dated as of July 28, 2017, as</w:t>
        </w:r>
      </w:hyperlink>
      <w:r>
        <w:rPr>
          <w:rFonts w:ascii="Arial" w:cs="Arial" w:eastAsia="Arial" w:hAnsi="Arial"/>
          <w:sz w:val="16"/>
          <w:szCs w:val="16"/>
          <w:u w:val="single" w:color="auto"/>
          <w:color w:val="0000FF"/>
        </w:rPr>
        <w:t xml:space="preserve"> </w:t>
      </w:r>
      <w:hyperlink r:id="rId67">
        <w:r>
          <w:rPr>
            <w:rFonts w:ascii="Arial" w:cs="Arial" w:eastAsia="Arial" w:hAnsi="Arial"/>
            <w:sz w:val="16"/>
            <w:szCs w:val="16"/>
            <w:u w:val="single" w:color="auto"/>
            <w:color w:val="0000FF"/>
          </w:rPr>
          <w:t>amended by that certain Amendment No. 1 to the Second Amended and Restated Credit Agreement, dated as of February 8, 2021, by and</w:t>
        </w:r>
      </w:hyperlink>
    </w:p>
    <w:p>
      <w:pPr>
        <w:jc w:val="both"/>
        <w:ind w:left="1060" w:right="20" w:hanging="951"/>
        <w:spacing w:after="0" w:line="277"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r:id="rId67">
        <w:r>
          <w:rPr>
            <w:rFonts w:ascii="Arial" w:cs="Arial" w:eastAsia="Arial" w:hAnsi="Arial"/>
            <w:sz w:val="17"/>
            <w:szCs w:val="17"/>
            <w:u w:val="single" w:color="auto"/>
            <w:color w:val="0000FF"/>
          </w:rPr>
          <w:t>among AMC Networks and its subsidiary, AMC Network Entertainment LLC, as the initial borrowers, certain of AMC Networks’</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subsidiaries, as restricted subsidiaries, the lenders party thereto and JPMorgan Chase Bank, N.A., as Administrative Agent and Collateral</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Agent (incorporated by reference to Exhibit 10.1 to the Company's Current Report on Form 8-K filed on April 24, 2023).</w:t>
        </w:r>
      </w:hyperlink>
    </w:p>
    <w:p>
      <w:pPr>
        <w:spacing w:after="0" w:line="51" w:lineRule="exact"/>
        <w:rPr>
          <w:rFonts w:ascii="Arial" w:cs="Arial" w:eastAsia="Arial" w:hAnsi="Arial"/>
          <w:sz w:val="17"/>
          <w:szCs w:val="17"/>
          <w:u w:val="single" w:color="auto"/>
          <w:color w:val="0000FF"/>
        </w:rPr>
      </w:pPr>
    </w:p>
    <w:p>
      <w:pPr>
        <w:ind w:left="100"/>
        <w:spacing w:after="0"/>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0000FF"/>
        </w:rPr>
        <w:t>Amended &amp; Restated Employment Agreement dated September 2, 2022, between AMC Networks Inc. and Kim Kelleher.</w:t>
      </w:r>
    </w:p>
    <w:p>
      <w:pPr>
        <w:spacing w:after="0" w:line="77" w:lineRule="exact"/>
        <w:rPr>
          <w:rFonts w:ascii="Arial" w:cs="Arial" w:eastAsia="Arial" w:hAnsi="Arial"/>
          <w:sz w:val="17"/>
          <w:szCs w:val="17"/>
          <w:u w:val="single" w:color="auto"/>
          <w:color w:val="0000FF"/>
        </w:rPr>
      </w:pPr>
    </w:p>
    <w:p>
      <w:pPr>
        <w:ind w:left="1060" w:hanging="953"/>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Guarantor Subsidiaries of the Registrant</w:t>
      </w:r>
    </w:p>
    <w:p>
      <w:pPr>
        <w:spacing w:after="0" w:line="73" w:lineRule="exact"/>
        <w:rPr>
          <w:rFonts w:ascii="Arial" w:cs="Arial" w:eastAsia="Arial" w:hAnsi="Arial"/>
          <w:sz w:val="17"/>
          <w:szCs w:val="17"/>
          <w:u w:val="single" w:color="auto"/>
          <w:color w:val="0000FF"/>
        </w:rPr>
      </w:pPr>
    </w:p>
    <w:tbl>
      <w:tblPr>
        <w:tblLayout w:type="fixed"/>
        <w:tblInd w:w="100" w:type="dxa"/>
        <w:tblCellMar>
          <w:top w:w="0" w:type="dxa"/>
          <w:left w:w="0" w:type="dxa"/>
          <w:bottom w:w="0" w:type="dxa"/>
          <w:right w:w="0" w:type="dxa"/>
        </w:tblCellMar>
      </w:tblPr>
      <w:tr>
        <w:trPr>
          <w:trHeight w:val="207"/>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31.1</w:t>
            </w:r>
          </w:p>
        </w:tc>
        <w:tc>
          <w:tcPr>
            <w:tcW w:w="72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Chief Executive Officer pursuant to Section 302 of the Sarbanes-Oxley Act of 2002.</w:t>
            </w:r>
          </w:p>
        </w:tc>
      </w:tr>
      <w:tr>
        <w:trPr>
          <w:trHeight w:val="263"/>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31.2</w:t>
            </w:r>
          </w:p>
        </w:tc>
        <w:tc>
          <w:tcPr>
            <w:tcW w:w="7220" w:type="dxa"/>
            <w:vAlign w:val="bottom"/>
            <w:gridSpan w:val="2"/>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r>
      <w:tr>
        <w:trPr>
          <w:trHeight w:val="20"/>
        </w:trPr>
        <w:tc>
          <w:tcPr>
            <w:tcW w:w="96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rFonts w:ascii="Arial" w:cs="Arial" w:eastAsia="Arial" w:hAnsi="Arial"/>
          <w:sz w:val="17"/>
          <w:szCs w:val="17"/>
          <w:u w:val="single" w:color="auto"/>
          <w:color w:val="0000FF"/>
        </w:rPr>
      </w:pPr>
    </w:p>
    <w:p>
      <w:pPr>
        <w:ind w:left="1060" w:right="20" w:hanging="953"/>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Certifications of Chief Executive Officer and Chief Financial Officer pursuant to Section 906 of the Sarbanes-Oxley Act of 2002, 18 U.S.C. Section 1350.</w:t>
      </w:r>
    </w:p>
    <w:p>
      <w:pPr>
        <w:spacing w:after="0" w:line="18" w:lineRule="exact"/>
        <w:rPr>
          <w:rFonts w:ascii="Arial" w:cs="Arial" w:eastAsia="Arial" w:hAnsi="Arial"/>
          <w:sz w:val="17"/>
          <w:szCs w:val="17"/>
          <w:u w:val="single" w:color="auto"/>
          <w:color w:val="0000FF"/>
        </w:rPr>
      </w:pPr>
    </w:p>
    <w:tbl>
      <w:tblPr>
        <w:tblLayout w:type="fixed"/>
        <w:tblInd w:w="10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1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820" w:type="dxa"/>
            <w:vAlign w:val="bottom"/>
          </w:tcPr>
          <w:p>
            <w:pPr>
              <w:spacing w:after="0"/>
              <w:rPr>
                <w:sz w:val="20"/>
                <w:szCs w:val="20"/>
                <w:color w:val="auto"/>
              </w:rPr>
            </w:pPr>
          </w:p>
        </w:tc>
        <w:tc>
          <w:tcPr>
            <w:tcW w:w="10200" w:type="dxa"/>
            <w:vAlign w:val="bottom"/>
          </w:tcPr>
          <w:p>
            <w:pPr>
              <w:ind w:left="140"/>
              <w:spacing w:after="0"/>
              <w:rPr>
                <w:sz w:val="20"/>
                <w:szCs w:val="20"/>
                <w:color w:val="auto"/>
              </w:rPr>
            </w:pPr>
            <w:r>
              <w:rPr>
                <w:rFonts w:ascii="Arial" w:cs="Arial" w:eastAsia="Arial" w:hAnsi="Arial"/>
                <w:sz w:val="18"/>
                <w:szCs w:val="18"/>
                <w:color w:val="auto"/>
              </w:rPr>
              <w:t>Inline XBRL document.</w:t>
            </w:r>
          </w:p>
        </w:tc>
      </w:tr>
      <w:tr>
        <w:trPr>
          <w:trHeight w:val="29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7"/>
          <w:szCs w:val="17"/>
          <w:u w:val="single" w:color="auto"/>
          <w:color w:val="0000FF"/>
        </w:rPr>
      </w:pPr>
    </w:p>
    <w:p>
      <w:pPr>
        <w:ind w:left="1060" w:hanging="95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AMC Networks Inc.</w:t>
      </w:r>
    </w:p>
    <w:p>
      <w:pPr>
        <w:spacing w:after="0" w:line="171" w:lineRule="exact"/>
        <w:rPr>
          <w:sz w:val="20"/>
          <w:szCs w:val="20"/>
          <w:color w:val="auto"/>
        </w:rPr>
      </w:pPr>
    </w:p>
    <w:p>
      <w:pPr>
        <w:ind w:left="220"/>
        <w:spacing w:after="0"/>
        <w:tabs>
          <w:tab w:leader="none" w:pos="55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6"/>
          <w:szCs w:val="16"/>
          <w:color w:val="auto"/>
        </w:rPr>
        <w:t>By: /s/ Patrick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23495</wp:posOffset>
            </wp:positionV>
            <wp:extent cx="3437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O'Connell</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931"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1066165</wp:posOffset>
            </wp:positionV>
            <wp:extent cx="3291840" cy="651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32918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September 2, 2022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VIA E-MAIL &amp;</w:t>
      </w:r>
    </w:p>
    <w:p>
      <w:pPr>
        <w:spacing w:after="0"/>
        <w:rPr>
          <w:sz w:val="20"/>
          <w:szCs w:val="20"/>
          <w:color w:val="auto"/>
        </w:rPr>
      </w:pPr>
      <w:r>
        <w:rPr>
          <w:rFonts w:ascii="Arial" w:cs="Arial" w:eastAsia="Arial" w:hAnsi="Arial"/>
          <w:sz w:val="22"/>
          <w:szCs w:val="22"/>
          <w:b w:val="1"/>
          <w:bCs w:val="1"/>
          <w:u w:val="single" w:color="auto"/>
          <w:color w:val="auto"/>
        </w:rPr>
        <w:t>DOCUSIGN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Kim Kelleher</w:t>
      </w:r>
    </w:p>
    <w:p>
      <w:pPr>
        <w:spacing w:after="0" w:line="204" w:lineRule="auto"/>
        <w:rPr>
          <w:sz w:val="20"/>
          <w:szCs w:val="20"/>
          <w:color w:val="auto"/>
        </w:rPr>
      </w:pPr>
      <w:r>
        <w:rPr>
          <w:rFonts w:ascii="Arial" w:cs="Arial" w:eastAsia="Arial" w:hAnsi="Arial"/>
          <w:sz w:val="22"/>
          <w:szCs w:val="22"/>
          <w:color w:val="auto"/>
        </w:rPr>
        <w:t>c/o AMC Networks Inc.</w:t>
      </w:r>
    </w:p>
    <w:p>
      <w:pPr>
        <w:spacing w:after="0" w:line="205" w:lineRule="auto"/>
        <w:rPr>
          <w:sz w:val="20"/>
          <w:szCs w:val="20"/>
          <w:color w:val="auto"/>
        </w:rPr>
      </w:pPr>
      <w:r>
        <w:rPr>
          <w:rFonts w:ascii="Arial" w:cs="Arial" w:eastAsia="Arial" w:hAnsi="Arial"/>
          <w:sz w:val="22"/>
          <w:szCs w:val="22"/>
          <w:color w:val="auto"/>
        </w:rPr>
        <w:t>11 Penn Plaza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10001</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 Amended &amp; Restated Employment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Kim:</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 am pleased to forward this letter agreement (this “Agreement”) setting forth the details of your continued employment with AMC Networks Inc. (the “Company”). This Agreement will become effective upon execution by you and the Company (the “Effective Date”) and will amend and restate the terms of the May 23, 2019, letter agreement regarding your employment.</w:t>
      </w:r>
    </w:p>
    <w:p>
      <w:pPr>
        <w:spacing w:after="0" w:line="268" w:lineRule="exact"/>
        <w:rPr>
          <w:sz w:val="20"/>
          <w:szCs w:val="20"/>
          <w:color w:val="auto"/>
        </w:rPr>
      </w:pPr>
    </w:p>
    <w:p>
      <w:pPr>
        <w:jc w:val="both"/>
        <w:ind w:firstLine="334"/>
        <w:spacing w:after="0" w:line="263" w:lineRule="auto"/>
        <w:rPr>
          <w:sz w:val="20"/>
          <w:szCs w:val="20"/>
          <w:color w:val="auto"/>
        </w:rPr>
      </w:pPr>
      <w:r>
        <w:rPr>
          <w:rFonts w:ascii="Arial" w:cs="Arial" w:eastAsia="Arial" w:hAnsi="Arial"/>
          <w:sz w:val="22"/>
          <w:szCs w:val="22"/>
          <w:color w:val="auto"/>
        </w:rPr>
        <w:t>Beginning on the Effective Date, you will be employed by the Company as Chief Commercial Officer. In this capacity, you will report to the President and Chief Executive Officer of AMC Networks Inc.</w:t>
      </w:r>
    </w:p>
    <w:p>
      <w:pPr>
        <w:spacing w:after="0" w:line="32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You agree to continue to devote substantially all of your business time and attention to the business and affairs of the Company and shall perform your duties in a diligent, competent and skillful manner and in accordance with applicable law; provided, that, to the extent such activities do not violate any terms of this Agreement or any Company policies, including, without limitation, the Company’s Code of Business Conduct and Ethics Policy, or interfere with your performance of your duties, services and responsibilities under this Agreement, you may participate or serve in your individual capacity: i) in educational, charitable, religious and civic organizations; ii) on the boards of the organizations identified in </w:t>
      </w:r>
      <w:r>
        <w:rPr>
          <w:rFonts w:ascii="Arial" w:cs="Arial" w:eastAsia="Arial" w:hAnsi="Arial"/>
          <w:sz w:val="19"/>
          <w:szCs w:val="19"/>
          <w:i w:val="1"/>
          <w:iCs w:val="1"/>
          <w:color w:val="auto"/>
        </w:rPr>
        <w:t>Annex II</w:t>
      </w:r>
      <w:r>
        <w:rPr>
          <w:rFonts w:ascii="Arial" w:cs="Arial" w:eastAsia="Arial" w:hAnsi="Arial"/>
          <w:sz w:val="19"/>
          <w:szCs w:val="19"/>
          <w:color w:val="auto"/>
        </w:rPr>
        <w:t xml:space="preserve"> hereto; and iii) on those corporate or industry organization boards which have been approved in advance by the Company.</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Beginning on the Effective Date, your base salary will be not less than $1,300,000 annually, paid bi-weekly, which base salary shall be subject to annual review and potential increase by the Compensation Committee of the Board of Directors of the Company (the “Compensation Committee”), in its sole discretion.</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addition, beginning on the Effective Date, you will be eligible to participate in the Company’s discretionary annual incentive bonus program (“AIP”) with an annual target bonus opportunity equal to one hundred and twenty-five percent (125%) of actual salary dollars paid to you during the applicable year. Bonus payments depend on a number of factors including Company, unit and individual performance. However, the decision of whether or not to pay a bonus, and the amount of that bonus, if any, will be made by the Compensation Committee in its sole discretion. Except as otherwise provided herein, in order to receive a bonus, you must be employed by the Company at the time bonuses are being paid. Such bonus shall be earned, only if and when actually paid to, and received by, you. For your performance in calendar year 2022, you will be eligible to receive a composite incentive compensation payment, which payment will be proportionally calculated based on: i) with respect to your performance from January 1, 2022 up to the Effective Date, the terms of the Company’s ad sales commission program and a target commission of seventy-five percent (75%) of actual salary dollars paid to you during such period; and ii) with respect to your performance from the Effective Date through December 31, 2022, the terms of the Company’s AIP and a target bonus opportunity of one hundred and twenty-five percent (125%) of actual salary dollars paid to you during such period.</w:t>
      </w:r>
    </w:p>
    <w:p>
      <w:pPr>
        <w:spacing w:after="0" w:line="247" w:lineRule="exact"/>
        <w:rPr>
          <w:sz w:val="20"/>
          <w:szCs w:val="20"/>
          <w:color w:val="auto"/>
        </w:rPr>
      </w:pPr>
    </w:p>
    <w:p>
      <w:pPr>
        <w:jc w:val="both"/>
        <w:ind w:firstLine="383"/>
        <w:spacing w:after="0" w:line="291" w:lineRule="auto"/>
        <w:rPr>
          <w:sz w:val="20"/>
          <w:szCs w:val="20"/>
          <w:color w:val="auto"/>
        </w:rPr>
      </w:pPr>
      <w:r>
        <w:rPr>
          <w:rFonts w:ascii="Arial" w:cs="Arial" w:eastAsia="Arial" w:hAnsi="Arial"/>
          <w:sz w:val="19"/>
          <w:szCs w:val="19"/>
          <w:color w:val="auto"/>
        </w:rPr>
        <w:t xml:space="preserve">You will also continue to be eligible, subject to your continued employment by the Company and actual grant by the Compensation Committee, in its sole discretion, to participate in such long-term equity and other incentive programs that are made available in the future to similarly situated executives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purposes of this provision, the Company’s Chief Executive Officer shall not be deemed a “similarly situated executive.” Beginning with the 2023 award cycle, it is expected that such awards will consist of grants of cash and/or equity awards with an annual aggregate target value of not less than $1,000,000, as determined by the Compensation Committee in its sole discretion. For calendar year 2022, you have previously received grants of restricted stock units and cash performance awards with a combined target value of $750,000. In addition to such grants, in October 2022, the Company will recommend to the Compensation Committee that you receive additional grants of long-term incentive awards with a total target value of $250,000, comprised of a one-time award of restricted stock units with a target value of $125,000 and a one-time award of cash performance awards with a target value of $125,000. Any such awards would be subject to actual grant by the Compensation Committee, would be made pursuant to the applicable plan document and would be subject to terms and conditions established by the Compensation Committee in its sole discretion that would be detailed in separate agreements you will receive after any award is actually made.</w:t>
      </w:r>
    </w:p>
    <w:p>
      <w:pPr>
        <w:spacing w:after="0" w:line="2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Additionally, you will continue to be eligible for the Company’s standard benefits program. Participation in the Company’s benefits program is subject to meeting the relevant eligibility requirements, payment of the required premiums, and the terms of the plans themselves. The Company currently offers medical, dental, vision, life, and accidental death and dismemberment insurance, short- and long-term disability insurance, a savings and retirement program and twelve paid holidays. You will also be eligible for vacation, to be used and accrued in accordance with Company policy. Additionally, you will be eligible for such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22"/>
          <w:szCs w:val="22"/>
          <w:color w:val="auto"/>
        </w:rPr>
        <w:t>perquisites as are provided to similarly situated executives of the Company in accordance with Company policy as in effect from time to time.</w:t>
      </w:r>
    </w:p>
    <w:p>
      <w:pPr>
        <w:spacing w:after="0" w:line="3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You have previously executed a Retention Bonus Agreement, dated October 13, 2021, setting forth the terms and conditions of your eligibility for a retention bonus payment (the “Retention Bonus Agreement”). For the avoidance of doubt, nothing in this Agreement is intended to modify the terms of the Retention Bonus Agreement, which shall remain in full force and effect in accordance with its terms.</w:t>
      </w:r>
    </w:p>
    <w:p>
      <w:pPr>
        <w:spacing w:after="0" w:line="320" w:lineRule="exact"/>
        <w:rPr>
          <w:sz w:val="20"/>
          <w:szCs w:val="20"/>
          <w:color w:val="auto"/>
        </w:rPr>
      </w:pPr>
    </w:p>
    <w:p>
      <w:pPr>
        <w:jc w:val="both"/>
        <w:ind w:firstLine="257"/>
        <w:spacing w:after="0" w:line="249" w:lineRule="auto"/>
        <w:rPr>
          <w:sz w:val="20"/>
          <w:szCs w:val="20"/>
          <w:color w:val="auto"/>
        </w:rPr>
      </w:pPr>
      <w:r>
        <w:rPr>
          <w:rFonts w:ascii="Arial" w:cs="Arial" w:eastAsia="Arial" w:hAnsi="Arial"/>
          <w:sz w:val="22"/>
          <w:szCs w:val="22"/>
          <w:color w:val="auto"/>
        </w:rPr>
        <w:t xml:space="preserve">If, prior to March 31, 2026 (the “Reference Date”), your employment is involuntarily terminated by the Company and, at the time of such termination, Cause does not exist, then subject to your execution and the effectiveness of a severance agreement satisfactory to the Company, which shall include, without limitation, non-compete (limited to one (1) year), non-disparagement, non-solicitation, confidentiality and further cooperation obligations/restrictions on you substantially consistent with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hereto, as well as a general release by you of the Company and its affiliates (the “Severance Agreement”), the Company will provide you with the following:</w:t>
      </w:r>
    </w:p>
    <w:p>
      <w:pPr>
        <w:spacing w:after="0" w:line="275" w:lineRule="exact"/>
        <w:rPr>
          <w:sz w:val="20"/>
          <w:szCs w:val="20"/>
          <w:color w:val="auto"/>
        </w:rPr>
      </w:pPr>
    </w:p>
    <w:p>
      <w:pPr>
        <w:jc w:val="both"/>
        <w:ind w:firstLine="656"/>
        <w:spacing w:after="0" w:line="249" w:lineRule="auto"/>
        <w:tabs>
          <w:tab w:leader="none" w:pos="1296"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Severance in an amount to be determined by the Compensation Committee (the “Severance Amount”), but in no event less than two (2) times the sum of: 1) your annual base salary; and 2) your annual target bonus, each as in effect on the effective date of your termination (the “Termination Date”). An amount equal to sixty percent (60%) of the payment provided for in this paragraph (the “First Payment”) will be payable to you on the six-month anniversary of the Termination Date and the remainder of the Severance Amount will be payable to you over the six-month period following such anniversary in accordance with the Company’s then prevailing payroll policies;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maximum portion of the First Payment that is exempt from Section 409A of the Code (as defined below) will be payable to you on or before the seventy-fifth (75) day following the Termination Date; </w:t>
      </w:r>
      <w:r>
        <w:rPr>
          <w:rFonts w:ascii="Arial" w:cs="Arial" w:eastAsia="Arial" w:hAnsi="Arial"/>
          <w:sz w:val="22"/>
          <w:szCs w:val="22"/>
          <w:i w:val="1"/>
          <w:iCs w:val="1"/>
          <w:u w:val="single" w:color="auto"/>
          <w:color w:val="auto"/>
        </w:rPr>
        <w:t>plus</w:t>
      </w:r>
    </w:p>
    <w:p>
      <w:pPr>
        <w:spacing w:after="0" w:line="222" w:lineRule="exact"/>
        <w:rPr>
          <w:rFonts w:ascii="Arial" w:cs="Arial" w:eastAsia="Arial" w:hAnsi="Arial"/>
          <w:sz w:val="22"/>
          <w:szCs w:val="22"/>
          <w:color w:val="auto"/>
        </w:rPr>
      </w:pPr>
    </w:p>
    <w:p>
      <w:pPr>
        <w:jc w:val="both"/>
        <w:ind w:firstLine="656"/>
        <w:spacing w:after="0" w:line="251" w:lineRule="auto"/>
        <w:tabs>
          <w:tab w:leader="none" w:pos="1296"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A prorated annual bonus based on the amount of your base salary earned by you during the calendar year through the Termination Date, provided, that such bonus, if any, will be payable to you if and when such bonuses are generally paid to similarly situated employees and will be based on your then current annual target bonus opportunity as well as Company and your business unit performance as determined by the Compensation Committee in its discretion, but without adjustment for your individual performance; </w:t>
      </w:r>
      <w:r>
        <w:rPr>
          <w:rFonts w:ascii="Arial" w:cs="Arial" w:eastAsia="Arial" w:hAnsi="Arial"/>
          <w:sz w:val="22"/>
          <w:szCs w:val="22"/>
          <w:i w:val="1"/>
          <w:iCs w:val="1"/>
          <w:u w:val="single" w:color="auto"/>
          <w:color w:val="auto"/>
        </w:rPr>
        <w:t>plus</w:t>
      </w:r>
    </w:p>
    <w:p>
      <w:pPr>
        <w:spacing w:after="0" w:line="216"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as of the Termination Date, annual bonuses had not yet generally been paid to similarly situated employees with respect to the prior fiscal year, a bonus based on the amount of your base salary actually paid to you during such prior fiscal year, provided, that such bonus, if any, will be payable to you if and when such bonuses are generally paid to similarly situated employees and will be based on your annual target bonus that was in effect with respect to such prior fiscal year as well as Company and your business unit performance as determined by the Compensation Committee in its discretion, but without adjustment for your individual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49" w:name="page50"/>
    <w:bookmarkEnd w:id="49"/>
    <w:p>
      <w:pPr>
        <w:spacing w:after="0" w:line="231" w:lineRule="exact"/>
        <w:rPr>
          <w:sz w:val="20"/>
          <w:szCs w:val="20"/>
          <w:color w:val="auto"/>
        </w:rPr>
      </w:pPr>
    </w:p>
    <w:p>
      <w:pPr>
        <w:jc w:val="both"/>
        <w:ind w:firstLine="656"/>
        <w:spacing w:after="0" w:line="260" w:lineRule="auto"/>
        <w:tabs>
          <w:tab w:leader="none" w:pos="1296" w:val="left"/>
        </w:tabs>
        <w:numPr>
          <w:ilvl w:val="0"/>
          <w:numId w:val="18"/>
        </w:numPr>
        <w:rPr>
          <w:rFonts w:ascii="Arial" w:cs="Arial" w:eastAsia="Arial" w:hAnsi="Arial"/>
          <w:sz w:val="21"/>
          <w:szCs w:val="21"/>
          <w:color w:val="auto"/>
        </w:rPr>
      </w:pPr>
      <w:r>
        <w:rPr>
          <w:rFonts w:ascii="Arial" w:cs="Arial" w:eastAsia="Arial" w:hAnsi="Arial"/>
          <w:sz w:val="21"/>
          <w:szCs w:val="21"/>
          <w:color w:val="auto"/>
        </w:rPr>
        <w:t>Time-Vested Restricted Stock and RSU Awards (including RSU Awards that are subject to achievement of a performance condition and RSU Awards that have no performance conditions). Each of your outstanding restricted stock or restricted stock units awards granted to you under the plans of the Company shall continue to vest in accordance with their original vesting schedule irrespective of the termination of the term hereof and payments or deliveries with respect to your restricted stock and restricted stock units shall be made on the original vesting date(s) (or, in the case of restricted stock units, on the original distribution date(s)); provided, however, that at the time of your termination from employment, the Company shall withhold and settle a portion of each of your outstanding restricted stock and restricted stock unit awards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restricted stock or restricted stock unit award, and make a payroll tax contribution in such amount on your behalf;</w:t>
      </w:r>
    </w:p>
    <w:p>
      <w:pPr>
        <w:spacing w:after="0" w:line="213" w:lineRule="exact"/>
        <w:rPr>
          <w:rFonts w:ascii="Arial" w:cs="Arial" w:eastAsia="Arial" w:hAnsi="Arial"/>
          <w:sz w:val="21"/>
          <w:szCs w:val="21"/>
          <w:color w:val="auto"/>
        </w:rPr>
      </w:pPr>
    </w:p>
    <w:p>
      <w:pPr>
        <w:jc w:val="both"/>
        <w:ind w:firstLine="656"/>
        <w:spacing w:after="0" w:line="249"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Performance-Based RSU Awards. Each of your outstanding performance-based restricted stock unit (“PRSUs”) awards granted under the plans of the Company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provided that, if the applicable performance objectives are not satisfied then any such PRSUs will be forfeited;</w:t>
      </w:r>
    </w:p>
    <w:p>
      <w:pPr>
        <w:spacing w:after="0" w:line="220"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Each of your outstanding long-term cash performance awards (“CPAs”)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provided that, if the applicable performance objectives are not satisfied then any such CPAs will be forfeited; and</w:t>
      </w:r>
    </w:p>
    <w:p>
      <w:pPr>
        <w:spacing w:after="0" w:line="220"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Each of your outstanding stock options and stock appreciation awards under the plans of the Company, if any, shall continue to vest in accordance with their original vesting schedule irrespective of the termination of the term hereof and you shall have the right to exercise each of those options and stock appreciation awards for the remainder of the term of such option or award;</w:t>
      </w:r>
    </w:p>
    <w:p>
      <w:pPr>
        <w:spacing w:after="0" w:line="211" w:lineRule="exact"/>
        <w:rPr>
          <w:rFonts w:ascii="Arial" w:cs="Arial" w:eastAsia="Arial" w:hAnsi="Arial"/>
          <w:sz w:val="22"/>
          <w:szCs w:val="22"/>
          <w:color w:val="auto"/>
        </w:rPr>
      </w:pPr>
    </w:p>
    <w:p>
      <w:pPr>
        <w:jc w:val="both"/>
        <w:ind w:firstLine="656"/>
        <w:spacing w:after="0" w:line="270" w:lineRule="auto"/>
        <w:tabs>
          <w:tab w:leader="none" w:pos="1296" w:val="left"/>
        </w:tabs>
        <w:numPr>
          <w:ilvl w:val="0"/>
          <w:numId w:val="18"/>
        </w:numPr>
        <w:rPr>
          <w:rFonts w:ascii="Arial" w:cs="Arial" w:eastAsia="Arial" w:hAnsi="Arial"/>
          <w:sz w:val="21"/>
          <w:szCs w:val="21"/>
          <w:color w:val="auto"/>
        </w:rPr>
      </w:pPr>
      <w:r>
        <w:rPr>
          <w:rFonts w:ascii="Arial" w:cs="Arial" w:eastAsia="Arial" w:hAnsi="Arial"/>
          <w:sz w:val="21"/>
          <w:szCs w:val="21"/>
          <w:color w:val="auto"/>
        </w:rPr>
        <w:t>Notwithstanding any provisions to the contrary, to the extent that (i) any awards granted prior to the date hereof constitute “nonqualified deferred compensation” subject to Section 409A of the Internal Revenue Code of 1986, as amended (the “Code”) and any regulations and guidelines promulgated thereunder (collectively, “Section 409A”); and (ii) the treatment of such awards pursuant to this Agreement is not permitted by Section 409A, then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22"/>
          <w:szCs w:val="22"/>
          <w:color w:val="auto"/>
        </w:rPr>
        <w:t>awards shall be payable to you at such time as is provided under the terms of such awards or otherwise in compliance with Section 409A.</w:t>
      </w:r>
    </w:p>
    <w:p>
      <w:pPr>
        <w:spacing w:after="0" w:line="202" w:lineRule="exact"/>
        <w:rPr>
          <w:sz w:val="20"/>
          <w:szCs w:val="20"/>
          <w:color w:val="auto"/>
        </w:rPr>
      </w:pPr>
    </w:p>
    <w:p>
      <w:pPr>
        <w:jc w:val="both"/>
        <w:ind w:firstLine="229"/>
        <w:spacing w:after="0" w:line="276" w:lineRule="auto"/>
        <w:rPr>
          <w:sz w:val="20"/>
          <w:szCs w:val="20"/>
          <w:color w:val="auto"/>
        </w:rPr>
      </w:pPr>
      <w:r>
        <w:rPr>
          <w:rFonts w:ascii="Arial" w:cs="Arial" w:eastAsia="Arial" w:hAnsi="Arial"/>
          <w:sz w:val="22"/>
          <w:szCs w:val="22"/>
          <w:color w:val="auto"/>
        </w:rPr>
        <w:t>If you die after a termination of your employment that is subject to the above, your estate or beneficiaries will be provided any remaining benefits and rights under the above paragraphs (a) through (g).</w:t>
      </w:r>
    </w:p>
    <w:p>
      <w:pPr>
        <w:spacing w:after="0" w:line="188" w:lineRule="exact"/>
        <w:rPr>
          <w:sz w:val="20"/>
          <w:szCs w:val="20"/>
          <w:color w:val="auto"/>
        </w:rPr>
      </w:pPr>
    </w:p>
    <w:p>
      <w:pPr>
        <w:jc w:val="both"/>
        <w:ind w:firstLine="221"/>
        <w:spacing w:after="0" w:line="297" w:lineRule="auto"/>
        <w:rPr>
          <w:sz w:val="20"/>
          <w:szCs w:val="20"/>
          <w:color w:val="auto"/>
        </w:rPr>
      </w:pPr>
      <w:r>
        <w:rPr>
          <w:rFonts w:ascii="Arial" w:cs="Arial" w:eastAsia="Arial" w:hAnsi="Arial"/>
          <w:sz w:val="19"/>
          <w:szCs w:val="19"/>
          <w:color w:val="auto"/>
        </w:rPr>
        <w:t>Except as otherwise set forth herein, 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spacing w:after="0" w:line="173" w:lineRule="exact"/>
        <w:rPr>
          <w:sz w:val="20"/>
          <w:szCs w:val="20"/>
          <w:color w:val="auto"/>
        </w:rPr>
      </w:pPr>
    </w:p>
    <w:p>
      <w:pPr>
        <w:jc w:val="both"/>
        <w:ind w:firstLine="221"/>
        <w:spacing w:after="0" w:line="260" w:lineRule="auto"/>
        <w:rPr>
          <w:sz w:val="20"/>
          <w:szCs w:val="20"/>
          <w:color w:val="auto"/>
        </w:rPr>
      </w:pPr>
      <w:r>
        <w:rPr>
          <w:rFonts w:ascii="Arial" w:cs="Arial" w:eastAsia="Arial" w:hAnsi="Arial"/>
          <w:sz w:val="21"/>
          <w:szCs w:val="21"/>
          <w:color w:val="auto"/>
        </w:rPr>
        <w:t>If you cease to be an employee of the Company prior to the Reference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paragraphs (b) and (c) above, and each of your outstanding equity, cash incentive, stock option, and stock appreciation awards granted under the plans of the Company shall immediately vest in full, whether or not subject to performance criteria and shall be payable on the 90th day after the termination of your employment; provided,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 to the extent that other similarly situated executives receive payment as determined by the Compensation Committee (subject to satisfaction of the applicable performance criteria).</w:t>
      </w:r>
    </w:p>
    <w:p>
      <w:pPr>
        <w:spacing w:after="0" w:line="20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21"/>
          <w:szCs w:val="21"/>
          <w:color w:val="auto"/>
        </w:rPr>
        <w:t xml:space="preserve">For purposes of this Agreement, “Cause” means, as determined by the Company,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1"/>
          <w:szCs w:val="21"/>
          <w:i w:val="1"/>
          <w:iCs w:val="1"/>
          <w:color w:val="auto"/>
        </w:rPr>
        <w:t>nolo contendere</w:t>
      </w:r>
      <w:r>
        <w:rPr>
          <w:rFonts w:ascii="Arial" w:cs="Arial" w:eastAsia="Arial" w:hAnsi="Arial"/>
          <w:sz w:val="21"/>
          <w:szCs w:val="21"/>
          <w:color w:val="auto"/>
        </w:rPr>
        <w:t>, or imposition of unadjudicated probation for any crime involving moral turpitude or any felony.</w:t>
      </w:r>
    </w:p>
    <w:p>
      <w:pPr>
        <w:spacing w:after="0" w:line="19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Effective immediately, you and the Company agree to be bound by the additional covenants and provisions applicable to each that are set forth in </w:t>
      </w:r>
      <w:r>
        <w:rPr>
          <w:rFonts w:ascii="Arial" w:cs="Arial" w:eastAsia="Arial" w:hAnsi="Arial"/>
          <w:sz w:val="19"/>
          <w:szCs w:val="19"/>
          <w:i w:val="1"/>
          <w:iCs w:val="1"/>
          <w:color w:val="auto"/>
        </w:rPr>
        <w:t>Annex I</w:t>
      </w:r>
      <w:r>
        <w:rPr>
          <w:rFonts w:ascii="Arial" w:cs="Arial" w:eastAsia="Arial" w:hAnsi="Arial"/>
          <w:sz w:val="19"/>
          <w:szCs w:val="19"/>
          <w:color w:val="auto"/>
        </w:rPr>
        <w:t xml:space="preserve"> attached hereto, which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deemed to be a part of this Agreement.</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hereby agrees that it shall indemnify and hold you harmless to the fullest extent provided in Article VIII of the Company’s By Laws and on terms no less favorable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51" w:name="page52"/>
    <w:bookmarkEnd w:id="51"/>
    <w:p>
      <w:pPr>
        <w:jc w:val="both"/>
        <w:spacing w:after="0" w:line="254" w:lineRule="auto"/>
        <w:rPr>
          <w:sz w:val="20"/>
          <w:szCs w:val="20"/>
          <w:color w:val="auto"/>
        </w:rPr>
      </w:pPr>
      <w:r>
        <w:rPr>
          <w:rFonts w:ascii="Arial" w:cs="Arial" w:eastAsia="Arial" w:hAnsi="Arial"/>
          <w:sz w:val="22"/>
          <w:szCs w:val="22"/>
          <w:color w:val="auto"/>
        </w:rPr>
        <w:t>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This Agreement does not constitute a guarantee of employment for any definite period or on any specific terms. Your employment is at will and may be terminated by you or the Company at any time, with or without notice or reason.</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withhold from any payment due to you any taxes that are required to be withheld under any law, rule or regulation. To the extent permitted by applicable law, the Company may also offset from any payment otherwise due to you under this Agreement any outstanding amounts you then owe to the Company or any of its affiliates of whatever nature.</w:t>
      </w:r>
    </w:p>
    <w:p>
      <w:pPr>
        <w:spacing w:after="0" w:line="1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any payment otherwise due to you hereunder would result in the imposition of the excise tax imposed by Section 4999 of the Internal Revenue Code, as amended (the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w:t>
      </w:r>
    </w:p>
    <w:p>
      <w:pPr>
        <w:spacing w:after="0" w:line="1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It is intended that this Agreement and the payments and benefits hereunder be exempt from or comply with Section 409A of the Code (together with the applicable regulations thereunder, “Section 409A”), and this Agreement shall be interpreted on a basis consistent with such intent. If and to the extent that any payment or benefit under this Agreement, or any plan, award or arrangement of the Company or its affiliates, constitutes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as determined by the Company), such payment or benefit shall not be made or provided before the date that is six months after the date of your separation from service (or your earlier death) as set forth herein. Any amount not paid or benefit not provided in respect of the six-month period specified in the preceding sentence will be paid to you in a lump sum or provided to you as soon as practicable after the expiration of such six month period. Each payment or benefit under this Agreement shall be treated as a separate payment for purposes of Section 409A to the extent Section 409A applies to such payments or benefits.</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138" w:lineRule="exact"/>
        <w:rPr>
          <w:sz w:val="20"/>
          <w:szCs w:val="20"/>
          <w:color w:val="auto"/>
        </w:rPr>
      </w:pPr>
    </w:p>
    <w:p>
      <w:pPr>
        <w:jc w:val="both"/>
        <w:ind w:firstLine="225"/>
        <w:spacing w:after="0" w:line="282" w:lineRule="auto"/>
        <w:rPr>
          <w:sz w:val="20"/>
          <w:szCs w:val="20"/>
          <w:color w:val="auto"/>
        </w:rPr>
      </w:pPr>
      <w:r>
        <w:rPr>
          <w:rFonts w:ascii="Arial" w:cs="Arial" w:eastAsia="Arial" w:hAnsi="Arial"/>
          <w:sz w:val="22"/>
          <w:szCs w:val="22"/>
          <w:b w:val="1"/>
          <w:bCs w:val="1"/>
          <w:color w:val="auto"/>
        </w:rPr>
        <w:t>To the extent permitted by law, you hereby waive any and all rights to a jury trial with respect to any matter relating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28" w:right="339" w:bottom="1440" w:gutter="0" w:footer="0" w:header="0"/>
        </w:sectPr>
      </w:pPr>
    </w:p>
    <w:bookmarkStart w:id="52" w:name="page53"/>
    <w:bookmarkEnd w:id="52"/>
    <w:p>
      <w:pPr>
        <w:jc w:val="both"/>
        <w:ind w:firstLine="264"/>
        <w:spacing w:after="0" w:line="269" w:lineRule="auto"/>
        <w:rPr>
          <w:sz w:val="20"/>
          <w:szCs w:val="20"/>
          <w:color w:val="auto"/>
        </w:rPr>
      </w:pPr>
      <w:r>
        <w:rPr>
          <w:rFonts w:ascii="Arial" w:cs="Arial" w:eastAsia="Arial" w:hAnsi="Arial"/>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41" w:lineRule="exact"/>
        <w:rPr>
          <w:sz w:val="20"/>
          <w:szCs w:val="20"/>
          <w:color w:val="auto"/>
        </w:rPr>
      </w:pPr>
    </w:p>
    <w:p>
      <w:pPr>
        <w:jc w:val="both"/>
        <w:ind w:firstLine="265"/>
        <w:spacing w:after="0" w:line="249" w:lineRule="auto"/>
        <w:rPr>
          <w:sz w:val="20"/>
          <w:szCs w:val="20"/>
          <w:color w:val="auto"/>
        </w:rPr>
      </w:pPr>
      <w:r>
        <w:rPr>
          <w:rFonts w:ascii="Arial" w:cs="Arial" w:eastAsia="Arial" w:hAnsi="Arial"/>
          <w:sz w:val="22"/>
          <w:szCs w:val="22"/>
          <w:color w:val="auto"/>
        </w:rPr>
        <w:t>You hereby irrevocably submit to the jurisdiction of the courts of the State of New York and the federal courts of the United States of America located in the State of New York solely in respect of the interpretation and enforcement of the provisions of this Agreement, and you hereby waive, and agree not to assert, as a defense that you are not subject thereto or that the venue thereof may not be appropriate. You and the Company hereby agree that a mailing of process or other papers with proof of delivery in connection with any such action or proceeding in any manner as may be permitted by law shall be valid and sufficient service thereof.</w:t>
      </w:r>
    </w:p>
    <w:p>
      <w:pPr>
        <w:spacing w:after="0" w:line="153" w:lineRule="exact"/>
        <w:rPr>
          <w:sz w:val="20"/>
          <w:szCs w:val="20"/>
          <w:color w:val="auto"/>
        </w:rPr>
      </w:pPr>
    </w:p>
    <w:p>
      <w:pPr>
        <w:jc w:val="both"/>
        <w:ind w:firstLine="223"/>
        <w:spacing w:after="0" w:line="262" w:lineRule="auto"/>
        <w:rPr>
          <w:sz w:val="20"/>
          <w:szCs w:val="20"/>
          <w:color w:val="auto"/>
        </w:rPr>
      </w:pPr>
      <w:r>
        <w:rPr>
          <w:rFonts w:ascii="Arial" w:cs="Arial" w:eastAsia="Arial" w:hAnsi="Arial"/>
          <w:sz w:val="21"/>
          <w:szCs w:val="21"/>
          <w:color w:val="auto"/>
        </w:rPr>
        <w:t>This Agreement may not be amended or modified otherwise than by a written agreement executed by the parties hereto or their respective successors and legal representatives. 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 It is the parties’ intention that this Agreement not be construed more strictly with regard to you or the Company.</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This Agreement and the Retention Bonus Agreement set forth the entire agreement between the parties concerning the subject matter thereof and supersede all prior agreements and understandings, both oral and written, between the parties with respect to said subject matter, including the letter agreement dated May 23, 2019, between you and the Company. This Agreement may be executed in one or more counterparts, each of which shall be deemed to be an original but all of which together will constitute one and the same instrument. Additionally, this Agreement may be executed by facsimile or other electronically transmitted signature, and such facsimile or electronically transmitted signature shall be deemed an original and be relied upon to the same extent as an original executed copy.</w:t>
      </w:r>
    </w:p>
    <w:p>
      <w:pPr>
        <w:spacing w:after="0" w:line="1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 xml:space="preserve">This Agreement will automatically terminate, and be of no further force or effect, on the earlier of (a) September 6, 2022 if it is not acknowledged by you below prior to such date, or (b) the Reference Date (except as to any right that accrued prior to such date to receive the Severance Amount subject to the execution and effectiveness of the Severance Agreement); provided, however, that any provisions that, by their term, survive the termination of this Agreement, including but not limited to the covenants and provisions set forth in the </w:t>
      </w:r>
      <w:r>
        <w:rPr>
          <w:rFonts w:ascii="Arial" w:cs="Arial" w:eastAsia="Arial" w:hAnsi="Arial"/>
          <w:sz w:val="21"/>
          <w:szCs w:val="21"/>
          <w:i w:val="1"/>
          <w:iCs w:val="1"/>
          <w:color w:val="auto"/>
        </w:rPr>
        <w:t>Annex I</w:t>
      </w:r>
      <w:r>
        <w:rPr>
          <w:rFonts w:ascii="Arial" w:cs="Arial" w:eastAsia="Arial" w:hAnsi="Arial"/>
          <w:sz w:val="21"/>
          <w:szCs w:val="21"/>
          <w:color w:val="auto"/>
        </w:rPr>
        <w:t xml:space="preserve"> hereto, shall survive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2" w:right="339" w:bottom="1440" w:gutter="0" w:footer="0" w:header="0"/>
        </w:sectPr>
      </w:pPr>
    </w:p>
    <w:bookmarkStart w:id="53" w:name="page54"/>
    <w:bookmarkEnd w:id="53"/>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/s/ Christina Spade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Christina Spade</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Chief Operating Officer</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/s/Kim Kelleher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Kim Kelleher</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September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39"/>
          </w:cols>
          <w:pgMar w:left="320" w:top="144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i w:val="1"/>
          <w:iCs w:val="1"/>
          <w:color w:val="auto"/>
        </w:rPr>
        <w:t>ANNEX I</w:t>
      </w:r>
    </w:p>
    <w:p>
      <w:pPr>
        <w:spacing w:after="0" w:line="200" w:lineRule="exact"/>
        <w:rPr>
          <w:sz w:val="20"/>
          <w:szCs w:val="20"/>
          <w:color w:val="auto"/>
        </w:rPr>
      </w:pPr>
    </w:p>
    <w:p>
      <w:pPr>
        <w:spacing w:after="0" w:line="249" w:lineRule="exact"/>
        <w:rPr>
          <w:sz w:val="20"/>
          <w:szCs w:val="20"/>
          <w:color w:val="auto"/>
        </w:rPr>
      </w:pPr>
    </w:p>
    <w:p>
      <w:pPr>
        <w:ind w:firstLine="1323"/>
        <w:spacing w:after="0" w:line="263" w:lineRule="auto"/>
        <w:rPr>
          <w:sz w:val="20"/>
          <w:szCs w:val="20"/>
          <w:color w:val="auto"/>
        </w:rPr>
      </w:pPr>
      <w:r>
        <w:rPr>
          <w:rFonts w:ascii="Arial" w:cs="Arial" w:eastAsia="Arial" w:hAnsi="Arial"/>
          <w:sz w:val="22"/>
          <w:szCs w:val="22"/>
          <w:color w:val="auto"/>
        </w:rPr>
        <w:t>This Annex constitutes part of the Agreement, dated September 2, 2022, by and between Kim Kelleher (“</w:t>
      </w:r>
      <w:r>
        <w:rPr>
          <w:rFonts w:ascii="Arial" w:cs="Arial" w:eastAsia="Arial" w:hAnsi="Arial"/>
          <w:sz w:val="22"/>
          <w:szCs w:val="22"/>
          <w:i w:val="1"/>
          <w:iCs w:val="1"/>
          <w:color w:val="auto"/>
        </w:rPr>
        <w:t>You</w:t>
      </w:r>
      <w:r>
        <w:rPr>
          <w:rFonts w:ascii="Arial" w:cs="Arial" w:eastAsia="Arial" w:hAnsi="Arial"/>
          <w:sz w:val="22"/>
          <w:szCs w:val="22"/>
          <w:color w:val="auto"/>
        </w:rPr>
        <w:t>”) and the Company. Terms defined in the Agreement shall have the same meanings in this Annex.</w:t>
      </w:r>
    </w:p>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254"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5" w:lineRule="exact"/>
        <w:rPr>
          <w:rFonts w:ascii="Arial" w:cs="Arial" w:eastAsia="Arial" w:hAnsi="Arial"/>
          <w:sz w:val="22"/>
          <w:szCs w:val="22"/>
          <w:b w:val="1"/>
          <w:bCs w:val="1"/>
          <w:color w:val="auto"/>
        </w:rPr>
      </w:pPr>
    </w:p>
    <w:p>
      <w:pPr>
        <w:jc w:val="both"/>
        <w:ind w:firstLine="656"/>
        <w:spacing w:after="0" w:line="249" w:lineRule="auto"/>
        <w:tabs>
          <w:tab w:leader="none" w:pos="1105"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You agree to keep the existence and terms of this Agreement confidential (unless it is made public by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and (2) you are authorized to disclose this Agreement and its terms to your legal, financial and tax advisors or to members of your immediate family so long as such advisors and family members agree to maintain the confidentiality of the Agreement.</w:t>
      </w:r>
    </w:p>
    <w:p>
      <w:pPr>
        <w:spacing w:after="0" w:line="193" w:lineRule="exact"/>
        <w:rPr>
          <w:rFonts w:ascii="Arial" w:cs="Arial" w:eastAsia="Arial" w:hAnsi="Arial"/>
          <w:sz w:val="22"/>
          <w:szCs w:val="22"/>
          <w:color w:val="auto"/>
        </w:rPr>
      </w:pPr>
    </w:p>
    <w:p>
      <w:pPr>
        <w:jc w:val="both"/>
        <w:ind w:firstLine="656"/>
        <w:spacing w:after="0" w:line="288" w:lineRule="auto"/>
        <w:tabs>
          <w:tab w:leader="none" w:pos="1249"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xml:space="preserve">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Arial" w:cs="Arial" w:eastAsia="Arial" w:hAnsi="Arial"/>
          <w:sz w:val="19"/>
          <w:szCs w:val="19"/>
          <w:i w:val="1"/>
          <w:iCs w:val="1"/>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subscription video on demand,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officers, directors,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165" w:lineRule="exact"/>
        <w:rPr>
          <w:rFonts w:ascii="Arial" w:cs="Arial" w:eastAsia="Arial" w:hAnsi="Arial"/>
          <w:sz w:val="19"/>
          <w:szCs w:val="19"/>
          <w:color w:val="auto"/>
        </w:rPr>
      </w:pPr>
    </w:p>
    <w:p>
      <w:pPr>
        <w:ind w:firstLine="1331"/>
        <w:spacing w:after="0" w:line="263" w:lineRule="auto"/>
        <w:tabs>
          <w:tab w:leader="none" w:pos="1785" w:val="left"/>
        </w:tabs>
        <w:numPr>
          <w:ilvl w:val="2"/>
          <w:numId w:val="19"/>
        </w:numPr>
        <w:rPr>
          <w:rFonts w:ascii="Arial" w:cs="Arial" w:eastAsia="Arial" w:hAnsi="Arial"/>
          <w:sz w:val="22"/>
          <w:szCs w:val="22"/>
          <w:color w:val="auto"/>
        </w:rPr>
      </w:pPr>
      <w:r>
        <w:rPr>
          <w:rFonts w:ascii="Arial" w:cs="Arial" w:eastAsia="Arial" w:hAnsi="Arial"/>
          <w:sz w:val="22"/>
          <w:szCs w:val="22"/>
          <w:u w:val="single" w:color="auto"/>
          <w:color w:val="auto"/>
        </w:rPr>
        <w:t>Exception for Disclosure Pursuant to Law.</w:t>
      </w:r>
      <w:r>
        <w:rPr>
          <w:rFonts w:ascii="Arial" w:cs="Arial" w:eastAsia="Arial" w:hAnsi="Arial"/>
          <w:sz w:val="22"/>
          <w:szCs w:val="22"/>
          <w:color w:val="auto"/>
        </w:rPr>
        <w:t xml:space="preserve"> Notwithstanding anything contained elsewhere in this Agreement, you are authorized to make any disclosure required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54" w:lineRule="auto"/>
        <w:rPr>
          <w:sz w:val="20"/>
          <w:szCs w:val="20"/>
          <w:color w:val="auto"/>
        </w:rPr>
      </w:pPr>
      <w:r>
        <w:rPr>
          <w:rFonts w:ascii="Arial" w:cs="Arial" w:eastAsia="Arial" w:hAnsi="Arial"/>
          <w:sz w:val="22"/>
          <w:szCs w:val="22"/>
          <w:color w:val="auto"/>
        </w:rPr>
        <w:t>you by any federal, state or local laws or judicial, arbitral or governmental agency proceedings, after providing the Company with prior written notice and an opportunity to respond prior to such disclosure. In addition, this Agreement in no way restricts or prevents you from providing truthful testimony concerning the Company to judicial, administrative, regulatory or other governmental authorities.</w:t>
      </w:r>
    </w:p>
    <w:p>
      <w:pPr>
        <w:spacing w:after="0" w:line="212"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9"/>
          <w:szCs w:val="19"/>
          <w:color w:val="auto"/>
        </w:rPr>
        <w:t>By signing this Agreement, you acknowledge that you have been advised that pursuant to the federal Defend Trade Secrets Act of 2016, you may not be held criminally or civilly liable under any federal or state trade secret law for disclosing a trade secret:</w:t>
      </w:r>
    </w:p>
    <w:p>
      <w:pPr>
        <w:spacing w:after="0" w:line="1" w:lineRule="exact"/>
        <w:rPr>
          <w:sz w:val="20"/>
          <w:szCs w:val="20"/>
          <w:color w:val="auto"/>
        </w:rPr>
      </w:pPr>
    </w:p>
    <w:p>
      <w:pPr>
        <w:jc w:val="both"/>
        <w:ind w:firstLine="8"/>
        <w:spacing w:after="0" w:line="293" w:lineRule="auto"/>
        <w:tabs>
          <w:tab w:leader="none" w:pos="316"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confidence, to a federal, state, or local government official, or to your attorneys, for the purpose of reporting or investigating a suspected violation of the law; or (ii) in a complaint or other court document filed in connection with a lawsuit or court proceeding, provided that said filing is made under seal. In addition, you acknowledge that you have been advised that if you file an action for retaliation against the Company for reporting a suspected violation of law, you may disclose a trade secret to your attorneys and use the trade secret in connection with the court proceeding provided that you: (i) file any document containing the trade secret under seal; and (ii) do not disclose the trade secret, except pursuant to court order.</w:t>
      </w:r>
    </w:p>
    <w:p>
      <w:pPr>
        <w:spacing w:after="0" w:line="171"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Non-Compete</w:t>
      </w:r>
    </w:p>
    <w:p>
      <w:pPr>
        <w:spacing w:after="0" w:line="2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Arial" w:cs="Arial" w:eastAsia="Arial" w:hAnsi="Arial"/>
          <w:sz w:val="19"/>
          <w:szCs w:val="19"/>
          <w:i w:val="1"/>
          <w:iCs w:val="1"/>
          <w:color w:val="auto"/>
        </w:rPr>
        <w:t>Competitive Entity</w:t>
      </w:r>
      <w:r>
        <w:rPr>
          <w:rFonts w:ascii="Arial" w:cs="Arial" w:eastAsia="Arial" w:hAnsi="Arial"/>
          <w:sz w:val="19"/>
          <w:szCs w:val="19"/>
          <w:color w:val="auto"/>
        </w:rPr>
        <w:t>” shall mean (1) any person, entity or business that (i) competes with any of the Company’s or any of its affiliates’ programming, distribution or other existing businesses, internationally,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one year following the date on which your employment with the Company has terminated if such termination occurs prior to the Reference Date.</w:t>
      </w:r>
    </w:p>
    <w:p>
      <w:pPr>
        <w:spacing w:after="0" w:line="200" w:lineRule="exact"/>
        <w:rPr>
          <w:sz w:val="20"/>
          <w:szCs w:val="20"/>
          <w:color w:val="auto"/>
        </w:rPr>
      </w:pPr>
    </w:p>
    <w:p>
      <w:pPr>
        <w:spacing w:after="0" w:line="223"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Understandings</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8" w:right="339" w:bottom="1440" w:gutter="0" w:footer="0" w:header="0"/>
        </w:sectPr>
      </w:pPr>
    </w:p>
    <w:bookmarkStart w:id="56" w:name="page57"/>
    <w:bookmarkEnd w:id="56"/>
    <w:p>
      <w:pPr>
        <w:jc w:val="both"/>
        <w:ind w:firstLine="648"/>
        <w:spacing w:after="0" w:line="253" w:lineRule="auto"/>
        <w:rPr>
          <w:sz w:val="20"/>
          <w:szCs w:val="20"/>
          <w:color w:val="auto"/>
        </w:rPr>
      </w:pPr>
      <w:r>
        <w:rPr>
          <w:rFonts w:ascii="Arial" w:cs="Arial" w:eastAsia="Arial" w:hAnsi="Arial"/>
          <w:sz w:val="22"/>
          <w:szCs w:val="22"/>
          <w:color w:val="auto"/>
        </w:rPr>
        <w:t>This agreement in no way restricts or prevents you from providing truthful testimony concerning the Company or its affiliates as required by court order or other legal process; provided that you afford the Company written notice and an opportunity to respond prior to such disclosure.</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Arial" w:cs="Arial" w:eastAsia="Arial" w:hAnsi="Arial"/>
          <w:sz w:val="22"/>
          <w:szCs w:val="22"/>
          <w:i w:val="1"/>
          <w:iCs w:val="1"/>
          <w:color w:val="auto"/>
        </w:rPr>
        <w:t>Materials</w:t>
      </w:r>
      <w:r>
        <w:rPr>
          <w:rFonts w:ascii="Arial" w:cs="Arial" w:eastAsia="Arial" w:hAnsi="Arial"/>
          <w:sz w:val="22"/>
          <w:szCs w:val="22"/>
          <w:color w:val="auto"/>
        </w:rPr>
        <w:t>”). The Company will have the sole and exclusive authority to use the Materials in any manner that it deems appropriate, in perpetuity, without additional payment to you.</w:t>
      </w:r>
    </w:p>
    <w:p>
      <w:pPr>
        <w:spacing w:after="0" w:line="216"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Further Cooperation</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w:t>
      </w:r>
    </w:p>
    <w:p>
      <w:pPr>
        <w:spacing w:after="0" w:line="174"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No Hire or Solicit</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Throughout your employment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This restriction does not apply to any employee who was discharged by the Company or any of its affiliates. In addition, this restriction will not prevent you from providing references.</w:t>
      </w:r>
    </w:p>
    <w:p>
      <w:pPr>
        <w:spacing w:after="0" w:line="210"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You acknowledge that the restrictions contained in this </w:t>
      </w:r>
      <w:r>
        <w:rPr>
          <w:rFonts w:ascii="Arial" w:cs="Arial" w:eastAsia="Arial" w:hAnsi="Arial"/>
          <w:sz w:val="21"/>
          <w:szCs w:val="21"/>
          <w:i w:val="1"/>
          <w:iCs w:val="1"/>
          <w:color w:val="auto"/>
        </w:rPr>
        <w:t>Annex</w:t>
      </w:r>
      <w:r>
        <w:rPr>
          <w:rFonts w:ascii="Arial" w:cs="Arial" w:eastAsia="Arial" w:hAnsi="Arial"/>
          <w:sz w:val="21"/>
          <w:szCs w:val="21"/>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Arial" w:cs="Arial" w:eastAsia="Arial" w:hAnsi="Arial"/>
          <w:sz w:val="21"/>
          <w:szCs w:val="21"/>
          <w:i w:val="1"/>
          <w:iCs w:val="1"/>
          <w:color w:val="auto"/>
        </w:rPr>
        <w:t>Annex</w:t>
      </w:r>
      <w:r>
        <w:rPr>
          <w:rFonts w:ascii="Arial" w:cs="Arial" w:eastAsia="Arial" w:hAnsi="Arial"/>
          <w:sz w:val="21"/>
          <w:szCs w:val="21"/>
          <w:color w:val="auto"/>
        </w:rPr>
        <w:t>, and therefore agree that the Company shall be entitled to injunctive relief to prevent any breach or threatened breach of any of the provisions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8" w:right="339" w:bottom="1440" w:gutter="0" w:footer="0" w:header="0"/>
        </w:sectPr>
      </w:pPr>
    </w:p>
    <w:bookmarkStart w:id="57" w:name="page58"/>
    <w:bookmarkEnd w:id="57"/>
    <w:p>
      <w:pPr>
        <w:jc w:val="both"/>
        <w:spacing w:after="0" w:line="290" w:lineRule="auto"/>
        <w:rPr>
          <w:sz w:val="20"/>
          <w:szCs w:val="20"/>
          <w:color w:val="auto"/>
        </w:rPr>
      </w:pPr>
      <w:r>
        <w:rPr>
          <w:rFonts w:ascii="Arial" w:cs="Arial" w:eastAsia="Arial" w:hAnsi="Arial"/>
          <w:sz w:val="19"/>
          <w:szCs w:val="19"/>
          <w:color w:val="auto"/>
        </w:rPr>
        <w:t xml:space="preserve">specific performance of the terms of each of such provisions in addition to any other legal or equitable remedy it may have. You further agree that you will not, in any equity proceeding relating to the enforcement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raise the defense that the Company has an adequate remedy at law. Nothing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construed as prohibiting the Company from pursuing any other remedies at law or in equity that it may have or any other rights that it may have under any other agreement. If it is determined that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174"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Survival</w:t>
      </w:r>
    </w:p>
    <w:p>
      <w:pPr>
        <w:spacing w:after="0" w:line="22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The covenants and agreement set forth in this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survive any termination or expiration of the Agreement and any termination of your employment with the Company,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28" w:right="339" w:bottom="1440" w:gutter="0" w:footer="0" w:header="0"/>
        </w:sectPr>
      </w:pPr>
    </w:p>
    <w:bookmarkStart w:id="58" w:name="page59"/>
    <w:bookmarkEnd w:id="58"/>
    <w:p>
      <w:pPr>
        <w:ind w:left="5140"/>
        <w:spacing w:after="0"/>
        <w:rPr>
          <w:sz w:val="20"/>
          <w:szCs w:val="20"/>
          <w:color w:val="auto"/>
        </w:rPr>
      </w:pPr>
      <w:r>
        <w:rPr>
          <w:rFonts w:ascii="Arial" w:cs="Arial" w:eastAsia="Arial" w:hAnsi="Arial"/>
          <w:sz w:val="22"/>
          <w:szCs w:val="22"/>
          <w:b w:val="1"/>
          <w:bCs w:val="1"/>
          <w:i w:val="1"/>
          <w:iCs w:val="1"/>
          <w:color w:val="auto"/>
        </w:rPr>
        <w:t>ANNEX II</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Participation on the boards of the following groups and educational institutions:</w:t>
      </w:r>
    </w:p>
    <w:p>
      <w:pPr>
        <w:spacing w:after="0" w:line="28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Cosmetic Executive Women Foundation</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New York Women in Communications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American Advertising Federation</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University of Wisconsin – Madison School of Journalism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139"/>
          </w:cols>
          <w:pgMar w:left="320" w:top="1401"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w w:val="93"/>
              </w:rPr>
              <w:t>Exhibit 22</w:t>
            </w:r>
          </w:p>
        </w:tc>
      </w:tr>
      <w:tr>
        <w:trPr>
          <w:trHeight w:val="688"/>
        </w:trPr>
        <w:tc>
          <w:tcPr>
            <w:tcW w:w="9100" w:type="dxa"/>
            <w:vAlign w:val="bottom"/>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w w:val="95"/>
              </w:rPr>
              <w:t>As of June 30, 2023, the following subsidiaries of AMC Networks Inc. guarantee the notes issued by AMC Networks Inc.</w:t>
            </w: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40"/>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20"/>
                <w:szCs w:val="20"/>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61st Street Productions 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Across the River Productions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Aesir Media Group,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AMC Games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AMC Network Entertainment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AMC Networks International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AMC Networks Productions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AMC Plus Holdings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AMC Premiere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AMC TV Studios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AMCN Properties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Animal Control Productions I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Anime Network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Anthem Productions I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Badlands Productions 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Louisiana</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Badlands Productions II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Brockmire Productions 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Cobalt Productions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Comic Scribe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Crossed Pens Development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Dark Winds Productions 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Store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Dispatches Productions 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Expedition Productions I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Five Families Productions 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Five Moons Productions I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Geese Productions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Ground Work Productions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Halt and Catch Fire Productions 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IV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Halt and Catch Fire Productions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Hap and Leonard Productions II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Hap and Leonard Productions III LLC</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HIDIVE LLC</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Entertainment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Entertainment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Films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In Theaters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Television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Theatres,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TV Studios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Infinite Frontiers,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Japan Creative Contents Alliance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Kindred Spirit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Kopus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Kopus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Lodge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Mechanical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Moonhaven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Newfound Lake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NOS4A2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Rhode Island</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Peach Pit Properties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Peachwood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Premier Quills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AMC Content Distribution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Media Enterprises, Inc.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Red Monday Programming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RNC Holding Corporation</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RNC II Holding Corporation</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Roughhouse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Selects VOD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Sentai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Texas</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Sentai Filmworks,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Shudder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Stalwart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Stan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 Film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Sxion 23,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Tales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X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Unio Mystica Holding,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Universe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Vampire Chronicles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Studios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Woodbury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Kristin A. Dolan,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Date:  August 4, 2023</w:t>
            </w:r>
          </w:p>
        </w:tc>
        <w:tc>
          <w:tcPr>
            <w:tcW w:w="6300" w:type="dxa"/>
            <w:vAlign w:val="bottom"/>
            <w:gridSpan w:val="2"/>
          </w:tcPr>
          <w:p>
            <w:pPr>
              <w:ind w:left="2420"/>
              <w:spacing w:after="0"/>
              <w:rPr>
                <w:sz w:val="20"/>
                <w:szCs w:val="20"/>
                <w:color w:val="auto"/>
              </w:rPr>
            </w:pPr>
            <w:r>
              <w:rPr>
                <w:rFonts w:ascii="Arial" w:cs="Arial" w:eastAsia="Arial" w:hAnsi="Arial"/>
                <w:sz w:val="18"/>
                <w:szCs w:val="18"/>
                <w:color w:val="auto"/>
              </w:rPr>
              <w:t>By:  /s/ Kristin A. Dolan</w:t>
            </w:r>
          </w:p>
        </w:tc>
      </w:tr>
      <w:tr>
        <w:trPr>
          <w:trHeight w:val="222"/>
        </w:trPr>
        <w:tc>
          <w:tcPr>
            <w:tcW w:w="4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Kristin A. Dolan</w:t>
            </w:r>
          </w:p>
        </w:tc>
      </w:tr>
      <w:tr>
        <w:trPr>
          <w:trHeight w:val="230"/>
        </w:trPr>
        <w:tc>
          <w:tcPr>
            <w:tcW w:w="4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Patrick O’Connell, certify that:</w:t>
      </w:r>
    </w:p>
    <w:p>
      <w:pPr>
        <w:spacing w:after="0" w:line="17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Date:  August 4, 2023</w:t>
            </w:r>
          </w:p>
        </w:tc>
        <w:tc>
          <w:tcPr>
            <w:tcW w:w="5980" w:type="dxa"/>
            <w:vAlign w:val="bottom"/>
            <w:gridSpan w:val="2"/>
          </w:tcPr>
          <w:p>
            <w:pPr>
              <w:ind w:left="2420"/>
              <w:spacing w:after="0"/>
              <w:rPr>
                <w:sz w:val="20"/>
                <w:szCs w:val="20"/>
                <w:color w:val="auto"/>
              </w:rPr>
            </w:pPr>
            <w:r>
              <w:rPr>
                <w:rFonts w:ascii="Arial" w:cs="Arial" w:eastAsia="Arial" w:hAnsi="Arial"/>
                <w:sz w:val="18"/>
                <w:szCs w:val="18"/>
                <w:color w:val="auto"/>
              </w:rPr>
              <w:t>By:  /s/ Patrick O’Connell</w:t>
            </w:r>
          </w:p>
        </w:tc>
      </w:tr>
      <w:tr>
        <w:trPr>
          <w:trHeight w:val="222"/>
        </w:trPr>
        <w:tc>
          <w:tcPr>
            <w:tcW w:w="4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Patrick O’Connell</w:t>
            </w:r>
          </w:p>
        </w:tc>
      </w:tr>
      <w:tr>
        <w:trPr>
          <w:trHeight w:val="189"/>
        </w:trPr>
        <w:tc>
          <w:tcPr>
            <w:tcW w:w="4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1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w:t>
            </w:r>
          </w:p>
        </w:tc>
      </w:tr>
      <w:tr>
        <w:trPr>
          <w:trHeight w:val="230"/>
        </w:trPr>
        <w:tc>
          <w:tcPr>
            <w:tcW w:w="4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June 30, 2023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20"/>
              <w:spacing w:after="0"/>
              <w:rPr>
                <w:sz w:val="20"/>
                <w:szCs w:val="20"/>
                <w:color w:val="auto"/>
              </w:rPr>
            </w:pPr>
            <w:r>
              <w:rPr>
                <w:rFonts w:ascii="Arial" w:cs="Arial" w:eastAsia="Arial" w:hAnsi="Arial"/>
                <w:sz w:val="18"/>
                <w:szCs w:val="18"/>
                <w:color w:val="auto"/>
              </w:rPr>
              <w:t>August 4, 2023</w:t>
            </w:r>
          </w:p>
        </w:tc>
        <w:tc>
          <w:tcPr>
            <w:tcW w:w="3080" w:type="dxa"/>
            <w:vAlign w:val="bottom"/>
          </w:tcPr>
          <w:p>
            <w:pPr>
              <w:ind w:left="264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Kristin A. Dolan</w:t>
            </w:r>
          </w:p>
        </w:tc>
      </w:tr>
      <w:tr>
        <w:trPr>
          <w:trHeight w:val="224"/>
        </w:trPr>
        <w:tc>
          <w:tcPr>
            <w:tcW w:w="5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Kristin A. Dolan</w:t>
            </w:r>
          </w:p>
        </w:tc>
      </w:tr>
      <w:tr>
        <w:trPr>
          <w:trHeight w:val="242"/>
        </w:trPr>
        <w:tc>
          <w:tcPr>
            <w:tcW w:w="5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r>
      <w:tr>
        <w:trPr>
          <w:trHeight w:val="62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20"/>
              <w:spacing w:after="0"/>
              <w:rPr>
                <w:sz w:val="20"/>
                <w:szCs w:val="20"/>
                <w:color w:val="auto"/>
              </w:rPr>
            </w:pPr>
            <w:r>
              <w:rPr>
                <w:rFonts w:ascii="Arial" w:cs="Arial" w:eastAsia="Arial" w:hAnsi="Arial"/>
                <w:sz w:val="18"/>
                <w:szCs w:val="18"/>
                <w:color w:val="auto"/>
              </w:rPr>
              <w:t>August 4, 2023</w:t>
            </w:r>
          </w:p>
        </w:tc>
        <w:tc>
          <w:tcPr>
            <w:tcW w:w="3080" w:type="dxa"/>
            <w:vAlign w:val="bottom"/>
          </w:tcPr>
          <w:p>
            <w:pPr>
              <w:ind w:left="26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O’Connell</w:t>
            </w:r>
          </w:p>
        </w:tc>
      </w:tr>
      <w:tr>
        <w:trPr>
          <w:trHeight w:val="222"/>
        </w:trPr>
        <w:tc>
          <w:tcPr>
            <w:tcW w:w="5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Patrick O’Connell</w:t>
            </w:r>
          </w:p>
        </w:tc>
      </w:tr>
      <w:tr>
        <w:trPr>
          <w:trHeight w:val="189"/>
        </w:trPr>
        <w:tc>
          <w:tcPr>
            <w:tcW w:w="5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00" w:type="dxa"/>
            <w:vAlign w:val="bottom"/>
          </w:tcPr>
          <w:p>
            <w:pPr>
              <w:spacing w:after="0" w:line="189" w:lineRule="exact"/>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2"/>
      <w:numFmt w:val="bullet"/>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decimal"/>
      <w:start w:val="22"/>
    </w:lvl>
  </w:abstractNum>
  <w:abstractNum w:abstractNumId="14">
    <w:nsid w:val="721DA317"/>
    <w:multiLevelType w:val="hybridMultilevel"/>
    <w:lvl w:ilvl="0">
      <w:lvlJc w:val="left"/>
      <w:lvlText w:val="%1"/>
      <w:numFmt w:val="decimal"/>
      <w:start w:val="32"/>
    </w:lvl>
  </w:abstractNum>
  <w:abstractNum w:abstractNumId="15">
    <w:nsid w:val="2443A858"/>
    <w:multiLevelType w:val="hybridMultilevel"/>
    <w:lvl w:ilvl="0">
      <w:lvlJc w:val="left"/>
      <w:lvlText w:val="%1"/>
      <w:numFmt w:val="decimal"/>
      <w:start w:val="104"/>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4"/>
    </w:lvl>
  </w:abstractNum>
  <w:abstractNum w:abstractNumId="18">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3"/>
    </w:lvl>
  </w:abstractNum>
  <w:abstractNum w:abstractNumId="22">
    <w:nsid w:val="B03E0C6"/>
    <w:multiLevelType w:val="hybridMultilevel"/>
    <w:lvl w:ilvl="0">
      <w:lvlJc w:val="left"/>
      <w:lvlText w:val="%1."/>
      <w:numFmt w:val="decimal"/>
      <w:start w:val="4"/>
    </w:lvl>
  </w:abstractNum>
  <w:abstractNum w:abstractNumId="23">
    <w:nsid w:val="189A769B"/>
    <w:multiLevelType w:val="hybridMultilevel"/>
    <w:lvl w:ilvl="0">
      <w:lvlJc w:val="left"/>
      <w:lvlText w:val="%1."/>
      <w:numFmt w:val="decimal"/>
      <w:start w:val="5"/>
    </w:lvl>
  </w:abstractNum>
  <w:abstractNum w:abstractNumId="24">
    <w:nsid w:val="54E49EB4"/>
    <w:multiLevelType w:val="hybridMultilevel"/>
    <w:lvl w:ilvl="0">
      <w:lvlJc w:val="left"/>
      <w:lvlText w:val="%1."/>
      <w:numFmt w:val="decimal"/>
      <w:start w:val="6"/>
    </w:lvl>
  </w:abstractNum>
  <w:abstractNum w:abstractNumId="25">
    <w:nsid w:val="71F32454"/>
    <w:multiLevelType w:val="hybridMultilevel"/>
    <w:lvl w:ilvl="0">
      <w:lvlJc w:val="left"/>
      <w:lvlText w:val="%1."/>
      <w:numFmt w:val="decimal"/>
      <w:start w:val="7"/>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67" Type="http://schemas.openxmlformats.org/officeDocument/2006/relationships/hyperlink" Target="https://www.sec.gov/Archives/edgar/data/1514991/000151499123000017/amc-amendmentno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2023-08-04T15:11:59Z</dcterms:created>
  <dcterms:modified xsi:type="dcterms:W3CDTF">2023-08-04T15:11:59Z</dcterms:modified>
</cp:coreProperties>
</file>