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57150</wp:posOffset>
            </wp:positionV>
            <wp:extent cx="32918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90805</wp:posOffset>
            </wp:positionV>
            <wp:extent cx="32918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ind w:left="2180" w:hanging="588"/>
        <w:spacing w:after="0"/>
        <w:tabs>
          <w:tab w:leader="none" w:pos="2180" w:val="left"/>
        </w:tabs>
        <w:numPr>
          <w:ilvl w:val="0"/>
          <w:numId w:val="1"/>
        </w:numPr>
        <w:rPr>
          <w:rFonts w:ascii="MS PGothic" w:cs="MS PGothic" w:eastAsia="MS PGothic" w:hAnsi="MS PGothic"/>
          <w:sz w:val="43"/>
          <w:szCs w:val="43"/>
          <w:color w:val="auto"/>
          <w:vertAlign w:val="superscript"/>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ind w:left="2180" w:hanging="588"/>
        <w:spacing w:after="0" w:line="193" w:lineRule="auto"/>
        <w:tabs>
          <w:tab w:leader="none" w:pos="2180" w:val="left"/>
        </w:tabs>
        <w:numPr>
          <w:ilvl w:val="0"/>
          <w:numId w:val="2"/>
        </w:numPr>
        <w:rPr>
          <w:rFonts w:ascii="MS PGothic" w:cs="MS PGothic" w:eastAsia="MS PGothic" w:hAnsi="MS PGothic"/>
          <w:sz w:val="43"/>
          <w:szCs w:val="43"/>
          <w:color w:val="auto"/>
          <w:vertAlign w:val="superscript"/>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7"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39"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Commission File Number: 1-35106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105410</wp:posOffset>
            </wp:positionV>
            <wp:extent cx="32918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57" w:lineRule="exact"/>
        <w:rPr>
          <w:sz w:val="24"/>
          <w:szCs w:val="24"/>
          <w:color w:val="auto"/>
        </w:rPr>
      </w:pPr>
    </w:p>
    <w:tbl>
      <w:tblPr>
        <w:tblLayout w:type="fixed"/>
        <w:tblInd w:w="760" w:type="dxa"/>
        <w:tblCellMar>
          <w:top w:w="0" w:type="dxa"/>
          <w:left w:w="0" w:type="dxa"/>
          <w:bottom w:w="0" w:type="dxa"/>
          <w:right w:w="0" w:type="dxa"/>
        </w:tblCellMar>
      </w:tblPr>
      <w:tr>
        <w:trPr>
          <w:trHeight w:val="383"/>
        </w:trPr>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0" w:type="dxa"/>
            <w:vAlign w:val="bottom"/>
          </w:tcPr>
          <w:p>
            <w:pPr>
              <w:jc w:val="center"/>
              <w:ind w:right="23"/>
              <w:spacing w:after="0"/>
              <w:rPr>
                <w:sz w:val="20"/>
                <w:szCs w:val="20"/>
                <w:color w:val="auto"/>
              </w:rPr>
            </w:pPr>
            <w:r>
              <w:rPr>
                <w:rFonts w:ascii="Times New Roman" w:cs="Times New Roman" w:eastAsia="Times New Roman" w:hAnsi="Times New Roman"/>
                <w:sz w:val="29"/>
                <w:szCs w:val="29"/>
                <w:b w:val="1"/>
                <w:bCs w:val="1"/>
                <w:color w:val="auto"/>
                <w:w w:val="99"/>
              </w:rPr>
              <w:t>AMC Global Media Inc.</w:t>
            </w:r>
          </w:p>
        </w:tc>
        <w:tc>
          <w:tcPr>
            <w:tcW w:w="9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57"/>
        </w:trPr>
        <w:tc>
          <w:tcPr>
            <w:tcW w:w="2280" w:type="dxa"/>
            <w:vAlign w:val="bottom"/>
          </w:tcPr>
          <w:p>
            <w:pPr>
              <w:spacing w:after="0"/>
              <w:rPr>
                <w:sz w:val="22"/>
                <w:szCs w:val="22"/>
                <w:color w:val="auto"/>
              </w:rPr>
            </w:pPr>
          </w:p>
        </w:tc>
        <w:tc>
          <w:tcPr>
            <w:tcW w:w="7300" w:type="dxa"/>
            <w:vAlign w:val="bottom"/>
            <w:gridSpan w:val="4"/>
          </w:tcPr>
          <w:p>
            <w:pPr>
              <w:jc w:val="center"/>
              <w:ind w:right="212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73"/>
        </w:trPr>
        <w:tc>
          <w:tcPr>
            <w:tcW w:w="2280" w:type="dxa"/>
            <w:vAlign w:val="bottom"/>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32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120" w:type="dxa"/>
            <w:vAlign w:val="bottom"/>
          </w:tcPr>
          <w:p>
            <w:pPr>
              <w:spacing w:after="0"/>
              <w:rPr>
                <w:sz w:val="6"/>
                <w:szCs w:val="6"/>
                <w:color w:val="auto"/>
              </w:rPr>
            </w:pPr>
          </w:p>
        </w:tc>
      </w:tr>
      <w:tr>
        <w:trPr>
          <w:trHeight w:val="428"/>
        </w:trPr>
        <w:tc>
          <w:tcPr>
            <w:tcW w:w="3320" w:type="dxa"/>
            <w:vAlign w:val="bottom"/>
            <w:gridSpan w:val="2"/>
          </w:tcPr>
          <w:p>
            <w:pPr>
              <w:jc w:val="center"/>
              <w:ind w:left="699"/>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200" w:type="dxa"/>
            <w:vAlign w:val="bottom"/>
          </w:tcPr>
          <w:p>
            <w:pPr>
              <w:spacing w:after="0"/>
              <w:rPr>
                <w:sz w:val="24"/>
                <w:szCs w:val="24"/>
                <w:color w:val="auto"/>
              </w:rPr>
            </w:pPr>
          </w:p>
        </w:tc>
        <w:tc>
          <w:tcPr>
            <w:tcW w:w="306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b w:val="1"/>
                <w:bCs w:val="1"/>
                <w:color w:val="auto"/>
              </w:rPr>
              <w:t>27-5403694</w:t>
            </w:r>
          </w:p>
        </w:tc>
      </w:tr>
      <w:tr>
        <w:trPr>
          <w:trHeight w:val="148"/>
        </w:trPr>
        <w:tc>
          <w:tcPr>
            <w:tcW w:w="3320" w:type="dxa"/>
            <w:vAlign w:val="bottom"/>
            <w:gridSpan w:val="2"/>
          </w:tcPr>
          <w:p>
            <w:pPr>
              <w:jc w:val="center"/>
              <w:ind w:left="7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00" w:type="dxa"/>
            <w:vAlign w:val="bottom"/>
          </w:tcPr>
          <w:p>
            <w:pPr>
              <w:spacing w:after="0"/>
              <w:rPr>
                <w:sz w:val="12"/>
                <w:szCs w:val="12"/>
                <w:color w:val="auto"/>
              </w:rPr>
            </w:pPr>
          </w:p>
        </w:tc>
        <w:tc>
          <w:tcPr>
            <w:tcW w:w="306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320" w:type="dxa"/>
            <w:vAlign w:val="bottom"/>
            <w:gridSpan w:val="2"/>
          </w:tcPr>
          <w:p>
            <w:pPr>
              <w:jc w:val="center"/>
              <w:ind w:left="7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00" w:type="dxa"/>
            <w:vAlign w:val="bottom"/>
          </w:tcPr>
          <w:p>
            <w:pPr>
              <w:spacing w:after="0"/>
              <w:rPr>
                <w:sz w:val="16"/>
                <w:szCs w:val="16"/>
                <w:color w:val="auto"/>
              </w:rPr>
            </w:pPr>
          </w:p>
        </w:tc>
        <w:tc>
          <w:tcPr>
            <w:tcW w:w="306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5"/>
        </w:trPr>
        <w:tc>
          <w:tcPr>
            <w:tcW w:w="3320" w:type="dxa"/>
            <w:vAlign w:val="bottom"/>
            <w:gridSpan w:val="2"/>
          </w:tcPr>
          <w:p>
            <w:pPr>
              <w:jc w:val="center"/>
              <w:ind w:left="719"/>
              <w:spacing w:after="0"/>
              <w:rPr>
                <w:sz w:val="20"/>
                <w:szCs w:val="20"/>
                <w:color w:val="auto"/>
              </w:rPr>
            </w:pPr>
            <w:r>
              <w:rPr>
                <w:rFonts w:ascii="Times New Roman" w:cs="Times New Roman" w:eastAsia="Times New Roman" w:hAnsi="Times New Roman"/>
                <w:sz w:val="18"/>
                <w:szCs w:val="18"/>
                <w:b w:val="1"/>
                <w:bCs w:val="1"/>
                <w:color w:val="auto"/>
                <w:w w:val="99"/>
              </w:rPr>
              <w:t>11 Penn Plaza,</w:t>
            </w:r>
          </w:p>
        </w:tc>
        <w:tc>
          <w:tcPr>
            <w:tcW w:w="3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27"/>
        </w:trPr>
        <w:tc>
          <w:tcPr>
            <w:tcW w:w="332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New York, NY</w:t>
            </w:r>
          </w:p>
        </w:tc>
        <w:tc>
          <w:tcPr>
            <w:tcW w:w="3200" w:type="dxa"/>
            <w:vAlign w:val="bottom"/>
          </w:tcPr>
          <w:p>
            <w:pPr>
              <w:spacing w:after="0"/>
              <w:rPr>
                <w:sz w:val="19"/>
                <w:szCs w:val="19"/>
                <w:color w:val="auto"/>
              </w:rPr>
            </w:pPr>
          </w:p>
        </w:tc>
        <w:tc>
          <w:tcPr>
            <w:tcW w:w="3060" w:type="dxa"/>
            <w:vAlign w:val="bottom"/>
            <w:gridSpan w:val="2"/>
          </w:tcPr>
          <w:p>
            <w:pPr>
              <w:jc w:val="right"/>
              <w:ind w:right="168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190"/>
        </w:trPr>
        <w:tc>
          <w:tcPr>
            <w:tcW w:w="3320" w:type="dxa"/>
            <w:vAlign w:val="bottom"/>
            <w:gridSpan w:val="2"/>
          </w:tcPr>
          <w:p>
            <w:pPr>
              <w:jc w:val="center"/>
              <w:ind w:left="6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00" w:type="dxa"/>
            <w:vAlign w:val="bottom"/>
          </w:tcPr>
          <w:p>
            <w:pPr>
              <w:spacing w:after="0"/>
              <w:rPr>
                <w:sz w:val="16"/>
                <w:szCs w:val="16"/>
                <w:color w:val="auto"/>
              </w:rPr>
            </w:pPr>
          </w:p>
        </w:tc>
        <w:tc>
          <w:tcPr>
            <w:tcW w:w="306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63"/>
        </w:trPr>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0" w:type="dxa"/>
            <w:vAlign w:val="bottom"/>
          </w:tcPr>
          <w:p>
            <w:pPr>
              <w:jc w:val="center"/>
              <w:ind w:right="23"/>
              <w:spacing w:after="0"/>
              <w:rPr>
                <w:sz w:val="20"/>
                <w:szCs w:val="20"/>
                <w:color w:val="auto"/>
              </w:rPr>
            </w:pPr>
            <w:r>
              <w:rPr>
                <w:rFonts w:ascii="Times New Roman" w:cs="Times New Roman" w:eastAsia="Times New Roman" w:hAnsi="Times New Roman"/>
                <w:sz w:val="18"/>
                <w:szCs w:val="18"/>
                <w:b w:val="1"/>
                <w:bCs w:val="1"/>
                <w:color w:val="auto"/>
                <w:w w:val="99"/>
              </w:rPr>
              <w:t>(212) 324-8500</w:t>
            </w:r>
          </w:p>
        </w:tc>
        <w:tc>
          <w:tcPr>
            <w:tcW w:w="9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90"/>
        </w:trPr>
        <w:tc>
          <w:tcPr>
            <w:tcW w:w="2280" w:type="dxa"/>
            <w:vAlign w:val="bottom"/>
          </w:tcPr>
          <w:p>
            <w:pPr>
              <w:spacing w:after="0"/>
              <w:rPr>
                <w:sz w:val="16"/>
                <w:szCs w:val="16"/>
                <w:color w:val="auto"/>
              </w:rPr>
            </w:pPr>
          </w:p>
        </w:tc>
        <w:tc>
          <w:tcPr>
            <w:tcW w:w="4240" w:type="dxa"/>
            <w:vAlign w:val="bottom"/>
            <w:gridSpan w:val="2"/>
          </w:tcPr>
          <w:p>
            <w:pPr>
              <w:jc w:val="center"/>
              <w:ind w:left="84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94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687"/>
        </w:trPr>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0" w:type="dxa"/>
            <w:vAlign w:val="bottom"/>
          </w:tcPr>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AMC Networks Inc.</w:t>
            </w:r>
          </w:p>
        </w:tc>
        <w:tc>
          <w:tcPr>
            <w:tcW w:w="9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90"/>
        </w:trPr>
        <w:tc>
          <w:tcPr>
            <w:tcW w:w="2280" w:type="dxa"/>
            <w:vAlign w:val="bottom"/>
          </w:tcPr>
          <w:p>
            <w:pPr>
              <w:spacing w:after="0"/>
              <w:rPr>
                <w:sz w:val="16"/>
                <w:szCs w:val="16"/>
                <w:color w:val="auto"/>
              </w:rPr>
            </w:pPr>
          </w:p>
        </w:tc>
        <w:tc>
          <w:tcPr>
            <w:tcW w:w="7300" w:type="dxa"/>
            <w:vAlign w:val="bottom"/>
            <w:gridSpan w:val="4"/>
          </w:tcPr>
          <w:p>
            <w:pPr>
              <w:jc w:val="center"/>
              <w:ind w:right="214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r>
      <w:tr>
        <w:trPr>
          <w:trHeight w:val="648"/>
        </w:trPr>
        <w:tc>
          <w:tcPr>
            <w:tcW w:w="2280" w:type="dxa"/>
            <w:vAlign w:val="bottom"/>
          </w:tcPr>
          <w:p>
            <w:pPr>
              <w:spacing w:after="0"/>
              <w:rPr>
                <w:sz w:val="24"/>
                <w:szCs w:val="24"/>
                <w:color w:val="auto"/>
              </w:rPr>
            </w:pPr>
          </w:p>
        </w:tc>
        <w:tc>
          <w:tcPr>
            <w:tcW w:w="7300" w:type="dxa"/>
            <w:vAlign w:val="bottom"/>
            <w:gridSpan w:val="4"/>
          </w:tcPr>
          <w:p>
            <w:pPr>
              <w:jc w:val="center"/>
              <w:ind w:right="214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247"/>
        </w:trPr>
        <w:tc>
          <w:tcPr>
            <w:tcW w:w="33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00" w:type="dxa"/>
            <w:vAlign w:val="bottom"/>
          </w:tcPr>
          <w:p>
            <w:pPr>
              <w:jc w:val="center"/>
              <w:ind w:right="63"/>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0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6"/>
        </w:trPr>
        <w:tc>
          <w:tcPr>
            <w:tcW w:w="33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Class A Common Stock, par value $0.01 per share</w:t>
            </w:r>
          </w:p>
        </w:tc>
        <w:tc>
          <w:tcPr>
            <w:tcW w:w="3200" w:type="dxa"/>
            <w:vAlign w:val="bottom"/>
          </w:tcPr>
          <w:p>
            <w:pPr>
              <w:jc w:val="center"/>
              <w:ind w:right="63"/>
              <w:spacing w:after="0"/>
              <w:rPr>
                <w:sz w:val="20"/>
                <w:szCs w:val="20"/>
                <w:color w:val="auto"/>
              </w:rPr>
            </w:pPr>
            <w:r>
              <w:rPr>
                <w:rFonts w:ascii="Times New Roman" w:cs="Times New Roman" w:eastAsia="Times New Roman" w:hAnsi="Times New Roman"/>
                <w:sz w:val="16"/>
                <w:szCs w:val="16"/>
                <w:color w:val="auto"/>
                <w:w w:val="99"/>
              </w:rPr>
              <w:t>AMCX</w:t>
            </w:r>
          </w:p>
        </w:tc>
        <w:tc>
          <w:tcPr>
            <w:tcW w:w="30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128"/>
        </w:trPr>
        <w:tc>
          <w:tcPr>
            <w:tcW w:w="228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2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120" w:type="dxa"/>
            <w:vAlign w:val="bottom"/>
          </w:tcPr>
          <w:p>
            <w:pPr>
              <w:spacing w:after="0"/>
              <w:rPr>
                <w:sz w:val="11"/>
                <w:szCs w:val="11"/>
                <w:color w:val="auto"/>
              </w:rPr>
            </w:pPr>
          </w:p>
        </w:tc>
      </w:tr>
    </w:tbl>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12 months (or for such shorter period that the registrant was required to file such reports), and (2) has been subject to such filing requirements for the past</w:t>
      </w:r>
    </w:p>
    <w:p>
      <w:pPr>
        <w:spacing w:after="0" w:line="15"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Times New Roman" w:cs="Times New Roman" w:eastAsia="Times New Roman" w:hAnsi="Times New Roman"/>
          <w:sz w:val="16"/>
          <w:szCs w:val="16"/>
          <w:color w:val="auto"/>
        </w:rPr>
        <w:t>90 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63" w:lineRule="exact"/>
        <w:rPr>
          <w:sz w:val="24"/>
          <w:szCs w:val="24"/>
          <w:color w:val="auto"/>
        </w:rPr>
      </w:pPr>
    </w:p>
    <w:p>
      <w:pPr>
        <w:jc w:val="both"/>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ind w:right="280"/>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(as defined in Exchange Act Rule 12b-2).</w:t>
      </w:r>
    </w:p>
    <w:tbl>
      <w:tblPr>
        <w:tblLayout w:type="fixed"/>
        <w:tblInd w:w="20" w:type="dxa"/>
        <w:tblCellMar>
          <w:top w:w="0" w:type="dxa"/>
          <w:left w:w="0" w:type="dxa"/>
          <w:bottom w:w="0" w:type="dxa"/>
          <w:right w:w="0" w:type="dxa"/>
        </w:tblCellMar>
      </w:tblPr>
      <w:tr>
        <w:trPr>
          <w:trHeight w:val="253"/>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0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740"/>
              <w:spacing w:after="0"/>
              <w:rPr>
                <w:sz w:val="20"/>
                <w:szCs w:val="20"/>
                <w:color w:val="auto"/>
              </w:rPr>
            </w:pPr>
            <w:r>
              <w:rPr>
                <w:rFonts w:ascii="Times New Roman" w:cs="Times New Roman" w:eastAsia="Times New Roman" w:hAnsi="Times New Roman"/>
                <w:sz w:val="16"/>
                <w:szCs w:val="16"/>
                <w:color w:val="auto"/>
              </w:rPr>
              <w:t>Accelerated filer</w:t>
            </w:r>
          </w:p>
        </w:tc>
        <w:tc>
          <w:tcPr>
            <w:tcW w:w="5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2"/>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0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7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34"/>
        </w:trPr>
        <w:tc>
          <w:tcPr>
            <w:tcW w:w="19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860" w:type="dxa"/>
            <w:vAlign w:val="bottom"/>
          </w:tcPr>
          <w:p>
            <w:pPr>
              <w:ind w:left="2740"/>
              <w:spacing w:after="0"/>
              <w:rPr>
                <w:sz w:val="20"/>
                <w:szCs w:val="20"/>
                <w:color w:val="auto"/>
              </w:rPr>
            </w:pPr>
            <w:r>
              <w:rPr>
                <w:rFonts w:ascii="Times New Roman" w:cs="Times New Roman" w:eastAsia="Times New Roman" w:hAnsi="Times New Roman"/>
                <w:sz w:val="16"/>
                <w:szCs w:val="16"/>
                <w:color w:val="auto"/>
              </w:rPr>
              <w:t>Emerging growth company</w:t>
            </w:r>
          </w:p>
        </w:tc>
        <w:tc>
          <w:tcPr>
            <w:tcW w:w="540" w:type="dxa"/>
            <w:vAlign w:val="bottom"/>
          </w:tcPr>
          <w:p>
            <w:pPr>
              <w:ind w:left="380"/>
              <w:spacing w:after="0" w:line="191" w:lineRule="exact"/>
              <w:rPr>
                <w:sz w:val="20"/>
                <w:szCs w:val="20"/>
                <w:color w:val="auto"/>
              </w:rPr>
            </w:pPr>
            <w:r>
              <w:rPr>
                <w:rFonts w:ascii="MS PGothic" w:cs="MS PGothic" w:eastAsia="MS PGothic" w:hAnsi="MS PGothic"/>
                <w:sz w:val="19"/>
                <w:szCs w:val="19"/>
                <w:color w:val="auto"/>
                <w:w w:val="73"/>
              </w:rPr>
              <w:t>☐</w:t>
            </w:r>
          </w:p>
        </w:tc>
      </w:tr>
    </w:tbl>
    <w:p>
      <w:pPr>
        <w:spacing w:after="0" w:line="220" w:lineRule="exact"/>
        <w:rPr>
          <w:sz w:val="24"/>
          <w:szCs w:val="24"/>
          <w:color w:val="auto"/>
        </w:r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334"/>
        </w:trPr>
        <w:tc>
          <w:tcPr>
            <w:tcW w:w="7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tc>
        <w:tc>
          <w:tcPr>
            <w:tcW w:w="3800" w:type="dxa"/>
            <w:vAlign w:val="bottom"/>
          </w:tcPr>
          <w:p>
            <w:pPr>
              <w:jc w:val="right"/>
              <w:ind w:right="2559"/>
              <w:spacing w:after="0" w:line="219"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9"/>
                <w:szCs w:val="19"/>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r>
      <w:tr>
        <w:trPr>
          <w:trHeight w:val="323"/>
        </w:trPr>
        <w:tc>
          <w:tcPr>
            <w:tcW w:w="7440" w:type="dxa"/>
            <w:vAlign w:val="bottom"/>
          </w:tcPr>
          <w:p>
            <w:pPr>
              <w:jc w:val="right"/>
              <w:ind w:right="2719"/>
              <w:spacing w:after="0"/>
              <w:rPr>
                <w:sz w:val="20"/>
                <w:szCs w:val="20"/>
                <w:color w:val="auto"/>
              </w:rPr>
            </w:pPr>
            <w:r>
              <w:rPr>
                <w:rFonts w:ascii="Times New Roman" w:cs="Times New Roman" w:eastAsia="Times New Roman" w:hAnsi="Times New Roman"/>
                <w:sz w:val="16"/>
                <w:szCs w:val="16"/>
                <w:color w:val="auto"/>
              </w:rPr>
              <w:t>The number of shares of common stock outstanding as of May 1, 2026:</w:t>
            </w:r>
          </w:p>
        </w:tc>
        <w:tc>
          <w:tcPr>
            <w:tcW w:w="3800" w:type="dxa"/>
            <w:vAlign w:val="bottom"/>
          </w:tcPr>
          <w:p>
            <w:pPr>
              <w:spacing w:after="0"/>
              <w:rPr>
                <w:sz w:val="24"/>
                <w:szCs w:val="24"/>
                <w:color w:val="auto"/>
              </w:rPr>
            </w:pPr>
          </w:p>
        </w:tc>
      </w:tr>
      <w:tr>
        <w:trPr>
          <w:trHeight w:val="243"/>
        </w:trPr>
        <w:tc>
          <w:tcPr>
            <w:tcW w:w="7440" w:type="dxa"/>
            <w:vAlign w:val="bottom"/>
          </w:tcPr>
          <w:p>
            <w:pPr>
              <w:jc w:val="right"/>
              <w:ind w:right="2719"/>
              <w:spacing w:after="0"/>
              <w:rPr>
                <w:sz w:val="20"/>
                <w:szCs w:val="20"/>
                <w:color w:val="auto"/>
              </w:rPr>
            </w:pPr>
            <w:r>
              <w:rPr>
                <w:rFonts w:ascii="Times New Roman" w:cs="Times New Roman" w:eastAsia="Times New Roman" w:hAnsi="Times New Roman"/>
                <w:sz w:val="16"/>
                <w:szCs w:val="16"/>
                <w:color w:val="auto"/>
              </w:rPr>
              <w:t>Class A Common Stock par value $0.01 per share</w:t>
            </w:r>
          </w:p>
        </w:tc>
        <w:tc>
          <w:tcPr>
            <w:tcW w:w="3800" w:type="dxa"/>
            <w:vAlign w:val="bottom"/>
          </w:tcPr>
          <w:p>
            <w:pPr>
              <w:jc w:val="right"/>
              <w:ind w:right="2159"/>
              <w:spacing w:after="0"/>
              <w:rPr>
                <w:sz w:val="20"/>
                <w:szCs w:val="20"/>
                <w:color w:val="auto"/>
              </w:rPr>
            </w:pPr>
            <w:r>
              <w:rPr>
                <w:rFonts w:ascii="Times New Roman" w:cs="Times New Roman" w:eastAsia="Times New Roman" w:hAnsi="Times New Roman"/>
                <w:sz w:val="16"/>
                <w:szCs w:val="16"/>
                <w:color w:val="auto"/>
              </w:rPr>
              <w:t>32,443,304</w:t>
            </w:r>
          </w:p>
        </w:tc>
      </w:tr>
      <w:tr>
        <w:trPr>
          <w:trHeight w:val="216"/>
        </w:trPr>
        <w:tc>
          <w:tcPr>
            <w:tcW w:w="7440" w:type="dxa"/>
            <w:vAlign w:val="bottom"/>
          </w:tcPr>
          <w:p>
            <w:pPr>
              <w:jc w:val="right"/>
              <w:ind w:right="2719"/>
              <w:spacing w:after="0"/>
              <w:rPr>
                <w:sz w:val="20"/>
                <w:szCs w:val="20"/>
                <w:color w:val="auto"/>
              </w:rPr>
            </w:pPr>
            <w:r>
              <w:rPr>
                <w:rFonts w:ascii="Times New Roman" w:cs="Times New Roman" w:eastAsia="Times New Roman" w:hAnsi="Times New Roman"/>
                <w:sz w:val="16"/>
                <w:szCs w:val="16"/>
                <w:color w:val="auto"/>
              </w:rPr>
              <w:t>Class B Common Stock par value $0.01 per share</w:t>
            </w:r>
          </w:p>
        </w:tc>
        <w:tc>
          <w:tcPr>
            <w:tcW w:w="3800" w:type="dxa"/>
            <w:vAlign w:val="bottom"/>
          </w:tcPr>
          <w:p>
            <w:pPr>
              <w:jc w:val="right"/>
              <w:ind w:right="2159"/>
              <w:spacing w:after="0"/>
              <w:rPr>
                <w:sz w:val="20"/>
                <w:szCs w:val="20"/>
                <w:color w:val="auto"/>
              </w:rPr>
            </w:pPr>
            <w:r>
              <w:rPr>
                <w:rFonts w:ascii="Times New Roman" w:cs="Times New Roman" w:eastAsia="Times New Roman" w:hAnsi="Times New Roman"/>
                <w:sz w:val="16"/>
                <w:szCs w:val="16"/>
                <w:color w:val="auto"/>
              </w:rPr>
              <w:t>11,484,408</w:t>
            </w:r>
          </w:p>
        </w:tc>
      </w:tr>
      <w:tr>
        <w:trPr>
          <w:trHeight w:val="526"/>
        </w:trPr>
        <w:tc>
          <w:tcPr>
            <w:tcW w:w="744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AMC GLOBAL MEDIA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08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7360" w:type="dxa"/>
            <w:vAlign w:val="bottom"/>
            <w:gridSpan w:val="10"/>
            <w:vMerge w:val="restart"/>
          </w:tcPr>
          <w:p>
            <w:pPr>
              <w:spacing w:after="0"/>
              <w:rPr>
                <w:sz w:val="20"/>
                <w:szCs w:val="20"/>
                <w:color w:val="auto"/>
              </w:rPr>
            </w:pPr>
          </w:p>
        </w:tc>
        <w:tc>
          <w:tcPr>
            <w:tcW w:w="78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3080" w:type="dxa"/>
            <w:vAlign w:val="bottom"/>
            <w:tcBorders>
              <w:bottom w:val="single" w:sz="8" w:color="0000FF"/>
            </w:tcBorders>
            <w:gridSpan w:val="10"/>
            <w:vMerge w:val="continue"/>
          </w:tcPr>
          <w:p>
            <w:pPr>
              <w:spacing w:after="0"/>
              <w:rPr>
                <w:sz w:val="14"/>
                <w:szCs w:val="14"/>
                <w:color w:val="auto"/>
              </w:rPr>
            </w:pPr>
          </w:p>
        </w:tc>
        <w:tc>
          <w:tcPr>
            <w:tcW w:w="7360" w:type="dxa"/>
            <w:vAlign w:val="bottom"/>
            <w:gridSpan w:val="10"/>
            <w:vMerge w:val="continue"/>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(Loss)</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(Loss)</w:t>
            </w:r>
          </w:p>
        </w:tc>
        <w:tc>
          <w:tcPr>
            <w:tcW w:w="4820" w:type="dxa"/>
            <w:vAlign w:val="bottom"/>
            <w:gridSpan w:val="2"/>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720" w:type="dxa"/>
            <w:vAlign w:val="bottom"/>
            <w:gridSpan w:val="2"/>
          </w:tcPr>
          <w:p>
            <w:pPr>
              <w:spacing w:after="0"/>
              <w:rPr>
                <w:sz w:val="18"/>
                <w:szCs w:val="18"/>
                <w:color w:val="auto"/>
              </w:rPr>
            </w:pPr>
          </w:p>
        </w:tc>
        <w:tc>
          <w:tcPr>
            <w:tcW w:w="4820" w:type="dxa"/>
            <w:vAlign w:val="bottom"/>
            <w:gridSpan w:val="2"/>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5540" w:type="dxa"/>
            <w:vAlign w:val="bottom"/>
            <w:gridSpan w:val="4"/>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gridSpan w:val="6"/>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2580" w:type="dxa"/>
            <w:vAlign w:val="bottom"/>
            <w:tcBorders>
              <w:top w:val="single" w:sz="8" w:color="0000FF"/>
            </w:tcBorders>
            <w:gridSpan w:val="9"/>
          </w:tcPr>
          <w:p>
            <w:pPr>
              <w:spacing w:after="0"/>
              <w:rPr>
                <w:sz w:val="18"/>
                <w:szCs w:val="18"/>
                <w:color w:val="auto"/>
              </w:rPr>
            </w:pPr>
          </w:p>
        </w:tc>
        <w:tc>
          <w:tcPr>
            <w:tcW w:w="5320" w:type="dxa"/>
            <w:vAlign w:val="bottom"/>
            <w:gridSpan w:val="3"/>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7660" w:type="dxa"/>
            <w:vAlign w:val="bottom"/>
            <w:gridSpan w:val="11"/>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136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340" w:type="dxa"/>
            <w:vAlign w:val="bottom"/>
            <w:gridSpan w:val="13"/>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4380" w:type="dxa"/>
            <w:vAlign w:val="bottom"/>
            <w:tcBorders>
              <w:bottom w:val="single" w:sz="8" w:color="0000FF"/>
            </w:tcBorders>
            <w:gridSpan w:val="14"/>
          </w:tcPr>
          <w:p>
            <w:pPr>
              <w:ind w:left="20"/>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320" w:type="dxa"/>
            <w:vAlign w:val="bottom"/>
            <w:gridSpan w:val="3"/>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134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8360" w:type="dxa"/>
            <w:vAlign w:val="bottom"/>
            <w:gridSpan w:val="14"/>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970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80" w:type="dxa"/>
            <w:vAlign w:val="bottom"/>
            <w:gridSpan w:val="1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4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3"/>
        </w:trPr>
        <w:tc>
          <w:tcPr>
            <w:tcW w:w="2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ind w:left="3780"/>
        <w:spacing w:after="0"/>
        <w:rPr>
          <w:sz w:val="20"/>
          <w:szCs w:val="20"/>
          <w:color w:val="auto"/>
        </w:rPr>
      </w:pPr>
      <w:r>
        <w:rPr>
          <w:rFonts w:ascii="Times New Roman" w:cs="Times New Roman" w:eastAsia="Times New Roman" w:hAnsi="Times New Roman"/>
          <w:sz w:val="16"/>
          <w:szCs w:val="16"/>
          <w:b w:val="1"/>
          <w:bCs w:val="1"/>
          <w:color w:val="auto"/>
        </w:rPr>
        <w:t>AMC GLOBAL MEDIA INC. AND SUBSIDIARIES</w:t>
      </w:r>
    </w:p>
    <w:p>
      <w:pPr>
        <w:spacing w:after="0" w:line="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jc w:val="center"/>
        <w:ind w:right="-19"/>
        <w:spacing w:after="0" w:line="213" w:lineRule="auto"/>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7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199"/>
        </w:trPr>
        <w:tc>
          <w:tcPr>
            <w:tcW w:w="7500" w:type="dxa"/>
            <w:vAlign w:val="bottom"/>
          </w:tcPr>
          <w:p>
            <w:pPr>
              <w:ind w:left="34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552,137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502,379</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 trade (less allowance for doubtful accounts of $9,325 and $11,523)</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550,666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575,263</w:t>
            </w:r>
          </w:p>
        </w:tc>
        <w:tc>
          <w:tcPr>
            <w:tcW w:w="0" w:type="dxa"/>
            <w:vAlign w:val="bottom"/>
          </w:tcPr>
          <w:p>
            <w:pPr>
              <w:spacing w:after="0"/>
              <w:rPr>
                <w:sz w:val="1"/>
                <w:szCs w:val="1"/>
                <w:color w:val="auto"/>
              </w:rPr>
            </w:pPr>
          </w:p>
        </w:tc>
      </w:tr>
      <w:tr>
        <w:trPr>
          <w:trHeight w:val="213"/>
        </w:trPr>
        <w:tc>
          <w:tcPr>
            <w:tcW w:w="7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237,766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202,967</w:t>
            </w:r>
          </w:p>
        </w:tc>
        <w:tc>
          <w:tcPr>
            <w:tcW w:w="0" w:type="dxa"/>
            <w:vAlign w:val="bottom"/>
          </w:tcPr>
          <w:p>
            <w:pPr>
              <w:spacing w:after="0"/>
              <w:rPr>
                <w:sz w:val="1"/>
                <w:szCs w:val="1"/>
                <w:color w:val="auto"/>
              </w:rPr>
            </w:pPr>
          </w:p>
        </w:tc>
      </w:tr>
      <w:tr>
        <w:trPr>
          <w:trHeight w:val="212"/>
        </w:trPr>
        <w:tc>
          <w:tcPr>
            <w:tcW w:w="75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1,340,569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1,280,609</w:t>
            </w:r>
          </w:p>
        </w:tc>
        <w:tc>
          <w:tcPr>
            <w:tcW w:w="0" w:type="dxa"/>
            <w:vAlign w:val="bottom"/>
          </w:tcPr>
          <w:p>
            <w:pPr>
              <w:spacing w:after="0"/>
              <w:rPr>
                <w:sz w:val="1"/>
                <w:szCs w:val="1"/>
                <w:color w:val="auto"/>
              </w:rPr>
            </w:pPr>
          </w:p>
        </w:tc>
      </w:tr>
      <w:tr>
        <w:trPr>
          <w:trHeight w:val="213"/>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 of accumulated depreciation of $421,812 and $409,991</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115,978</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Program rights, net</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1,685,354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1,763,084</w:t>
            </w:r>
          </w:p>
        </w:tc>
        <w:tc>
          <w:tcPr>
            <w:tcW w:w="0" w:type="dxa"/>
            <w:vAlign w:val="bottom"/>
          </w:tcPr>
          <w:p>
            <w:pPr>
              <w:spacing w:after="0"/>
              <w:rPr>
                <w:sz w:val="1"/>
                <w:szCs w:val="1"/>
                <w:color w:val="auto"/>
              </w:rPr>
            </w:pPr>
          </w:p>
        </w:tc>
      </w:tr>
      <w:tr>
        <w:trPr>
          <w:trHeight w:val="213"/>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184,803</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166,809</w:t>
            </w:r>
          </w:p>
        </w:tc>
        <w:tc>
          <w:tcPr>
            <w:tcW w:w="0" w:type="dxa"/>
            <w:vAlign w:val="bottom"/>
          </w:tcPr>
          <w:p>
            <w:pPr>
              <w:spacing w:after="0"/>
              <w:rPr>
                <w:sz w:val="1"/>
                <w:szCs w:val="1"/>
                <w:color w:val="auto"/>
              </w:rPr>
            </w:pPr>
          </w:p>
        </w:tc>
      </w:tr>
      <w:tr>
        <w:trPr>
          <w:trHeight w:val="213"/>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 net</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17,781</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72,545</w:t>
            </w:r>
          </w:p>
        </w:tc>
        <w:tc>
          <w:tcPr>
            <w:tcW w:w="0" w:type="dxa"/>
            <w:vAlign w:val="bottom"/>
          </w:tcPr>
          <w:p>
            <w:pPr>
              <w:spacing w:after="0"/>
              <w:rPr>
                <w:sz w:val="1"/>
                <w:szCs w:val="1"/>
                <w:color w:val="auto"/>
              </w:rPr>
            </w:pPr>
          </w:p>
        </w:tc>
      </w:tr>
      <w:tr>
        <w:trPr>
          <w:trHeight w:val="213"/>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312,895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335,272</w:t>
            </w:r>
          </w:p>
        </w:tc>
        <w:tc>
          <w:tcPr>
            <w:tcW w:w="0" w:type="dxa"/>
            <w:vAlign w:val="bottom"/>
          </w:tcPr>
          <w:p>
            <w:pPr>
              <w:spacing w:after="0"/>
              <w:rPr>
                <w:sz w:val="1"/>
                <w:szCs w:val="1"/>
                <w:color w:val="auto"/>
              </w:rPr>
            </w:pPr>
          </w:p>
        </w:tc>
      </w:tr>
      <w:tr>
        <w:trPr>
          <w:trHeight w:val="237"/>
        </w:trPr>
        <w:tc>
          <w:tcPr>
            <w:tcW w:w="75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3,873,690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3,936,881</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vMerge w:val="restart"/>
          </w:tcPr>
          <w:p>
            <w:pPr>
              <w:ind w:left="200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5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129,303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94,742</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liabilities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292,105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323,029</w:t>
            </w:r>
          </w:p>
        </w:tc>
        <w:tc>
          <w:tcPr>
            <w:tcW w:w="0" w:type="dxa"/>
            <w:vAlign w:val="bottom"/>
          </w:tcPr>
          <w:p>
            <w:pPr>
              <w:spacing w:after="0"/>
              <w:rPr>
                <w:sz w:val="1"/>
                <w:szCs w:val="1"/>
                <w:color w:val="auto"/>
              </w:rPr>
            </w:pPr>
          </w:p>
        </w:tc>
      </w:tr>
      <w:tr>
        <w:trPr>
          <w:trHeight w:val="213"/>
        </w:trPr>
        <w:tc>
          <w:tcPr>
            <w:tcW w:w="7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portion of program rights obligations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240,491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258,252</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63,651</w:t>
            </w:r>
          </w:p>
        </w:tc>
        <w:tc>
          <w:tcPr>
            <w:tcW w:w="0" w:type="dxa"/>
            <w:vAlign w:val="bottom"/>
          </w:tcPr>
          <w:p>
            <w:pPr>
              <w:spacing w:after="0"/>
              <w:rPr>
                <w:sz w:val="1"/>
                <w:szCs w:val="1"/>
                <w:color w:val="auto"/>
              </w:rPr>
            </w:pPr>
          </w:p>
        </w:tc>
      </w:tr>
      <w:tr>
        <w:trPr>
          <w:trHeight w:val="213"/>
        </w:trPr>
        <w:tc>
          <w:tcPr>
            <w:tcW w:w="7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11,068</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portion of lease obligations</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17,643</w:t>
            </w:r>
          </w:p>
        </w:tc>
        <w:tc>
          <w:tcPr>
            <w:tcW w:w="0" w:type="dxa"/>
            <w:vAlign w:val="bottom"/>
          </w:tcPr>
          <w:p>
            <w:pPr>
              <w:spacing w:after="0"/>
              <w:rPr>
                <w:sz w:val="1"/>
                <w:szCs w:val="1"/>
                <w:color w:val="auto"/>
              </w:rPr>
            </w:pPr>
          </w:p>
        </w:tc>
      </w:tr>
      <w:tr>
        <w:trPr>
          <w:trHeight w:val="207"/>
        </w:trPr>
        <w:tc>
          <w:tcPr>
            <w:tcW w:w="75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763,984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768,385</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Program rights obligations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181,773</w:t>
            </w:r>
          </w:p>
        </w:tc>
        <w:tc>
          <w:tcPr>
            <w:tcW w:w="0" w:type="dxa"/>
            <w:vAlign w:val="bottom"/>
          </w:tcPr>
          <w:p>
            <w:pPr>
              <w:spacing w:after="0"/>
              <w:rPr>
                <w:sz w:val="1"/>
                <w:szCs w:val="1"/>
                <w:color w:val="auto"/>
              </w:rPr>
            </w:pPr>
          </w:p>
        </w:tc>
      </w:tr>
      <w:tr>
        <w:trPr>
          <w:trHeight w:val="213"/>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1,724,518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1,741,225</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obligations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82,263</w:t>
            </w:r>
          </w:p>
        </w:tc>
        <w:tc>
          <w:tcPr>
            <w:tcW w:w="0" w:type="dxa"/>
            <w:vAlign w:val="bottom"/>
          </w:tcPr>
          <w:p>
            <w:pPr>
              <w:spacing w:after="0"/>
              <w:rPr>
                <w:sz w:val="1"/>
                <w:szCs w:val="1"/>
                <w:color w:val="auto"/>
              </w:rPr>
            </w:pPr>
          </w:p>
        </w:tc>
      </w:tr>
      <w:tr>
        <w:trPr>
          <w:trHeight w:val="213"/>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108,164</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37,621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41,322</w:t>
            </w:r>
          </w:p>
        </w:tc>
        <w:tc>
          <w:tcPr>
            <w:tcW w:w="0" w:type="dxa"/>
            <w:vAlign w:val="bottom"/>
          </w:tcPr>
          <w:p>
            <w:pPr>
              <w:spacing w:after="0"/>
              <w:rPr>
                <w:sz w:val="1"/>
                <w:szCs w:val="1"/>
                <w:color w:val="auto"/>
              </w:rPr>
            </w:pPr>
          </w:p>
        </w:tc>
      </w:tr>
      <w:tr>
        <w:trPr>
          <w:trHeight w:val="207"/>
        </w:trPr>
        <w:tc>
          <w:tcPr>
            <w:tcW w:w="75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2,885,457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2,923,132</w:t>
            </w:r>
          </w:p>
        </w:tc>
        <w:tc>
          <w:tcPr>
            <w:tcW w:w="0" w:type="dxa"/>
            <w:vAlign w:val="bottom"/>
          </w:tcPr>
          <w:p>
            <w:pPr>
              <w:spacing w:after="0"/>
              <w:rPr>
                <w:sz w:val="1"/>
                <w:szCs w:val="1"/>
                <w:color w:val="auto"/>
              </w:rPr>
            </w:pPr>
          </w:p>
        </w:tc>
      </w:tr>
      <w:tr>
        <w:trPr>
          <w:trHeight w:val="19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5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Class A Common Stock, $0.01 par value, 360,000 shares authorized: 66,730 and 66,730 shares issued and 32,443</w:t>
            </w:r>
          </w:p>
        </w:tc>
        <w:tc>
          <w:tcPr>
            <w:tcW w:w="24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and 31,215 shares outstanding, respectively</w:t>
            </w:r>
          </w:p>
        </w:tc>
        <w:tc>
          <w:tcPr>
            <w:tcW w:w="24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Class B Common Stock, $0.01 par value, 90,000 shares authorized: 11,484 shares issued and outstanding</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$0.01 par value, 45,000 shares authorized: none issued</w:t>
            </w:r>
          </w:p>
        </w:tc>
        <w:tc>
          <w:tcPr>
            <w:tcW w:w="2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Paid-in capital</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419,630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429,902</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earnings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2,157,090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2,176,124</w:t>
            </w:r>
          </w:p>
        </w:tc>
        <w:tc>
          <w:tcPr>
            <w:tcW w:w="0" w:type="dxa"/>
            <w:vAlign w:val="bottom"/>
          </w:tcPr>
          <w:p>
            <w:pPr>
              <w:spacing w:after="0"/>
              <w:rPr>
                <w:sz w:val="1"/>
                <w:szCs w:val="1"/>
                <w:color w:val="auto"/>
              </w:rPr>
            </w:pPr>
          </w:p>
        </w:tc>
      </w:tr>
      <w:tr>
        <w:trPr>
          <w:trHeight w:val="213"/>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Treasury stock, at cost (34,287 and 35,516 shares Class A Common Stock, respectively)</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(1,396,092)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(1,406,027)</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(226,172)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(218,910)</w:t>
            </w:r>
          </w:p>
        </w:tc>
        <w:tc>
          <w:tcPr>
            <w:tcW w:w="0" w:type="dxa"/>
            <w:vAlign w:val="bottom"/>
          </w:tcPr>
          <w:p>
            <w:pPr>
              <w:spacing w:after="0"/>
              <w:rPr>
                <w:sz w:val="1"/>
                <w:szCs w:val="1"/>
                <w:color w:val="auto"/>
              </w:rPr>
            </w:pPr>
          </w:p>
        </w:tc>
      </w:tr>
      <w:tr>
        <w:trPr>
          <w:trHeight w:val="207"/>
        </w:trPr>
        <w:tc>
          <w:tcPr>
            <w:tcW w:w="75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AMC Global Media stockholders' equity</w:t>
            </w:r>
          </w:p>
        </w:tc>
        <w:tc>
          <w:tcPr>
            <w:tcW w:w="2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955,238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981,871</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Non-redeemable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32,995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31,878</w:t>
            </w:r>
          </w:p>
        </w:tc>
        <w:tc>
          <w:tcPr>
            <w:tcW w:w="0" w:type="dxa"/>
            <w:vAlign w:val="bottom"/>
          </w:tcPr>
          <w:p>
            <w:pPr>
              <w:spacing w:after="0"/>
              <w:rPr>
                <w:sz w:val="1"/>
                <w:szCs w:val="1"/>
                <w:color w:val="auto"/>
              </w:rPr>
            </w:pPr>
          </w:p>
        </w:tc>
      </w:tr>
      <w:tr>
        <w:trPr>
          <w:trHeight w:val="207"/>
        </w:trPr>
        <w:tc>
          <w:tcPr>
            <w:tcW w:w="75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988,233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1,013,749</w:t>
            </w:r>
          </w:p>
        </w:tc>
        <w:tc>
          <w:tcPr>
            <w:tcW w:w="0" w:type="dxa"/>
            <w:vAlign w:val="bottom"/>
          </w:tcPr>
          <w:p>
            <w:pPr>
              <w:spacing w:after="0"/>
              <w:rPr>
                <w:sz w:val="1"/>
                <w:szCs w:val="1"/>
                <w:color w:val="auto"/>
              </w:rPr>
            </w:pPr>
          </w:p>
        </w:tc>
      </w:tr>
      <w:tr>
        <w:trPr>
          <w:trHeight w:val="237"/>
        </w:trPr>
        <w:tc>
          <w:tcPr>
            <w:tcW w:w="75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3,873,690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3,936,881</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AMC GLOBAL MEDIA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INCOME (LOSS)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0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542,127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555,233</w:t>
            </w:r>
          </w:p>
        </w:tc>
      </w:tr>
      <w:tr>
        <w:trPr>
          <w:trHeight w:val="20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Technical and operating (excluding depreciation and amortization)</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267,346</w:t>
            </w:r>
          </w:p>
        </w:tc>
      </w:tr>
      <w:tr>
        <w:trPr>
          <w:trHeight w:val="229"/>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201,925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197,975</w:t>
            </w:r>
          </w:p>
        </w:tc>
      </w:tr>
      <w:tr>
        <w:trPr>
          <w:trHeight w:val="229"/>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20,926</w:t>
            </w:r>
          </w:p>
        </w:tc>
      </w:tr>
      <w:tr>
        <w:trPr>
          <w:trHeight w:val="230"/>
        </w:trPr>
        <w:tc>
          <w:tcPr>
            <w:tcW w:w="8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4,789</w:t>
            </w:r>
          </w:p>
        </w:tc>
      </w:tr>
      <w:tr>
        <w:trPr>
          <w:trHeight w:val="223"/>
        </w:trPr>
        <w:tc>
          <w:tcPr>
            <w:tcW w:w="8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510,866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491,036</w:t>
            </w:r>
          </w:p>
        </w:tc>
      </w:tr>
      <w:tr>
        <w:trPr>
          <w:trHeight w:val="223"/>
        </w:trPr>
        <w:tc>
          <w:tcPr>
            <w:tcW w:w="80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31,261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64,197</w:t>
            </w:r>
          </w:p>
        </w:tc>
      </w:tr>
      <w:tr>
        <w:trPr>
          <w:trHeight w:val="20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(43,392)</w:t>
            </w:r>
          </w:p>
        </w:tc>
      </w:tr>
      <w:tr>
        <w:trPr>
          <w:trHeight w:val="229"/>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8,415</w:t>
            </w:r>
          </w:p>
        </w:tc>
      </w:tr>
      <w:tr>
        <w:trPr>
          <w:trHeight w:val="229"/>
        </w:trPr>
        <w:tc>
          <w:tcPr>
            <w:tcW w:w="8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Miscellaneous, net</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7,888</w:t>
            </w:r>
          </w:p>
        </w:tc>
      </w:tr>
      <w:tr>
        <w:trPr>
          <w:trHeight w:val="223"/>
        </w:trPr>
        <w:tc>
          <w:tcPr>
            <w:tcW w:w="8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(55,163)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(27,089)</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 before income taxes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37,108</w:t>
            </w:r>
          </w:p>
        </w:tc>
      </w:tr>
      <w:tr>
        <w:trPr>
          <w:trHeight w:val="230"/>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(14,955)</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including noncontrolling interests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22,153</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AMC Global Media's stockholders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18,049</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80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attributable to AMC Global Media's stockholders:</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r>
      <w:tr>
        <w:trPr>
          <w:trHeight w:val="270"/>
        </w:trPr>
        <w:tc>
          <w:tcPr>
            <w:tcW w:w="80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44,821</w:t>
            </w:r>
          </w:p>
        </w:tc>
      </w:tr>
      <w:tr>
        <w:trPr>
          <w:trHeight w:val="234"/>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43,627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56,616</w:t>
            </w: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b w:val="1"/>
          <w:bCs w:val="1"/>
          <w:color w:val="auto"/>
        </w:rPr>
        <w:t>AMC GLOBAL MEDIA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INCOME (LOSS)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0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including noncontrolling interests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22,153</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8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(7,851)</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17,801</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39,954</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(5,154)</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AMC Global Media's stockholders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(26,132)</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34,800</w:t>
            </w:r>
          </w:p>
        </w:tc>
      </w:tr>
      <w:tr>
        <w:trPr>
          <w:trHeight w:val="21"/>
        </w:trPr>
        <w:tc>
          <w:tcPr>
            <w:tcW w:w="8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b w:val="1"/>
          <w:bCs w:val="1"/>
          <w:color w:val="auto"/>
        </w:rPr>
        <w:t>AMC GLOBAL MEDIA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ectPr>
          <w:pgSz w:w="11900" w:h="16838" w:orient="portrait"/>
          <w:cols w:equalWidth="0" w:num="1">
            <w:col w:w="11240"/>
          </w:cols>
          <w:pgMar w:left="320" w:top="8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3240" w:type="dxa"/>
        <w:tblCellMar>
          <w:top w:w="0" w:type="dxa"/>
          <w:left w:w="0" w:type="dxa"/>
          <w:bottom w:w="0" w:type="dxa"/>
          <w:right w:w="0" w:type="dxa"/>
        </w:tblCellMar>
      </w:tblPr>
      <w:tr>
        <w:trPr>
          <w:trHeight w:val="161"/>
        </w:trPr>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6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44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Common   Paid-in   Accumulated</w:t>
            </w: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66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AMC</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0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Global Media</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020" w:type="dxa"/>
            <w:vAlign w:val="bottom"/>
          </w:tcPr>
          <w:p>
            <w:pPr>
              <w:jc w:val="center"/>
              <w:ind w:right="8"/>
              <w:spacing w:after="0" w:line="13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9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0"/>
        </w:trPr>
        <w:tc>
          <w:tcPr>
            <w:tcW w:w="10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bl>
    <w:p>
      <w:pPr>
        <w:spacing w:after="0" w:line="12" w:lineRule="exact"/>
        <w:rPr>
          <w:sz w:val="20"/>
          <w:szCs w:val="20"/>
          <w:color w:val="auto"/>
        </w:rPr>
      </w:pPr>
    </w:p>
    <w:p>
      <w:pPr>
        <w:sectPr>
          <w:pgSz w:w="11900" w:h="16838" w:orient="portrait"/>
          <w:cols w:equalWidth="0" w:num="2">
            <w:col w:w="6980" w:space="240"/>
            <w:col w:w="4020"/>
          </w:cols>
          <w:pgMar w:left="320" w:top="893" w:right="3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40" w:type="dxa"/>
            <w:vAlign w:val="bottom"/>
          </w:tcPr>
          <w:p>
            <w:pPr>
              <w:spacing w:after="0"/>
              <w:rPr>
                <w:sz w:val="18"/>
                <w:szCs w:val="18"/>
                <w:color w:val="auto"/>
              </w:rPr>
            </w:pPr>
          </w:p>
        </w:tc>
        <w:tc>
          <w:tcPr>
            <w:tcW w:w="3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2025</w:t>
            </w: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$ 429,902</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2,176,124</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 (1,406,027)</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(218,910)</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981,871</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31,878</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1,013,749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40" w:type="dxa"/>
            <w:vAlign w:val="bottom"/>
          </w:tcPr>
          <w:p>
            <w:pPr>
              <w:spacing w:after="0"/>
              <w:rPr>
                <w:sz w:val="10"/>
                <w:szCs w:val="10"/>
                <w:color w:val="auto"/>
              </w:rPr>
            </w:pPr>
          </w:p>
        </w:tc>
        <w:tc>
          <w:tcPr>
            <w:tcW w:w="318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Net loss attributable to AMC Global Media's</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(18,870)</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(18,870)</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(18,870)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1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Net income attributable to non-redeemable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8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1,706</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6,097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issued under employee stock plans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1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Tax withholding associated with shares issued under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(6,598)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8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(6,598)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(6,598)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plans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3"/>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2026</w:t>
            </w: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$ 419,630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2,157,090</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 (1,396,092)</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(226,172)</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955,238</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32,995</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988,233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8"/>
        </w:trPr>
        <w:tc>
          <w:tcPr>
            <w:tcW w:w="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 w:type="dxa"/>
            <w:vAlign w:val="bottom"/>
          </w:tcPr>
          <w:p>
            <w:pPr>
              <w:spacing w:after="0"/>
              <w:rPr>
                <w:sz w:val="24"/>
                <w:szCs w:val="24"/>
                <w:color w:val="auto"/>
              </w:rPr>
            </w:pPr>
          </w:p>
        </w:tc>
        <w:tc>
          <w:tcPr>
            <w:tcW w:w="68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 AMC</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2"/>
                <w:szCs w:val="12"/>
                <w:color w:val="auto"/>
              </w:rPr>
            </w:pPr>
          </w:p>
        </w:tc>
        <w:tc>
          <w:tcPr>
            <w:tcW w:w="92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8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00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Global Media</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4"/>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12"/>
                <w:szCs w:val="12"/>
                <w:color w:val="auto"/>
              </w:rPr>
            </w:pPr>
          </w:p>
        </w:tc>
        <w:tc>
          <w:tcPr>
            <w:tcW w:w="680" w:type="dxa"/>
            <w:vAlign w:val="bottom"/>
            <w:gridSpan w:val="4"/>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4"/>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2"/>
                <w:szCs w:val="12"/>
                <w:color w:val="auto"/>
              </w:rPr>
            </w:pPr>
          </w:p>
        </w:tc>
        <w:tc>
          <w:tcPr>
            <w:tcW w:w="1000" w:type="dxa"/>
            <w:vAlign w:val="bottom"/>
            <w:gridSpan w:val="4"/>
          </w:tcPr>
          <w:p>
            <w:pPr>
              <w:jc w:val="center"/>
              <w:ind w:right="40"/>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20" w:type="dxa"/>
            <w:vAlign w:val="bottom"/>
          </w:tcPr>
          <w:p>
            <w:pPr>
              <w:spacing w:after="0"/>
              <w:rPr>
                <w:sz w:val="12"/>
                <w:szCs w:val="12"/>
                <w:color w:val="auto"/>
              </w:rPr>
            </w:pPr>
          </w:p>
        </w:tc>
        <w:tc>
          <w:tcPr>
            <w:tcW w:w="1040" w:type="dxa"/>
            <w:vAlign w:val="bottom"/>
            <w:gridSpan w:val="4"/>
          </w:tcPr>
          <w:p>
            <w:pPr>
              <w:jc w:val="center"/>
              <w:ind w:right="40"/>
              <w:spacing w:after="0" w:line="146"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tcPr>
          <w:p>
            <w:pPr>
              <w:spacing w:after="0"/>
              <w:rPr>
                <w:sz w:val="12"/>
                <w:szCs w:val="12"/>
                <w:color w:val="auto"/>
              </w:rPr>
            </w:pPr>
          </w:p>
        </w:tc>
        <w:tc>
          <w:tcPr>
            <w:tcW w:w="88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7"/>
                <w:szCs w:val="17"/>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7"/>
                <w:szCs w:val="17"/>
                <w:color w:val="auto"/>
              </w:rPr>
            </w:pPr>
          </w:p>
        </w:tc>
        <w:tc>
          <w:tcPr>
            <w:tcW w:w="8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$ 437,860</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2,092,229</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(1,408,307)</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(266,969)</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855,595</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28,665</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884,260</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322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Net income attributable to AMC Global Media's</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18,049</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18,049</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18,049</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2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Net income attributable to non-redeemable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2,581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22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Redeemable noncontrolling interest adjustment to</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(3,672)</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(3,672)</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(3,672)</w:t>
            </w:r>
          </w:p>
        </w:tc>
        <w:tc>
          <w:tcPr>
            <w:tcW w:w="0" w:type="dxa"/>
            <w:vAlign w:val="bottom"/>
          </w:tcPr>
          <w:p>
            <w:pPr>
              <w:spacing w:after="0"/>
              <w:rPr>
                <w:sz w:val="1"/>
                <w:szCs w:val="1"/>
                <w:color w:val="auto"/>
              </w:rPr>
            </w:pPr>
          </w:p>
        </w:tc>
      </w:tr>
      <w:tr>
        <w:trPr>
          <w:trHeight w:val="198"/>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redemption fair value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3"/>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16,751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16,751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Common stock issued under employee stock plans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(11,496)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16,973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322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Tax withholding associated with shares issued under</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(3,643)</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(3,643)</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(3,643)</w:t>
            </w:r>
          </w:p>
        </w:tc>
        <w:tc>
          <w:tcPr>
            <w:tcW w:w="0" w:type="dxa"/>
            <w:vAlign w:val="bottom"/>
          </w:tcPr>
          <w:p>
            <w:pPr>
              <w:spacing w:after="0"/>
              <w:rPr>
                <w:sz w:val="1"/>
                <w:szCs w:val="1"/>
                <w:color w:val="auto"/>
              </w:rPr>
            </w:pPr>
          </w:p>
        </w:tc>
      </w:tr>
      <w:tr>
        <w:trPr>
          <w:trHeight w:val="198"/>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plans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3"/>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2025</w:t>
            </w:r>
          </w:p>
        </w:tc>
        <w:tc>
          <w:tcPr>
            <w:tcW w:w="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$ 424,806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2,104,801</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(1,391,334)</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(250,218)</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888,837</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32,296</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921,133</w:t>
            </w:r>
          </w:p>
        </w:tc>
        <w:tc>
          <w:tcPr>
            <w:tcW w:w="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6"/>
          <w:szCs w:val="16"/>
          <w:b w:val="1"/>
          <w:bCs w:val="1"/>
          <w:color w:val="auto"/>
        </w:rPr>
        <w:t>AMC GLOBAL MEDIA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0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 including noncontrolling interests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22,153</w:t>
            </w:r>
          </w:p>
        </w:tc>
      </w:tr>
      <w:tr>
        <w:trPr>
          <w:trHeight w:val="229"/>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(loss) to net cash from operating activities: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20,926</w:t>
            </w:r>
          </w:p>
        </w:tc>
      </w:tr>
      <w:tr>
        <w:trPr>
          <w:trHeight w:val="230"/>
        </w:trPr>
        <w:tc>
          <w:tcPr>
            <w:tcW w:w="8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Share-based compensation expenses related to equity classified awards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5,757</w:t>
            </w:r>
          </w:p>
        </w:tc>
      </w:tr>
      <w:tr>
        <w:trPr>
          <w:trHeight w:val="229"/>
        </w:trPr>
        <w:tc>
          <w:tcPr>
            <w:tcW w:w="8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Non-cash restructuring and other related charges</w:t>
            </w:r>
          </w:p>
        </w:tc>
        <w:tc>
          <w:tcPr>
            <w:tcW w:w="2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w:t>
            </w:r>
          </w:p>
        </w:tc>
      </w:tr>
      <w:tr>
        <w:trPr>
          <w:trHeight w:val="230"/>
        </w:trPr>
        <w:tc>
          <w:tcPr>
            <w:tcW w:w="8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Amortization and write-off of program rights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197,881</w:t>
            </w:r>
          </w:p>
        </w:tc>
      </w:tr>
      <w:tr>
        <w:trPr>
          <w:trHeight w:val="229"/>
        </w:trPr>
        <w:tc>
          <w:tcPr>
            <w:tcW w:w="8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Amortization of deferred carriage fees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6,885</w:t>
            </w:r>
          </w:p>
        </w:tc>
      </w:tr>
      <w:tr>
        <w:trPr>
          <w:trHeight w:val="229"/>
        </w:trPr>
        <w:tc>
          <w:tcPr>
            <w:tcW w:w="8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Unrealized foreign currency transaction (gain) loss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w:t>
            </w:r>
          </w:p>
        </w:tc>
      </w:tr>
      <w:tr>
        <w:trPr>
          <w:trHeight w:val="230"/>
        </w:trPr>
        <w:tc>
          <w:tcPr>
            <w:tcW w:w="8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Amortization of deferred financing costs and discounts on indebtedness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r>
      <w:tr>
        <w:trPr>
          <w:trHeight w:val="229"/>
        </w:trPr>
        <w:tc>
          <w:tcPr>
            <w:tcW w:w="8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w:t>
            </w:r>
          </w:p>
        </w:tc>
      </w:tr>
      <w:tr>
        <w:trPr>
          <w:trHeight w:val="229"/>
        </w:trPr>
        <w:tc>
          <w:tcPr>
            <w:tcW w:w="8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(3,928)</w:t>
            </w:r>
          </w:p>
        </w:tc>
      </w:tr>
      <w:tr>
        <w:trPr>
          <w:trHeight w:val="230"/>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receivable, trade (including amounts due from related parties, net)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53,204</w:t>
            </w:r>
          </w:p>
        </w:tc>
      </w:tr>
      <w:tr>
        <w:trPr>
          <w:trHeight w:val="230"/>
        </w:trPr>
        <w:tc>
          <w:tcPr>
            <w:tcW w:w="8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12,658</w:t>
            </w:r>
          </w:p>
        </w:tc>
      </w:tr>
      <w:tr>
        <w:trPr>
          <w:trHeight w:val="229"/>
        </w:trPr>
        <w:tc>
          <w:tcPr>
            <w:tcW w:w="8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Program rights and obligations, net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(167,708)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(169,605)</w:t>
            </w:r>
          </w:p>
        </w:tc>
      </w:tr>
      <w:tr>
        <w:trPr>
          <w:trHeight w:val="229"/>
        </w:trPr>
        <w:tc>
          <w:tcPr>
            <w:tcW w:w="8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r>
      <w:tr>
        <w:trPr>
          <w:trHeight w:val="230"/>
        </w:trPr>
        <w:tc>
          <w:tcPr>
            <w:tcW w:w="80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Accounts payable, accrued liabilities and other liabilities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(27,265)</w:t>
            </w:r>
          </w:p>
        </w:tc>
      </w:tr>
      <w:tr>
        <w:trPr>
          <w:trHeight w:val="223"/>
        </w:trPr>
        <w:tc>
          <w:tcPr>
            <w:tcW w:w="80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108,805</w:t>
            </w:r>
          </w:p>
        </w:tc>
      </w:tr>
      <w:tr>
        <w:trPr>
          <w:trHeight w:val="20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(14,620)</w:t>
            </w:r>
          </w:p>
        </w:tc>
      </w:tr>
      <w:tr>
        <w:trPr>
          <w:trHeight w:val="223"/>
        </w:trPr>
        <w:tc>
          <w:tcPr>
            <w:tcW w:w="800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(14,620)</w:t>
            </w:r>
          </w:p>
        </w:tc>
      </w:tr>
      <w:tr>
        <w:trPr>
          <w:trHeight w:val="21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Principal payments on Term Loan A Facility</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(8,125)</w:t>
            </w:r>
          </w:p>
        </w:tc>
      </w:tr>
      <w:tr>
        <w:trPr>
          <w:trHeight w:val="229"/>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for financing costs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Deemed repurchases of restricted stock units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w:t>
            </w:r>
          </w:p>
        </w:tc>
      </w:tr>
      <w:tr>
        <w:trPr>
          <w:trHeight w:val="230"/>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r>
      <w:tr>
        <w:trPr>
          <w:trHeight w:val="223"/>
        </w:trPr>
        <w:tc>
          <w:tcPr>
            <w:tcW w:w="800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(12,966)</w:t>
            </w:r>
          </w:p>
        </w:tc>
      </w:tr>
      <w:tr>
        <w:trPr>
          <w:trHeight w:val="22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 from operations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81,219</w:t>
            </w: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w:t>
            </w: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502,379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784,649</w:t>
            </w: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552,137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870,229</w:t>
            </w:r>
          </w:p>
        </w:tc>
      </w:tr>
      <w:tr>
        <w:trPr>
          <w:trHeight w:val="20"/>
        </w:trPr>
        <w:tc>
          <w:tcPr>
            <w:tcW w:w="8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 xml:space="preserve">AMC </w:t>
      </w:r>
      <w:r>
        <w:rPr>
          <w:rFonts w:ascii="Times New Roman" w:cs="Times New Roman" w:eastAsia="Times New Roman" w:hAnsi="Times New Roman"/>
          <w:sz w:val="16"/>
          <w:szCs w:val="16"/>
          <w:color w:val="auto"/>
        </w:rPr>
        <w:t>GLOBAL MEDIA</w:t>
      </w:r>
      <w:r>
        <w:rPr>
          <w:rFonts w:ascii="Times New Roman" w:cs="Times New Roman" w:eastAsia="Times New Roman" w:hAnsi="Times New Roman"/>
          <w:sz w:val="18"/>
          <w:szCs w:val="18"/>
          <w:color w:val="auto"/>
        </w:rPr>
        <w:t xml:space="preserve">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2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On April 8, 2026, AMC Networks Inc. filed Amended and Restated Articles of Incorporation with the Nevada Secretary of State to effect a change of its corporate name from AMC Networks Inc. to AMC Global Media Inc.</w:t>
      </w:r>
    </w:p>
    <w:p>
      <w:pPr>
        <w:spacing w:after="0" w:line="5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AMC Global Media Inc. ("AMC Global Media") and its subsidiaries (collectively referred to as the "Company," "we," "us," or "our") own and operate entertainment businesses and assets. The Company is comprised of two operating segments:</w:t>
      </w:r>
    </w:p>
    <w:p>
      <w:pPr>
        <w:spacing w:after="0" w:line="52" w:lineRule="exact"/>
        <w:rPr>
          <w:sz w:val="20"/>
          <w:szCs w:val="20"/>
          <w:color w:val="auto"/>
        </w:rPr>
      </w:pPr>
    </w:p>
    <w:p>
      <w:pPr>
        <w:jc w:val="both"/>
        <w:ind w:left="660" w:hanging="328"/>
        <w:spacing w:after="0" w:line="257"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Domestic Operations: </w:t>
      </w:r>
      <w:r>
        <w:rPr>
          <w:rFonts w:ascii="Times New Roman" w:cs="Times New Roman" w:eastAsia="Times New Roman" w:hAnsi="Times New Roman"/>
          <w:sz w:val="18"/>
          <w:szCs w:val="18"/>
          <w:color w:val="auto"/>
        </w:rPr>
        <w:t>Consists of our streaming services, our five programming networks, our AMC Studios operation and our film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Our streaming services consist of AMC+ and our targeted subscription streaming services (Acorn TV, Shudder, Sundance Now, ALLBLK, HIDIVE and All Reality). Our programming networks are AMC, We TV, BBC America, IFC, and SundanceTV. Our AMC Studios operation produces original programming for our programming services and third parties and also licenses programming worldwide. Our film distribution business consists of Independent Film Company. The operating segment also includes AMC Networks Broadcasting &amp; Technology, our technical services business, which primarily services the programming networks.</w:t>
      </w:r>
    </w:p>
    <w:p>
      <w:pPr>
        <w:spacing w:after="0" w:line="74"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55"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International</w:t>
      </w:r>
      <w:r>
        <w:rPr>
          <w:rFonts w:ascii="Times New Roman" w:cs="Times New Roman" w:eastAsia="Times New Roman" w:hAnsi="Times New Roman"/>
          <w:sz w:val="18"/>
          <w:szCs w:val="18"/>
          <w:color w:val="auto"/>
        </w:rPr>
        <w:t>: Consists of AMC Global Media International, our international programming businesses consisting of a portfolio of channels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distributed around the world.</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AMC Global Media and its subsidiaries in which a controlling financial interest is maintained or variable interest entities in which the Company has determined it is the primary beneficiary. All intercompany transactions and balances have been eliminated in consolidation.</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Investments in business entities in which the Company lacks control but does have the ability to exercise significant influence over operating and financial policies are accounted for using the equity method of accounting.</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Interim Financial Statements</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condensed consolidated financial statements have been prepared in accordance with U.S. generally accepted accounting principles ("GAAP") for interim financial information and Article 10 of Regulation S-X of the Securities and Exchange Commission ("SEC"), and should be read in conjunction with the Company's consolidated financial statements and notes thereto for the year ended December 31, 2025 contained in the Company's Annual Report on Form 10-K (our "2025 Form 10-K") filed with the SEC. The condensed consolidated financial statements presented in this Quarterly Report on Form 10-Q are unaudited; however, in the opinion of management, such financial statements reflect all adjustments, consisting solely of normal recurring adjustments, necessary for a fair presentation of the results for the interim periods presented.</w:t>
      </w:r>
    </w:p>
    <w:p>
      <w:pPr>
        <w:spacing w:after="0" w:line="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results of operations for interim periods are not necessarily indicative of the results that might be expected for future interim periods or for the full year ending December 31, 2026.</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liabilities at the date of the financial statements; and the reported amounts of revenues and expenses during the reported period. Actual results could differ from those estimates. Significant estimates and judgments inherent in the preparation of the consolidated financial statements include the useful lives and methodologies used to amortize and assess recoverability of program rights, the estimated useful lives of intangible assets and the valuation and recoverability of goodwill and intangible assets.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July 2025, the Financial Accounting Standards Board ("FASB") issued guidance that provides a practical expedient for estimating credit losses for current accounts receivable and current contract assets arising from transactions accounted for under Accounting Standards Codification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Under the new standard, in lieu of developing forecasts of future economic conditions, entities can elect a practical expedient that assumes the current conditions as of the balance sheet date remain consistent for the remaining life of the asset. The new guidance became effective January 1, 2026 and is being applied prospectively. The adoption of this standard did not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ind w:left="340" w:right="2300"/>
        <w:spacing w:after="0" w:line="275" w:lineRule="auto"/>
        <w:rPr>
          <w:sz w:val="20"/>
          <w:szCs w:val="20"/>
          <w:color w:val="auto"/>
        </w:rPr>
      </w:pPr>
      <w:r>
        <w:rPr>
          <w:rFonts w:ascii="Times New Roman" w:cs="Times New Roman" w:eastAsia="Times New Roman" w:hAnsi="Times New Roman"/>
          <w:sz w:val="18"/>
          <w:szCs w:val="18"/>
          <w:color w:val="auto"/>
        </w:rPr>
        <w:t xml:space="preserve">AMC </w:t>
      </w:r>
      <w:r>
        <w:rPr>
          <w:rFonts w:ascii="Times New Roman" w:cs="Times New Roman" w:eastAsia="Times New Roman" w:hAnsi="Times New Roman"/>
          <w:sz w:val="16"/>
          <w:szCs w:val="16"/>
          <w:color w:val="auto"/>
        </w:rPr>
        <w:t>GLOBAL MEDIA</w:t>
      </w:r>
      <w:r>
        <w:rPr>
          <w:rFonts w:ascii="Times New Roman" w:cs="Times New Roman" w:eastAsia="Times New Roman" w:hAnsi="Times New Roman"/>
          <w:sz w:val="18"/>
          <w:szCs w:val="18"/>
          <w:color w:val="auto"/>
        </w:rPr>
        <w:t xml:space="preserve">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December 2025, the FASB issued guidance on the recognition, measurement, and presentation of government grants. Under the new guidance, government grants are recognized when it is probable that the entity will comply with the conditions of the grant and the grant will be received. The guidance provides accounting models for grants related to assets and grants related to income, including a requirement to recognize a grant related to an asset as the business entity incurs the related costs for which the grant is intended to compensate, either as deferred income or an adjustment to the cost basis of the asset. The guidance also requires disclosures regarding the nature of the government grant received, the accounting policies used to account for the grant, and significant terms and conditions of the grant. The new guidance will be effective January 1, 2029 with early adoption permitted. The Company is currently evaluating the impact of adopting the new guidance.</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guidance that clarifies the applicability of ASC Topic 270 (</w:t>
      </w:r>
      <w:r>
        <w:rPr>
          <w:rFonts w:ascii="Times New Roman" w:cs="Times New Roman" w:eastAsia="Times New Roman" w:hAnsi="Times New Roman"/>
          <w:sz w:val="18"/>
          <w:szCs w:val="18"/>
          <w:i w:val="1"/>
          <w:iCs w:val="1"/>
          <w:color w:val="auto"/>
        </w:rPr>
        <w:t>Interim Reporting</w:t>
      </w:r>
      <w:r>
        <w:rPr>
          <w:rFonts w:ascii="Times New Roman" w:cs="Times New Roman" w:eastAsia="Times New Roman" w:hAnsi="Times New Roman"/>
          <w:sz w:val="18"/>
          <w:szCs w:val="18"/>
          <w:color w:val="auto"/>
        </w:rPr>
        <w:t>), the types of interim reporting, and the form and content of interim financial statements in accordance with GAAP. The new guidance provides a comprehensive list of required interim disclosures and includes a disclosure principle that requires entities to disclose events since the end of the last annual reporting period that have a material impact on the entity. The new guidance will be effective January 1, 2028, with early adoption permitted. The Company is currently evaluating the impact of adopting the new guidance.</w:t>
      </w:r>
    </w:p>
    <w:p>
      <w:pPr>
        <w:spacing w:after="0" w:line="7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guidance to simplify the capitalization of costs to develop software for internal use by eliminating the consideration of software development project stages. Instead, costs will be capitalized when management has authorized and committed to funding the project and it is probable that the project will be completed and the software will be used to perform its intended function. The new guidance will be effective January 1, 2028 and can be applied prospectively, retrospectively, or with a modified prospective approach. The Company does not expect the adoption of this standard will have a material impact on its consolidated financial statements.</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November 2024, the FASB issued guidance that is intended to provide investors more detailed disclosures around specific types of expenses in the notes to the financial statements for interim and annual reporting periods. The Company will incorporate the required disclosure updates for the 2027 annual financial statements.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 Recognition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Price Allocated to Future Performance Obligations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other than contracts for which the Company has applied the practical expedients, the aggregate amount of transaction price allocated to remaining performance obligations was not material to our consolidated revenues.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 from Contracts with Customers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and contract liabilities from contracts with customers.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8"/>
                <w:szCs w:val="18"/>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Pr>
          <w:p>
            <w:pPr>
              <w:spacing w:after="0"/>
              <w:rPr>
                <w:sz w:val="18"/>
                <w:szCs w:val="18"/>
                <w:color w:val="auto"/>
              </w:rPr>
            </w:pPr>
          </w:p>
        </w:tc>
        <w:tc>
          <w:tcPr>
            <w:tcW w:w="156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6"/>
        </w:trPr>
        <w:tc>
          <w:tcPr>
            <w:tcW w:w="7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from contracts with customers: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r>
      <w:tr>
        <w:trPr>
          <w:trHeight w:val="230"/>
        </w:trPr>
        <w:tc>
          <w:tcPr>
            <w:tcW w:w="7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Accounts receivable (including long-term receivables within Other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591,296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610,021</w:t>
            </w:r>
          </w:p>
        </w:tc>
      </w:tr>
      <w:tr>
        <w:trPr>
          <w:trHeight w:val="230"/>
        </w:trPr>
        <w:tc>
          <w:tcPr>
            <w:tcW w:w="7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Contract liabilities, short-term (Deferred revenue)</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63,651</w:t>
            </w: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Revenue recognized for the three months ended March 31, 2026 and 2025 relating to the contract liabilities at December 31, 2025 and 2024 was $19.1 million and $20.1 million, respectively.</w:t>
      </w:r>
    </w:p>
    <w:p>
      <w:pPr>
        <w:spacing w:after="0" w:line="54"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18"/>
          <w:szCs w:val="18"/>
          <w:color w:val="auto"/>
        </w:rPr>
        <w:t>The Company has an agreement enabling it to sell certain customer receivables to a financial institution on a recurring basis for cash. The transferred receivables will be fully guaranteed by a bankruptcy-remote entity and the financial institution that purchases the receivables will have no recourse to the Company's other assets in the event of non-payment by the customers. The Company can sell an indefinite amount of customer receivables under the agreement on a revolving basis, but the outstanding balance of unpaid customer receivables to the financial institution cannot exceed the initial program limit of $125.0 million at any given time. As of March 31, 2026, the Company had not yet sold any customer receivables under this agreement.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ind w:left="340" w:right="2300"/>
        <w:spacing w:after="0" w:line="275" w:lineRule="auto"/>
        <w:rPr>
          <w:sz w:val="20"/>
          <w:szCs w:val="20"/>
          <w:color w:val="auto"/>
        </w:rPr>
      </w:pPr>
      <w:r>
        <w:rPr>
          <w:rFonts w:ascii="Times New Roman" w:cs="Times New Roman" w:eastAsia="Times New Roman" w:hAnsi="Times New Roman"/>
          <w:sz w:val="18"/>
          <w:szCs w:val="18"/>
          <w:color w:val="auto"/>
        </w:rPr>
        <w:t xml:space="preserve">AMC </w:t>
      </w:r>
      <w:r>
        <w:rPr>
          <w:rFonts w:ascii="Times New Roman" w:cs="Times New Roman" w:eastAsia="Times New Roman" w:hAnsi="Times New Roman"/>
          <w:sz w:val="16"/>
          <w:szCs w:val="16"/>
          <w:color w:val="auto"/>
        </w:rPr>
        <w:t>GLOBAL MEDIA</w:t>
      </w:r>
      <w:r>
        <w:rPr>
          <w:rFonts w:ascii="Times New Roman" w:cs="Times New Roman" w:eastAsia="Times New Roman" w:hAnsi="Times New Roman"/>
          <w:sz w:val="18"/>
          <w:szCs w:val="18"/>
          <w:color w:val="auto"/>
        </w:rPr>
        <w:t xml:space="preserve">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Net Income (Loss) per Share</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income (loss) per basic share is based upon net income (loss) attributable to AMC Global Media's' stockholders divided by the weighted average number of shares of Class A Common Stock and Class B Common Stock outstanding during the period. Net income (loss) per diluted share reflects the dilutive effects, if any, of AMC Global Media's outstanding equity-based awards and the assumed conversion of the Company's 4.25% Convertible Senior Notes due 2029 (the "Convertible Notes") issued in June 2024.</w:t>
      </w:r>
    </w:p>
    <w:p>
      <w:pPr>
        <w:spacing w:after="0" w:line="317"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21590</wp:posOffset>
            </wp:positionV>
            <wp:extent cx="18859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AMC Global Media's stockholders used for basic net income (loss) per share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18,049</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 Convertible Notes interest expense, net of tax</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r>
      <w:tr>
        <w:trPr>
          <w:trHeight w:val="248"/>
        </w:trPr>
        <w:tc>
          <w:tcPr>
            <w:tcW w:w="8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AMC Global Media's stockholders used for diluted net income (loss) per share</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44,821</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dilution:</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stock units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 Notes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11,286</w:t>
            </w:r>
          </w:p>
        </w:tc>
      </w:tr>
      <w:tr>
        <w:trPr>
          <w:trHeight w:val="248"/>
        </w:trPr>
        <w:tc>
          <w:tcPr>
            <w:tcW w:w="8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56,616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attributable to AMC Global Media's stockholders: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all 5.9 million of our restricted stock units ("RSUs") and the impact of 11.3 million common shares related to the assumed conversion of the Convertible Notes were excluded from the calculation of diluted net income (loss) per share because their inclusion would have been antidilutive since we reported a net loss.</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1.2 million of RSUs have been excluded from the diluted weighted average common shares outstanding, as their impact would have been antidilutive.</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Board of Directors previously authorized a program to repurchase up to $1.5 billion of its outstanding shares of Class A Common Stock (the "Stock Repurchase Program"). The Stock Repurchase Program has no pre-established termination date and may be suspended or discontinued at any time. During the first quarter of 2026, the Company did not repurchase any shares of its Class A Common Stock. As of March 31, 2026, the Company had $117.4 million of authorization remaining for repurchase under the Stock Repurchase Program.</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8, 2026, the Company entered into an accelerated share repurchase agreement (the “ASR Agreement”) with Citibank, N.A. (“Citibank”) to repurchase $30.0 million of its outstanding Class A Common Stock. The Company is conducting the accelerated share repurchase as part of its existing Stock Repurchase Program.</w:t>
      </w:r>
    </w:p>
    <w:p>
      <w:pPr>
        <w:spacing w:after="0" w:line="6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the terms of the ASR Agreement, on May 11, 2026, the Company will make an initial payment to Citibank of $30.0 million, and expects to receive an initial delivery of approximately 2.7 million shares of Class A Common Stock. The final number of shares to be repurchased will be based on the volume-weighted average price of the Class A Common Stock on specified dates during the term of the transaction, less a discount, and subject to customary adjustments pursuant to the terms and conditions of the ASR Agreement. At settlement, Citibank may be required to deliver additional shares of Common Stock to the Company, or, under certain circumstances, the Company may be required to make a payment to Citibank, which at the option of the Company may be in the form of cash or shares of Class A Common Stock. The final settlement of the transaction is expected to occur in the fourth quarter of 2026, but may be completed earlier at Citibank’s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ind w:left="340" w:right="2300"/>
        <w:spacing w:after="0" w:line="275" w:lineRule="auto"/>
        <w:rPr>
          <w:sz w:val="20"/>
          <w:szCs w:val="20"/>
          <w:color w:val="auto"/>
        </w:rPr>
      </w:pPr>
      <w:r>
        <w:rPr>
          <w:rFonts w:ascii="Times New Roman" w:cs="Times New Roman" w:eastAsia="Times New Roman" w:hAnsi="Times New Roman"/>
          <w:sz w:val="18"/>
          <w:szCs w:val="18"/>
          <w:color w:val="auto"/>
        </w:rPr>
        <w:t xml:space="preserve">AMC </w:t>
      </w:r>
      <w:r>
        <w:rPr>
          <w:rFonts w:ascii="Times New Roman" w:cs="Times New Roman" w:eastAsia="Times New Roman" w:hAnsi="Times New Roman"/>
          <w:sz w:val="16"/>
          <w:szCs w:val="16"/>
          <w:color w:val="auto"/>
        </w:rPr>
        <w:t>GLOBAL MEDIA</w:t>
      </w:r>
      <w:r>
        <w:rPr>
          <w:rFonts w:ascii="Times New Roman" w:cs="Times New Roman" w:eastAsia="Times New Roman" w:hAnsi="Times New Roman"/>
          <w:sz w:val="18"/>
          <w:szCs w:val="18"/>
          <w:color w:val="auto"/>
        </w:rPr>
        <w:t xml:space="preserve">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Restructuring and Other Related Charges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Restructuring and other related charges were $4.3 million for the three months ended March 31, 2026, with $1.7 million related to the Company's restructuring plan in its International segment ("International Plan"), which for the quarter consisted primarily of office closures in Latin America. The Company will incur additional restructuring charges in connection with the International Plan, which is expected to be substantially completed in the first half of 2026.</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October 2025, the Company announced a voluntary buyout program for U.S. employees, which resulted in modifications to the organizational structure of the Company and reduced employee costs. In connection with this program, the Company recognized $2.6 million of severance charges during the first quarter of 2026 and expects to recognize approximately $1 million of additional severance charges in 2026 related to employees who are providing ongoing service subsequent to March 31, 2026 in order to receive benefits under the program.</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Restructuring and other related charges were $4.8 million for the three months ended March 31, 2025, primarily related to the planned wind-down of a joint venture held by the Company's U.K. business with operations in EMEA as part of its International segment, as well as the commencement of the International Plan in Southern Europe.</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restructuring and other related charges (credits) recognized by operating segment:</w:t>
      </w:r>
    </w:p>
    <w:p>
      <w:pPr>
        <w:spacing w:after="0" w:line="160"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Operations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rPr>
              <w:t>(1,571)</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552"/>
              <w:spacing w:after="0"/>
              <w:rPr>
                <w:sz w:val="20"/>
                <w:szCs w:val="20"/>
                <w:color w:val="auto"/>
              </w:rPr>
            </w:pPr>
            <w:r>
              <w:rPr>
                <w:rFonts w:ascii="Times New Roman" w:cs="Times New Roman" w:eastAsia="Times New Roman" w:hAnsi="Times New Roman"/>
                <w:sz w:val="18"/>
                <w:szCs w:val="18"/>
                <w:color w:val="auto"/>
                <w:w w:val="98"/>
              </w:rPr>
              <w:t>6,360</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restructuring and other related charges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center"/>
              <w:ind w:left="552"/>
              <w:spacing w:after="0"/>
              <w:rPr>
                <w:sz w:val="20"/>
                <w:szCs w:val="20"/>
                <w:color w:val="auto"/>
              </w:rPr>
            </w:pPr>
            <w:r>
              <w:rPr>
                <w:rFonts w:ascii="Times New Roman" w:cs="Times New Roman" w:eastAsia="Times New Roman" w:hAnsi="Times New Roman"/>
                <w:sz w:val="18"/>
                <w:szCs w:val="18"/>
                <w:color w:val="auto"/>
                <w:w w:val="98"/>
              </w:rPr>
              <w:t>4,789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Restructuring and other related charges that were not allocated to operating segments were $0.6 million for the three months ended March 31, 2026. There were no restructuring and other related charges that were not allocated to operating segments for the three months ended March 31, 2025.</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accrued restructuring and other related costs: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80" w:type="dxa"/>
            <w:vAlign w:val="bottom"/>
          </w:tcPr>
          <w:p>
            <w:pPr>
              <w:spacing w:after="0"/>
              <w:rPr>
                <w:sz w:val="16"/>
                <w:szCs w:val="16"/>
                <w:color w:val="auto"/>
              </w:rPr>
            </w:pPr>
          </w:p>
        </w:tc>
        <w:tc>
          <w:tcPr>
            <w:tcW w:w="19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Severance and Employee-</w:t>
            </w:r>
          </w:p>
        </w:tc>
        <w:tc>
          <w:tcPr>
            <w:tcW w:w="19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Content Impairments and</w:t>
            </w:r>
          </w:p>
        </w:tc>
        <w:tc>
          <w:tcPr>
            <w:tcW w:w="420" w:type="dxa"/>
            <w:vAlign w:val="bottom"/>
          </w:tcPr>
          <w:p>
            <w:pPr>
              <w:spacing w:after="0"/>
              <w:rPr>
                <w:sz w:val="16"/>
                <w:szCs w:val="16"/>
                <w:color w:val="auto"/>
              </w:rPr>
            </w:pPr>
          </w:p>
        </w:tc>
        <w:tc>
          <w:tcPr>
            <w:tcW w:w="1420" w:type="dxa"/>
            <w:vAlign w:val="bottom"/>
            <w:vMerge w:val="restart"/>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Related Costs</w:t>
            </w:r>
          </w:p>
        </w:tc>
        <w:tc>
          <w:tcPr>
            <w:tcW w:w="220" w:type="dxa"/>
            <w:vAlign w:val="bottom"/>
          </w:tcPr>
          <w:p>
            <w:pPr>
              <w:spacing w:after="0"/>
              <w:rPr>
                <w:sz w:val="18"/>
                <w:szCs w:val="18"/>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Other Exit Costs</w:t>
            </w:r>
          </w:p>
        </w:tc>
        <w:tc>
          <w:tcPr>
            <w:tcW w:w="42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16,445</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(10,981)</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9,777</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Accrued restructuring and other related costs of $9.8 million and $16.4 million are included in Accrued liabilities in the condensed consolidated balance sheets at March 31, 2026 and December 31,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ind w:left="340" w:right="2300"/>
        <w:spacing w:after="0" w:line="275" w:lineRule="auto"/>
        <w:rPr>
          <w:sz w:val="20"/>
          <w:szCs w:val="20"/>
          <w:color w:val="auto"/>
        </w:rPr>
      </w:pPr>
      <w:r>
        <w:rPr>
          <w:rFonts w:ascii="Times New Roman" w:cs="Times New Roman" w:eastAsia="Times New Roman" w:hAnsi="Times New Roman"/>
          <w:sz w:val="18"/>
          <w:szCs w:val="18"/>
          <w:color w:val="auto"/>
        </w:rPr>
        <w:t xml:space="preserve">AMC </w:t>
      </w:r>
      <w:r>
        <w:rPr>
          <w:rFonts w:ascii="Times New Roman" w:cs="Times New Roman" w:eastAsia="Times New Roman" w:hAnsi="Times New Roman"/>
          <w:sz w:val="16"/>
          <w:szCs w:val="16"/>
          <w:color w:val="auto"/>
        </w:rPr>
        <w:t>GLOBAL MEDIA</w:t>
      </w:r>
      <w:r>
        <w:rPr>
          <w:rFonts w:ascii="Times New Roman" w:cs="Times New Roman" w:eastAsia="Times New Roman" w:hAnsi="Times New Roman"/>
          <w:sz w:val="18"/>
          <w:szCs w:val="18"/>
          <w:color w:val="auto"/>
        </w:rPr>
        <w:t xml:space="preserve">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Program Rights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capitalized produced and licensed content by predominant monetization strategy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tcPr>
          <w:p>
            <w:pPr>
              <w:ind w:left="80"/>
              <w:spacing w:after="0" w:line="169" w:lineRule="exact"/>
              <w:rPr>
                <w:sz w:val="20"/>
                <w:szCs w:val="20"/>
                <w:color w:val="auto"/>
              </w:rPr>
            </w:pPr>
            <w:r>
              <w:rPr>
                <w:rFonts w:ascii="Times New Roman" w:cs="Times New Roman" w:eastAsia="Times New Roman" w:hAnsi="Times New Roman"/>
                <w:sz w:val="18"/>
                <w:szCs w:val="18"/>
                <w:color w:val="auto"/>
              </w:rPr>
              <w:t>Predominantly</w:t>
            </w:r>
          </w:p>
        </w:tc>
        <w:tc>
          <w:tcPr>
            <w:tcW w:w="140" w:type="dxa"/>
            <w:vAlign w:val="bottom"/>
          </w:tcPr>
          <w:p>
            <w:pPr>
              <w:spacing w:after="0"/>
              <w:rPr>
                <w:sz w:val="14"/>
                <w:szCs w:val="14"/>
                <w:color w:val="auto"/>
              </w:rPr>
            </w:pPr>
          </w:p>
        </w:tc>
        <w:tc>
          <w:tcPr>
            <w:tcW w:w="1760" w:type="dxa"/>
            <w:vAlign w:val="bottom"/>
            <w:gridSpan w:val="2"/>
          </w:tcPr>
          <w:p>
            <w:pPr>
              <w:ind w:left="260"/>
              <w:spacing w:after="0" w:line="169" w:lineRule="exact"/>
              <w:rPr>
                <w:sz w:val="20"/>
                <w:szCs w:val="20"/>
                <w:color w:val="auto"/>
              </w:rPr>
            </w:pPr>
            <w:r>
              <w:rPr>
                <w:rFonts w:ascii="Times New Roman" w:cs="Times New Roman" w:eastAsia="Times New Roman" w:hAnsi="Times New Roman"/>
                <w:sz w:val="18"/>
                <w:szCs w:val="18"/>
                <w:color w:val="auto"/>
              </w:rPr>
              <w:t>Predominantly</w:t>
            </w: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Monetized Individually</w:t>
            </w:r>
          </w:p>
        </w:tc>
        <w:tc>
          <w:tcPr>
            <w:tcW w:w="19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Monetized as a Group</w:t>
            </w:r>
          </w:p>
        </w:tc>
        <w:tc>
          <w:tcPr>
            <w:tcW w:w="420" w:type="dxa"/>
            <w:vAlign w:val="bottom"/>
          </w:tcPr>
          <w:p>
            <w:pPr>
              <w:spacing w:after="0"/>
              <w:rPr>
                <w:sz w:val="21"/>
                <w:szCs w:val="21"/>
                <w:color w:val="auto"/>
              </w:rPr>
            </w:pPr>
          </w:p>
        </w:tc>
        <w:tc>
          <w:tcPr>
            <w:tcW w:w="15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3"/>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2600" w:type="dxa"/>
            <w:vAlign w:val="bottom"/>
            <w:tcBorders>
              <w:top w:val="single" w:sz="8" w:color="auto"/>
              <w:bottom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9"/>
              </w:rPr>
              <w:t>Owned original program rights, net:</w:t>
            </w:r>
          </w:p>
        </w:tc>
        <w:tc>
          <w:tcPr>
            <w:tcW w:w="2900" w:type="dxa"/>
            <w:vAlign w:val="bottom"/>
            <w:tcBorders>
              <w:top w:val="single" w:sz="8" w:color="auto"/>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CCEEFF"/>
            </w:tcBorders>
            <w:shd w:val="clear" w:color="auto" w:fill="CCEEFF"/>
          </w:tcPr>
          <w:p>
            <w:pPr>
              <w:spacing w:after="0"/>
              <w:rPr>
                <w:sz w:val="17"/>
                <w:szCs w:val="17"/>
                <w:color w:val="auto"/>
              </w:rPr>
            </w:pPr>
          </w:p>
        </w:tc>
        <w:tc>
          <w:tcPr>
            <w:tcW w:w="150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16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Completed</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590,357</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629,246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In-production and in-development</w:t>
            </w:r>
          </w:p>
        </w:tc>
        <w:tc>
          <w:tcPr>
            <w:tcW w:w="3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8"/>
                <w:szCs w:val="18"/>
                <w:color w:val="auto"/>
              </w:rPr>
              <w:t>Total owned original program rights, net</w:t>
            </w: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38,889</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897,478</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936,367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Licensed program rights, net:</w:t>
            </w: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Licensed film and acquired series</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564,558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Licensed originals</w:t>
            </w:r>
          </w:p>
        </w:tc>
        <w:tc>
          <w:tcPr>
            <w:tcW w:w="3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130,598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Advances and other production costs</w:t>
            </w:r>
          </w:p>
        </w:tc>
        <w:tc>
          <w:tcPr>
            <w:tcW w:w="3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8"/>
                <w:szCs w:val="18"/>
                <w:color w:val="auto"/>
              </w:rPr>
              <w:t>Total licensed program rights, net</w:t>
            </w:r>
          </w:p>
        </w:tc>
        <w:tc>
          <w:tcPr>
            <w:tcW w:w="3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755,268</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755,268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 rights, net</w:t>
            </w: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1,652,746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1,691,635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program rights, net</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Program rights, net (long-term)</w:t>
            </w:r>
          </w:p>
        </w:tc>
        <w:tc>
          <w:tcPr>
            <w:tcW w:w="3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1,685,354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1,691,635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CCEEFF"/>
            </w:tcBorders>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vMerge w:val="continue"/>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tcPr>
          <w:p>
            <w:pPr>
              <w:ind w:left="80"/>
              <w:spacing w:after="0" w:line="169" w:lineRule="exact"/>
              <w:rPr>
                <w:sz w:val="20"/>
                <w:szCs w:val="20"/>
                <w:color w:val="auto"/>
              </w:rPr>
            </w:pPr>
            <w:r>
              <w:rPr>
                <w:rFonts w:ascii="Times New Roman" w:cs="Times New Roman" w:eastAsia="Times New Roman" w:hAnsi="Times New Roman"/>
                <w:sz w:val="18"/>
                <w:szCs w:val="18"/>
                <w:color w:val="auto"/>
              </w:rPr>
              <w:t>Predominantly</w:t>
            </w:r>
          </w:p>
        </w:tc>
        <w:tc>
          <w:tcPr>
            <w:tcW w:w="140" w:type="dxa"/>
            <w:vAlign w:val="bottom"/>
          </w:tcPr>
          <w:p>
            <w:pPr>
              <w:spacing w:after="0"/>
              <w:rPr>
                <w:sz w:val="14"/>
                <w:szCs w:val="14"/>
                <w:color w:val="auto"/>
              </w:rPr>
            </w:pPr>
          </w:p>
        </w:tc>
        <w:tc>
          <w:tcPr>
            <w:tcW w:w="1760" w:type="dxa"/>
            <w:vAlign w:val="bottom"/>
            <w:gridSpan w:val="2"/>
          </w:tcPr>
          <w:p>
            <w:pPr>
              <w:ind w:left="260"/>
              <w:spacing w:after="0" w:line="169" w:lineRule="exact"/>
              <w:rPr>
                <w:sz w:val="20"/>
                <w:szCs w:val="20"/>
                <w:color w:val="auto"/>
              </w:rPr>
            </w:pPr>
            <w:r>
              <w:rPr>
                <w:rFonts w:ascii="Times New Roman" w:cs="Times New Roman" w:eastAsia="Times New Roman" w:hAnsi="Times New Roman"/>
                <w:sz w:val="18"/>
                <w:szCs w:val="18"/>
                <w:color w:val="auto"/>
              </w:rPr>
              <w:t>Predominantly</w:t>
            </w: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Monetized Individually</w:t>
            </w:r>
          </w:p>
        </w:tc>
        <w:tc>
          <w:tcPr>
            <w:tcW w:w="19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Monetized as a Group</w:t>
            </w:r>
          </w:p>
        </w:tc>
        <w:tc>
          <w:tcPr>
            <w:tcW w:w="420" w:type="dxa"/>
            <w:vAlign w:val="bottom"/>
          </w:tcPr>
          <w:p>
            <w:pPr>
              <w:spacing w:after="0"/>
              <w:rPr>
                <w:sz w:val="21"/>
                <w:szCs w:val="21"/>
                <w:color w:val="auto"/>
              </w:rPr>
            </w:pPr>
          </w:p>
        </w:tc>
        <w:tc>
          <w:tcPr>
            <w:tcW w:w="15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3"/>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2600" w:type="dxa"/>
            <w:vAlign w:val="bottom"/>
            <w:tcBorders>
              <w:top w:val="single" w:sz="8" w:color="auto"/>
              <w:bottom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9"/>
              </w:rPr>
              <w:t>Owned original program rights, net:</w:t>
            </w:r>
          </w:p>
        </w:tc>
        <w:tc>
          <w:tcPr>
            <w:tcW w:w="2900" w:type="dxa"/>
            <w:vAlign w:val="bottom"/>
            <w:tcBorders>
              <w:top w:val="single" w:sz="8" w:color="auto"/>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CCEEFF"/>
            </w:tcBorders>
            <w:shd w:val="clear" w:color="auto" w:fill="CCEEFF"/>
          </w:tcPr>
          <w:p>
            <w:pPr>
              <w:spacing w:after="0"/>
              <w:rPr>
                <w:sz w:val="17"/>
                <w:szCs w:val="17"/>
                <w:color w:val="auto"/>
              </w:rPr>
            </w:pPr>
          </w:p>
        </w:tc>
        <w:tc>
          <w:tcPr>
            <w:tcW w:w="150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16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Completed</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597,009</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641,267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In-production and in-development</w:t>
            </w:r>
          </w:p>
        </w:tc>
        <w:tc>
          <w:tcPr>
            <w:tcW w:w="3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8"/>
                <w:szCs w:val="18"/>
                <w:color w:val="auto"/>
              </w:rPr>
              <w:t>Total owned original program rights, net</w:t>
            </w: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44,258</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930,577</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974,835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Licensed program rights, net:</w:t>
            </w: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Licensed film and acquired series</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Licensed originals</w:t>
            </w:r>
          </w:p>
        </w:tc>
        <w:tc>
          <w:tcPr>
            <w:tcW w:w="3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141,243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Advances and other production costs</w:t>
            </w:r>
          </w:p>
        </w:tc>
        <w:tc>
          <w:tcPr>
            <w:tcW w:w="3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57,045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8"/>
                <w:szCs w:val="18"/>
                <w:color w:val="auto"/>
              </w:rPr>
              <w:t>Total licensed program rights, net</w:t>
            </w:r>
          </w:p>
        </w:tc>
        <w:tc>
          <w:tcPr>
            <w:tcW w:w="3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791,779</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791,779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 rights, net</w:t>
            </w: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44,258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1,722,356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1,766,614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gridSpan w:val="3"/>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program rights, net</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Program rights, net (long-term)</w:t>
            </w:r>
          </w:p>
        </w:tc>
        <w:tc>
          <w:tcPr>
            <w:tcW w:w="3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1,763,084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1,766,614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6"/>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0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ind w:left="340" w:right="2300"/>
        <w:spacing w:after="0" w:line="275" w:lineRule="auto"/>
        <w:rPr>
          <w:sz w:val="20"/>
          <w:szCs w:val="20"/>
          <w:color w:val="auto"/>
        </w:rPr>
      </w:pPr>
      <w:r>
        <w:rPr>
          <w:rFonts w:ascii="Times New Roman" w:cs="Times New Roman" w:eastAsia="Times New Roman" w:hAnsi="Times New Roman"/>
          <w:sz w:val="18"/>
          <w:szCs w:val="18"/>
          <w:color w:val="auto"/>
        </w:rPr>
        <w:t xml:space="preserve">AMC </w:t>
      </w:r>
      <w:r>
        <w:rPr>
          <w:rFonts w:ascii="Times New Roman" w:cs="Times New Roman" w:eastAsia="Times New Roman" w:hAnsi="Times New Roman"/>
          <w:sz w:val="16"/>
          <w:szCs w:val="16"/>
          <w:color w:val="auto"/>
        </w:rPr>
        <w:t>GLOBAL MEDIA</w:t>
      </w:r>
      <w:r>
        <w:rPr>
          <w:rFonts w:ascii="Times New Roman" w:cs="Times New Roman" w:eastAsia="Times New Roman" w:hAnsi="Times New Roman"/>
          <w:sz w:val="18"/>
          <w:szCs w:val="18"/>
          <w:color w:val="auto"/>
        </w:rPr>
        <w:t xml:space="preserve">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Amortization, including write-offs, of owned and licensed program rights is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6"/>
          </w:tcPr>
          <w:p>
            <w:pPr>
              <w:jc w:val="center"/>
              <w:ind w:left="595"/>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color w:val="auto"/>
                <w:w w:val="99"/>
              </w:rPr>
              <w:t>Predominantly</w:t>
            </w:r>
          </w:p>
        </w:tc>
        <w:tc>
          <w:tcPr>
            <w:tcW w:w="140" w:type="dxa"/>
            <w:vAlign w:val="bottom"/>
          </w:tcPr>
          <w:p>
            <w:pPr>
              <w:spacing w:after="0"/>
              <w:rPr>
                <w:sz w:val="13"/>
                <w:szCs w:val="13"/>
                <w:color w:val="auto"/>
              </w:rPr>
            </w:pPr>
          </w:p>
        </w:tc>
        <w:tc>
          <w:tcPr>
            <w:tcW w:w="134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color w:val="auto"/>
              </w:rPr>
              <w:t>Predominantly</w:t>
            </w: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color w:val="auto"/>
              </w:rPr>
              <w:t>Monetized</w:t>
            </w:r>
          </w:p>
        </w:tc>
        <w:tc>
          <w:tcPr>
            <w:tcW w:w="140" w:type="dxa"/>
            <w:vAlign w:val="bottom"/>
          </w:tcPr>
          <w:p>
            <w:pPr>
              <w:spacing w:after="0"/>
              <w:rPr>
                <w:sz w:val="14"/>
                <w:szCs w:val="14"/>
                <w:color w:val="auto"/>
              </w:rPr>
            </w:pPr>
          </w:p>
        </w:tc>
        <w:tc>
          <w:tcPr>
            <w:tcW w:w="134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color w:val="auto"/>
              </w:rPr>
              <w:t>Monetized as a</w:t>
            </w:r>
          </w:p>
        </w:tc>
        <w:tc>
          <w:tcPr>
            <w:tcW w:w="480" w:type="dxa"/>
            <w:vAlign w:val="bottom"/>
          </w:tcPr>
          <w:p>
            <w:pPr>
              <w:spacing w:after="0"/>
              <w:rPr>
                <w:sz w:val="14"/>
                <w:szCs w:val="14"/>
                <w:color w:val="auto"/>
              </w:rPr>
            </w:pPr>
          </w:p>
        </w:tc>
        <w:tc>
          <w:tcPr>
            <w:tcW w:w="840" w:type="dxa"/>
            <w:vAlign w:val="bottom"/>
            <w:vMerge w:val="restart"/>
          </w:tcPr>
          <w:p>
            <w:pPr>
              <w:jc w:val="right"/>
              <w:ind w:right="412"/>
              <w:spacing w:after="0"/>
              <w:rPr>
                <w:sz w:val="20"/>
                <w:szCs w:val="20"/>
                <w:color w:val="auto"/>
              </w:rPr>
            </w:pPr>
            <w:r>
              <w:rPr>
                <w:rFonts w:ascii="Times New Roman" w:cs="Times New Roman" w:eastAsia="Times New Roman" w:hAnsi="Times New Roman"/>
                <w:sz w:val="16"/>
                <w:szCs w:val="16"/>
                <w:color w:val="auto"/>
                <w:w w:val="94"/>
              </w:rPr>
              <w:t>Total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9"/>
              </w:rPr>
              <w:t>Individually</w:t>
            </w:r>
          </w:p>
        </w:tc>
        <w:tc>
          <w:tcPr>
            <w:tcW w:w="14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Group</w:t>
            </w:r>
          </w:p>
        </w:tc>
        <w:tc>
          <w:tcPr>
            <w:tcW w:w="4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auto"/>
            </w:tcBorders>
            <w:shd w:val="clear" w:color="auto" w:fill="CCEEFF"/>
          </w:tcPr>
          <w:p>
            <w:pPr>
              <w:spacing w:after="0"/>
              <w:rPr>
                <w:sz w:val="17"/>
                <w:szCs w:val="17"/>
                <w:color w:val="auto"/>
              </w:rPr>
            </w:pPr>
          </w:p>
        </w:tc>
        <w:tc>
          <w:tcPr>
            <w:tcW w:w="6920" w:type="dxa"/>
            <w:vAlign w:val="bottom"/>
            <w:tcBorders>
              <w:top w:val="single" w:sz="8" w:color="auto"/>
            </w:tcBorders>
            <w:gridSpan w:val="2"/>
            <w:shd w:val="clear" w:color="auto" w:fill="CCEEFF"/>
          </w:tcPr>
          <w:p>
            <w:pPr>
              <w:spacing w:after="0" w:line="185" w:lineRule="exact"/>
              <w:rPr>
                <w:sz w:val="20"/>
                <w:szCs w:val="20"/>
                <w:color w:val="auto"/>
              </w:rPr>
            </w:pPr>
            <w:r>
              <w:rPr>
                <w:rFonts w:ascii="Times New Roman" w:cs="Times New Roman" w:eastAsia="Times New Roman" w:hAnsi="Times New Roman"/>
                <w:sz w:val="18"/>
                <w:szCs w:val="18"/>
                <w:i w:val="1"/>
                <w:iCs w:val="1"/>
                <w:color w:val="auto"/>
              </w:rPr>
              <w:t>Included in Technical and operating:</w:t>
            </w: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2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Owned original program rights</w:t>
            </w:r>
          </w:p>
        </w:tc>
        <w:tc>
          <w:tcPr>
            <w:tcW w:w="43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5,369</w:t>
            </w:r>
          </w:p>
        </w:tc>
        <w:tc>
          <w:tcPr>
            <w:tcW w:w="1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93,336</w:t>
            </w:r>
          </w:p>
        </w:tc>
        <w:tc>
          <w:tcPr>
            <w:tcW w:w="16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98,705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Licensed program rights</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107,557</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5,369</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200,893</w:t>
            </w:r>
          </w:p>
        </w:tc>
        <w:tc>
          <w:tcPr>
            <w:tcW w:w="1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6"/>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6"/>
          </w:tcPr>
          <w:p>
            <w:pPr>
              <w:jc w:val="center"/>
              <w:ind w:left="595"/>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color w:val="auto"/>
                <w:w w:val="99"/>
              </w:rPr>
              <w:t>Predominantly</w:t>
            </w:r>
          </w:p>
        </w:tc>
        <w:tc>
          <w:tcPr>
            <w:tcW w:w="140" w:type="dxa"/>
            <w:vAlign w:val="bottom"/>
          </w:tcPr>
          <w:p>
            <w:pPr>
              <w:spacing w:after="0"/>
              <w:rPr>
                <w:sz w:val="13"/>
                <w:szCs w:val="13"/>
                <w:color w:val="auto"/>
              </w:rPr>
            </w:pPr>
          </w:p>
        </w:tc>
        <w:tc>
          <w:tcPr>
            <w:tcW w:w="134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color w:val="auto"/>
              </w:rPr>
              <w:t>Predominantly</w:t>
            </w: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color w:val="auto"/>
              </w:rPr>
              <w:t>Monetized</w:t>
            </w:r>
          </w:p>
        </w:tc>
        <w:tc>
          <w:tcPr>
            <w:tcW w:w="140" w:type="dxa"/>
            <w:vAlign w:val="bottom"/>
          </w:tcPr>
          <w:p>
            <w:pPr>
              <w:spacing w:after="0"/>
              <w:rPr>
                <w:sz w:val="14"/>
                <w:szCs w:val="14"/>
                <w:color w:val="auto"/>
              </w:rPr>
            </w:pPr>
          </w:p>
        </w:tc>
        <w:tc>
          <w:tcPr>
            <w:tcW w:w="134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color w:val="auto"/>
              </w:rPr>
              <w:t>Monetized as a</w:t>
            </w:r>
          </w:p>
        </w:tc>
        <w:tc>
          <w:tcPr>
            <w:tcW w:w="480" w:type="dxa"/>
            <w:vAlign w:val="bottom"/>
          </w:tcPr>
          <w:p>
            <w:pPr>
              <w:spacing w:after="0"/>
              <w:rPr>
                <w:sz w:val="14"/>
                <w:szCs w:val="14"/>
                <w:color w:val="auto"/>
              </w:rPr>
            </w:pPr>
          </w:p>
        </w:tc>
        <w:tc>
          <w:tcPr>
            <w:tcW w:w="840" w:type="dxa"/>
            <w:vAlign w:val="bottom"/>
            <w:vMerge w:val="restart"/>
          </w:tcPr>
          <w:p>
            <w:pPr>
              <w:jc w:val="right"/>
              <w:ind w:right="412"/>
              <w:spacing w:after="0"/>
              <w:rPr>
                <w:sz w:val="20"/>
                <w:szCs w:val="20"/>
                <w:color w:val="auto"/>
              </w:rPr>
            </w:pPr>
            <w:r>
              <w:rPr>
                <w:rFonts w:ascii="Times New Roman" w:cs="Times New Roman" w:eastAsia="Times New Roman" w:hAnsi="Times New Roman"/>
                <w:sz w:val="16"/>
                <w:szCs w:val="16"/>
                <w:color w:val="auto"/>
                <w:w w:val="94"/>
              </w:rPr>
              <w:t>Total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9"/>
              </w:rPr>
              <w:t>Individually</w:t>
            </w:r>
          </w:p>
        </w:tc>
        <w:tc>
          <w:tcPr>
            <w:tcW w:w="14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Group</w:t>
            </w:r>
          </w:p>
        </w:tc>
        <w:tc>
          <w:tcPr>
            <w:tcW w:w="4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auto"/>
            </w:tcBorders>
            <w:shd w:val="clear" w:color="auto" w:fill="CCEEFF"/>
          </w:tcPr>
          <w:p>
            <w:pPr>
              <w:spacing w:after="0"/>
              <w:rPr>
                <w:sz w:val="17"/>
                <w:szCs w:val="17"/>
                <w:color w:val="auto"/>
              </w:rPr>
            </w:pPr>
          </w:p>
        </w:tc>
        <w:tc>
          <w:tcPr>
            <w:tcW w:w="6920" w:type="dxa"/>
            <w:vAlign w:val="bottom"/>
            <w:tcBorders>
              <w:top w:val="single" w:sz="8" w:color="auto"/>
            </w:tcBorders>
            <w:gridSpan w:val="2"/>
            <w:shd w:val="clear" w:color="auto" w:fill="CCEEFF"/>
          </w:tcPr>
          <w:p>
            <w:pPr>
              <w:spacing w:after="0" w:line="185" w:lineRule="exact"/>
              <w:rPr>
                <w:sz w:val="20"/>
                <w:szCs w:val="20"/>
                <w:color w:val="auto"/>
              </w:rPr>
            </w:pPr>
            <w:r>
              <w:rPr>
                <w:rFonts w:ascii="Times New Roman" w:cs="Times New Roman" w:eastAsia="Times New Roman" w:hAnsi="Times New Roman"/>
                <w:sz w:val="18"/>
                <w:szCs w:val="18"/>
                <w:i w:val="1"/>
                <w:iCs w:val="1"/>
                <w:color w:val="auto"/>
              </w:rPr>
              <w:t>Included in Technical and operating:</w:t>
            </w: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2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Owned original program rights</w:t>
            </w:r>
          </w:p>
        </w:tc>
        <w:tc>
          <w:tcPr>
            <w:tcW w:w="43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1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87,143</w:t>
            </w:r>
          </w:p>
        </w:tc>
        <w:tc>
          <w:tcPr>
            <w:tcW w:w="16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91,036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Licensed program rights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106,766</w:t>
            </w:r>
          </w:p>
        </w:tc>
        <w:tc>
          <w:tcPr>
            <w:tcW w:w="1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193,909</w:t>
            </w:r>
          </w:p>
        </w:tc>
        <w:tc>
          <w:tcPr>
            <w:tcW w:w="16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197,881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significant program rights write-offs included in technical and operating expenses for the three months ended March 31, 2026 or 2025.</w:t>
      </w:r>
    </w:p>
    <w:p>
      <w:pPr>
        <w:spacing w:after="0" w:line="117"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In the normal course of business, the Company may qualify for tax incentives through eligible spend on productions. Receivables related to tax incentives earned on production spend as of March 31, 2026 consisted of $136.9 million recorded in Prepaid expenses and other current assets and $73.2 million recorded in Other assets. Receivables related to tax incentives earned on production spend as of December 31, 2025 consisted of $125.3 million recorded in Prepaid expenses and other current assets and $95.0 million recorded in Other assets.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Investments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holds several investments in and loans to non-consolidated entities that are included in Other assets in the condensed consolidated balance sheets. Equity method investments were $95.0 million and $94.8 million at March 31, 2026 and December 31, 2025, respectively. Investments in non-marketable equity securities were $45.5 million at March 31, 2026 and December 31, 2025.</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Goodwill and Other Intangible Assets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carrying amount of goodwill, by operating segment,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8"/>
                <w:szCs w:val="18"/>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Domestic Operations</w:t>
            </w:r>
          </w:p>
        </w:tc>
        <w:tc>
          <w:tcPr>
            <w:tcW w:w="280" w:type="dxa"/>
            <w:vAlign w:val="bottom"/>
          </w:tcPr>
          <w:p>
            <w:pPr>
              <w:spacing w:after="0"/>
              <w:rPr>
                <w:sz w:val="18"/>
                <w:szCs w:val="18"/>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420" w:type="dxa"/>
            <w:vAlign w:val="bottom"/>
          </w:tcPr>
          <w:p>
            <w:pPr>
              <w:spacing w:after="0"/>
              <w:rPr>
                <w:sz w:val="18"/>
                <w:szCs w:val="18"/>
                <w:color w:val="auto"/>
              </w:rPr>
            </w:pPr>
          </w:p>
        </w:tc>
        <w:tc>
          <w:tcPr>
            <w:tcW w:w="138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5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80,038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86,771</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166,809</w:t>
            </w: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5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(1,791)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w:t>
            </w:r>
          </w:p>
        </w:tc>
      </w:tr>
      <w:tr>
        <w:trPr>
          <w:trHeight w:val="248"/>
        </w:trPr>
        <w:tc>
          <w:tcPr>
            <w:tcW w:w="5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2026</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84,980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165,018</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accumulated impairment charges totaled $649.6 million, with $268.7 million attributed to the Domestic Operations operating segment and $380.9 million attributed to the International operating segment.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ind w:left="340" w:right="2300"/>
        <w:spacing w:after="0" w:line="275" w:lineRule="auto"/>
        <w:rPr>
          <w:sz w:val="20"/>
          <w:szCs w:val="20"/>
          <w:color w:val="auto"/>
        </w:rPr>
      </w:pPr>
      <w:r>
        <w:rPr>
          <w:rFonts w:ascii="Times New Roman" w:cs="Times New Roman" w:eastAsia="Times New Roman" w:hAnsi="Times New Roman"/>
          <w:sz w:val="18"/>
          <w:szCs w:val="18"/>
          <w:color w:val="auto"/>
        </w:rPr>
        <w:t xml:space="preserve">AMC </w:t>
      </w:r>
      <w:r>
        <w:rPr>
          <w:rFonts w:ascii="Times New Roman" w:cs="Times New Roman" w:eastAsia="Times New Roman" w:hAnsi="Times New Roman"/>
          <w:sz w:val="16"/>
          <w:szCs w:val="16"/>
          <w:color w:val="auto"/>
        </w:rPr>
        <w:t>GLOBAL MEDIA</w:t>
      </w:r>
      <w:r>
        <w:rPr>
          <w:rFonts w:ascii="Times New Roman" w:cs="Times New Roman" w:eastAsia="Times New Roman" w:hAnsi="Times New Roman"/>
          <w:sz w:val="18"/>
          <w:szCs w:val="18"/>
          <w:color w:val="auto"/>
        </w:rPr>
        <w:t xml:space="preserve">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summarize information relating to the Company's identifiable intangible assets: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5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3"/>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4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restart"/>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Net</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Estimated Useful</w:t>
            </w:r>
          </w:p>
        </w:tc>
        <w:tc>
          <w:tcPr>
            <w:tcW w:w="0" w:type="dxa"/>
            <w:vAlign w:val="bottom"/>
          </w:tcPr>
          <w:p>
            <w:pPr>
              <w:spacing w:after="0"/>
              <w:rPr>
                <w:sz w:val="1"/>
                <w:szCs w:val="1"/>
                <w:color w:val="auto"/>
              </w:rPr>
            </w:pPr>
          </w:p>
        </w:tc>
      </w:tr>
      <w:tr>
        <w:trPr>
          <w:trHeight w:val="214"/>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Lives</w:t>
            </w:r>
          </w:p>
        </w:tc>
        <w:tc>
          <w:tcPr>
            <w:tcW w:w="0" w:type="dxa"/>
            <w:vAlign w:val="bottom"/>
          </w:tcPr>
          <w:p>
            <w:pPr>
              <w:spacing w:after="0"/>
              <w:rPr>
                <w:sz w:val="1"/>
                <w:szCs w:val="1"/>
                <w:color w:val="auto"/>
              </w:rPr>
            </w:pPr>
          </w:p>
        </w:tc>
      </w:tr>
      <w:tr>
        <w:trPr>
          <w:trHeight w:val="225"/>
        </w:trPr>
        <w:tc>
          <w:tcPr>
            <w:tcW w:w="5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Amortizable intangible assets:</w:t>
            </w:r>
          </w:p>
        </w:tc>
        <w:tc>
          <w:tcPr>
            <w:tcW w:w="3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Affiliate and customer relationships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625,809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(501,678)</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124,131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to 25 years</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Advertiser relationships</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years</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Trade names and other amortizable intangible assets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91,498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(54,247)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37,251</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 to 20 years</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763,589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(602,207)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161,382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Trademarks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15,500</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783,489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(606,607)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176,882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28"/>
        </w:trPr>
        <w:tc>
          <w:tcPr>
            <w:tcW w:w="5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7"/>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220" w:type="dxa"/>
            <w:vAlign w:val="bottom"/>
          </w:tcPr>
          <w:p>
            <w:pPr>
              <w:spacing w:after="0"/>
              <w:rPr>
                <w:sz w:val="16"/>
                <w:szCs w:val="16"/>
                <w:color w:val="auto"/>
              </w:rPr>
            </w:pPr>
          </w:p>
        </w:tc>
        <w:tc>
          <w:tcPr>
            <w:tcW w:w="1220" w:type="dxa"/>
            <w:vAlign w:val="bottom"/>
            <w:gridSpan w:val="3"/>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vMerge w:val="restart"/>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Amortizable intangible assets:</w:t>
            </w:r>
          </w:p>
        </w:tc>
        <w:tc>
          <w:tcPr>
            <w:tcW w:w="3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Affiliate and customer relationships</w:t>
            </w:r>
          </w:p>
        </w:tc>
        <w:tc>
          <w:tcPr>
            <w:tcW w:w="320" w:type="dxa"/>
            <w:vAlign w:val="bottom"/>
          </w:tcPr>
          <w:p>
            <w:pPr>
              <w:spacing w:after="0"/>
              <w:rPr>
                <w:sz w:val="19"/>
                <w:szCs w:val="19"/>
                <w:color w:val="auto"/>
              </w:rPr>
            </w:pP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628,790</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(498,146)</w:t>
            </w:r>
          </w:p>
        </w:tc>
        <w:tc>
          <w:tcPr>
            <w:tcW w:w="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130,644</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Advertiser relationships</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(46,282)</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Trade names and other amortizable intangible assets</w:t>
            </w:r>
          </w:p>
        </w:tc>
        <w:tc>
          <w:tcPr>
            <w:tcW w:w="3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91,966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(53,307)</w:t>
            </w: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38,659</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767,038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(597,735)</w:t>
            </w:r>
          </w:p>
        </w:tc>
        <w:tc>
          <w:tcPr>
            <w:tcW w:w="3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169,303</w:t>
            </w: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Trademarks</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3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w w:val="85"/>
              </w:rPr>
              <w:t>(1)</w:t>
            </w:r>
          </w:p>
        </w:tc>
        <w:tc>
          <w:tcPr>
            <w:tcW w:w="1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786,938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(602,135)</w:t>
            </w:r>
          </w:p>
        </w:tc>
        <w:tc>
          <w:tcPr>
            <w:tcW w:w="320" w:type="dxa"/>
            <w:vAlign w:val="bottom"/>
          </w:tcPr>
          <w:p>
            <w:pPr>
              <w:spacing w:after="0"/>
              <w:rPr>
                <w:sz w:val="19"/>
                <w:szCs w:val="19"/>
                <w:color w:val="auto"/>
              </w:rPr>
            </w:pPr>
          </w:p>
        </w:tc>
        <w:tc>
          <w:tcPr>
            <w:tcW w:w="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184,803</w:t>
            </w:r>
          </w:p>
        </w:tc>
        <w:tc>
          <w:tcPr>
            <w:tcW w:w="0" w:type="dxa"/>
            <w:vAlign w:val="bottom"/>
          </w:tcPr>
          <w:p>
            <w:pPr>
              <w:spacing w:after="0"/>
              <w:rPr>
                <w:sz w:val="1"/>
                <w:szCs w:val="1"/>
                <w:color w:val="auto"/>
              </w:rPr>
            </w:pPr>
          </w:p>
        </w:tc>
      </w:tr>
      <w:tr>
        <w:trPr>
          <w:trHeight w:val="21"/>
        </w:trPr>
        <w:tc>
          <w:tcPr>
            <w:tcW w:w="5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(1) Related to an impairment charge recorded on the Company's SundanceTV trademarks during the fourth quarter of 2025.</w:t>
      </w:r>
    </w:p>
    <w:p>
      <w:pPr>
        <w:spacing w:after="0" w:line="1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Aggregate amortization expense for amortizable intangible assets for the three months ended March 31, 2026 and 2025 was $7.6 million and $7.8 million, respectively.</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Estimated aggregate amortization expense for intangible assets subject to amortization for each of the following five years is: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9"/>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Years Ending December 31,</w:t>
            </w:r>
          </w:p>
        </w:tc>
        <w:tc>
          <w:tcPr>
            <w:tcW w:w="44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3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900" w:type="dxa"/>
            <w:vAlign w:val="bottom"/>
            <w:shd w:val="clear" w:color="auto" w:fill="CCEEFF"/>
          </w:tcPr>
          <w:p>
            <w:pPr>
              <w:spacing w:after="0"/>
              <w:rPr>
                <w:sz w:val="19"/>
                <w:szCs w:val="19"/>
                <w:color w:val="auto"/>
              </w:rPr>
            </w:pPr>
          </w:p>
        </w:tc>
        <w:tc>
          <w:tcPr>
            <w:tcW w:w="4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30,379</w:t>
            </w:r>
          </w:p>
        </w:tc>
      </w:tr>
      <w:tr>
        <w:trPr>
          <w:trHeight w:val="230"/>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9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25,276</w:t>
            </w:r>
          </w:p>
        </w:tc>
      </w:tr>
      <w:tr>
        <w:trPr>
          <w:trHeight w:val="23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900" w:type="dxa"/>
            <w:vAlign w:val="bottom"/>
            <w:shd w:val="clear" w:color="auto" w:fill="CCEEFF"/>
          </w:tcPr>
          <w:p>
            <w:pPr>
              <w:spacing w:after="0"/>
              <w:rPr>
                <w:sz w:val="19"/>
                <w:szCs w:val="19"/>
                <w:color w:val="auto"/>
              </w:rPr>
            </w:pPr>
          </w:p>
        </w:tc>
        <w:tc>
          <w:tcPr>
            <w:tcW w:w="4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22,957</w:t>
            </w:r>
          </w:p>
        </w:tc>
      </w:tr>
      <w:tr>
        <w:trPr>
          <w:trHeight w:val="229"/>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9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19,891</w:t>
            </w:r>
          </w:p>
        </w:tc>
      </w:tr>
      <w:tr>
        <w:trPr>
          <w:trHeight w:val="23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900" w:type="dxa"/>
            <w:vAlign w:val="bottom"/>
            <w:shd w:val="clear" w:color="auto" w:fill="CCEEFF"/>
          </w:tcPr>
          <w:p>
            <w:pPr>
              <w:spacing w:after="0"/>
              <w:rPr>
                <w:sz w:val="19"/>
                <w:szCs w:val="19"/>
                <w:color w:val="auto"/>
              </w:rPr>
            </w:pPr>
          </w:p>
        </w:tc>
        <w:tc>
          <w:tcPr>
            <w:tcW w:w="4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ind w:left="340" w:right="2300"/>
        <w:spacing w:after="0" w:line="275" w:lineRule="auto"/>
        <w:rPr>
          <w:sz w:val="20"/>
          <w:szCs w:val="20"/>
          <w:color w:val="auto"/>
        </w:rPr>
      </w:pPr>
      <w:r>
        <w:rPr>
          <w:rFonts w:ascii="Times New Roman" w:cs="Times New Roman" w:eastAsia="Times New Roman" w:hAnsi="Times New Roman"/>
          <w:sz w:val="18"/>
          <w:szCs w:val="18"/>
          <w:color w:val="auto"/>
        </w:rPr>
        <w:t xml:space="preserve">AMC </w:t>
      </w:r>
      <w:r>
        <w:rPr>
          <w:rFonts w:ascii="Times New Roman" w:cs="Times New Roman" w:eastAsia="Times New Roman" w:hAnsi="Times New Roman"/>
          <w:sz w:val="16"/>
          <w:szCs w:val="16"/>
          <w:color w:val="auto"/>
        </w:rPr>
        <w:t>GLOBAL MEDIA</w:t>
      </w:r>
      <w:r>
        <w:rPr>
          <w:rFonts w:ascii="Times New Roman" w:cs="Times New Roman" w:eastAsia="Times New Roman" w:hAnsi="Times New Roman"/>
          <w:sz w:val="18"/>
          <w:szCs w:val="18"/>
          <w:color w:val="auto"/>
        </w:rPr>
        <w:t xml:space="preserve">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Accrued Liabilities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liabilities consist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8"/>
                <w:szCs w:val="18"/>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00" w:type="dxa"/>
            <w:vAlign w:val="bottom"/>
          </w:tcPr>
          <w:p>
            <w:pPr>
              <w:spacing w:after="0"/>
              <w:rPr>
                <w:sz w:val="18"/>
                <w:szCs w:val="18"/>
                <w:color w:val="auto"/>
              </w:rPr>
            </w:pPr>
          </w:p>
        </w:tc>
        <w:tc>
          <w:tcPr>
            <w:tcW w:w="170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26"/>
        </w:trPr>
        <w:tc>
          <w:tcPr>
            <w:tcW w:w="7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related costs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90,648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77,635</w:t>
            </w:r>
          </w:p>
        </w:tc>
        <w:tc>
          <w:tcPr>
            <w:tcW w:w="0" w:type="dxa"/>
            <w:vAlign w:val="bottom"/>
          </w:tcPr>
          <w:p>
            <w:pPr>
              <w:spacing w:after="0"/>
              <w:rPr>
                <w:sz w:val="1"/>
                <w:szCs w:val="1"/>
                <w:color w:val="auto"/>
              </w:rPr>
            </w:pP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Participations and residuals</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127,859</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68,940</w:t>
            </w:r>
          </w:p>
        </w:tc>
        <w:tc>
          <w:tcPr>
            <w:tcW w:w="0" w:type="dxa"/>
            <w:vAlign w:val="bottom"/>
          </w:tcPr>
          <w:p>
            <w:pPr>
              <w:spacing w:after="0"/>
              <w:rPr>
                <w:sz w:val="1"/>
                <w:szCs w:val="1"/>
                <w:color w:val="auto"/>
              </w:rPr>
            </w:pP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16,445</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32,150</w:t>
            </w:r>
          </w:p>
        </w:tc>
        <w:tc>
          <w:tcPr>
            <w:tcW w:w="0" w:type="dxa"/>
            <w:vAlign w:val="bottom"/>
          </w:tcPr>
          <w:p>
            <w:pPr>
              <w:spacing w:after="0"/>
              <w:rPr>
                <w:sz w:val="1"/>
                <w:szCs w:val="1"/>
                <w:color w:val="auto"/>
              </w:rPr>
            </w:pP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292,105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323,029</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9. Long-term Debt</w:t>
            </w: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73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Company's long-term debt consists of:</w:t>
            </w: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24"/>
                <w:szCs w:val="24"/>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00" w:type="dxa"/>
            <w:vAlign w:val="bottom"/>
          </w:tcPr>
          <w:p>
            <w:pPr>
              <w:spacing w:after="0"/>
              <w:rPr>
                <w:sz w:val="24"/>
                <w:szCs w:val="24"/>
                <w:color w:val="auto"/>
              </w:rPr>
            </w:pPr>
          </w:p>
        </w:tc>
        <w:tc>
          <w:tcPr>
            <w:tcW w:w="170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39"/>
        </w:trPr>
        <w:tc>
          <w:tcPr>
            <w:tcW w:w="7320" w:type="dxa"/>
            <w:vAlign w:val="bottom"/>
            <w:tcBorders>
              <w:top w:val="single" w:sz="8" w:color="auto"/>
            </w:tcBorders>
            <w:shd w:val="clear" w:color="auto" w:fill="CCEEFF"/>
          </w:tcPr>
          <w:p>
            <w:pPr>
              <w:ind w:left="20"/>
              <w:spacing w:after="0" w:line="239" w:lineRule="exact"/>
              <w:rPr>
                <w:sz w:val="20"/>
                <w:szCs w:val="20"/>
                <w:color w:val="auto"/>
              </w:rPr>
            </w:pPr>
            <w:r>
              <w:rPr>
                <w:rFonts w:ascii="Times New Roman" w:cs="Times New Roman" w:eastAsia="Times New Roman" w:hAnsi="Times New Roman"/>
                <w:sz w:val="18"/>
                <w:szCs w:val="18"/>
                <w:color w:val="auto"/>
              </w:rPr>
              <w:t xml:space="preserve">Senior Secured Credit Facility: </w:t>
            </w:r>
            <w:r>
              <w:rPr>
                <w:rFonts w:ascii="Times New Roman" w:cs="Times New Roman" w:eastAsia="Times New Roman" w:hAnsi="Times New Roman"/>
                <w:sz w:val="25"/>
                <w:szCs w:val="25"/>
                <w:color w:val="auto"/>
                <w:vertAlign w:val="superscript"/>
              </w:rPr>
              <w:t>(a)</w:t>
            </w:r>
          </w:p>
        </w:tc>
        <w:tc>
          <w:tcPr>
            <w:tcW w:w="260" w:type="dxa"/>
            <w:vAlign w:val="bottom"/>
            <w:tcBorders>
              <w:top w:val="single" w:sz="8" w:color="auto"/>
            </w:tcBorders>
            <w:shd w:val="clear" w:color="auto" w:fill="CCEEFF"/>
          </w:tcPr>
          <w:p>
            <w:pPr>
              <w:spacing w:after="0"/>
              <w:rPr>
                <w:sz w:val="20"/>
                <w:szCs w:val="20"/>
                <w:color w:val="auto"/>
              </w:rPr>
            </w:pPr>
          </w:p>
        </w:tc>
        <w:tc>
          <w:tcPr>
            <w:tcW w:w="16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70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Term Loan A Facility</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80,028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82,795</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10.25% Senior Secured Notes due January 2029</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875,000</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4.25% Senior Notes due February 2029</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276,706</w:t>
            </w:r>
          </w:p>
        </w:tc>
        <w:tc>
          <w:tcPr>
            <w:tcW w:w="0" w:type="dxa"/>
            <w:vAlign w:val="bottom"/>
          </w:tcPr>
          <w:p>
            <w:pPr>
              <w:spacing w:after="0"/>
              <w:rPr>
                <w:sz w:val="1"/>
                <w:szCs w:val="1"/>
                <w:color w:val="auto"/>
              </w:rPr>
            </w:pPr>
          </w:p>
        </w:tc>
      </w:tr>
      <w:tr>
        <w:trPr>
          <w:trHeight w:val="229"/>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4.25% Convertible Senior Notes due February 2029</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143,750</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10.50% Senior Secured Notes due July 2032</w:t>
            </w: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1,315,098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1,829,284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1,778,251</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discount</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(18,883)</w:t>
            </w: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deferred financing costs</w:t>
            </w: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(7,075)</w:t>
            </w: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1,749,288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1,752,293</w:t>
            </w: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11,068</w:t>
            </w:r>
          </w:p>
        </w:tc>
        <w:tc>
          <w:tcPr>
            <w:tcW w:w="0" w:type="dxa"/>
            <w:vAlign w:val="bottom"/>
          </w:tcPr>
          <w:p>
            <w:pPr>
              <w:spacing w:after="0"/>
              <w:rPr>
                <w:sz w:val="1"/>
                <w:szCs w:val="1"/>
                <w:color w:val="auto"/>
              </w:rPr>
            </w:pP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portion of long-term debt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1,724,518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1,741,225</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660" w:hanging="328"/>
        <w:spacing w:after="0" w:line="272" w:lineRule="auto"/>
        <w:tabs>
          <w:tab w:leader="none" w:pos="65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aggregate principal amount of the debt, with maturities of the Term Loan A Facility of $80.0 million due April 2028. The Company also had commitments under its undrawn $175.0 million Revolving Credit Facility. On May 6, 2026, the Company gave notice that it would repay the Term Loan A Facility and terminate the Revolving Credit Facility on May 12, 2026.</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Secured Credit Facility</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three months ended March 31, 2026, the Company repaid $2.8 million of the principal amount of the Term Loan A Facility.</w:t>
      </w:r>
    </w:p>
    <w:p>
      <w:pPr>
        <w:spacing w:after="0" w:line="11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AMC Global Media's credit agreement (as amended, the "Credit Agreement") requires AMC Global Media Inc. and its restricted subsidiaries on a consolidated basis to comply with a maximum total net leverage ratio of 5.75:1.00 from April 9, 2024 through March 31, 2026, after which the maximum total net leverage ratio decreased to 5.50:1.00, subject to increase (not to exceed 6.00:1.00) if AMC Global Media consummates any leveraging acquisition. In addition, the Credit Agreement requires a minimum interest coverage ratio of 1.50:1.00 for AMC Global Media Inc. and its restricted subsidiaries on a consolidated basis for each quarter through September 30, 2028, with a step-up to 1.75:1.00 for fiscal quarters ending on or after December 31, 2028. All borrowings under the Credit Agreement are subject to the satisfaction of customary conditions, including the absence of a default and accuracy of representations and warranties. AMC Global Media was in compliance with all of its financial covenants under the Credit Agreement as of March 31, 2026.</w:t>
      </w:r>
    </w:p>
    <w:p>
      <w:pPr>
        <w:spacing w:after="0" w:line="29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May 6, 2026, the Company notified JPMorgan Chase Bank, N.A., pursuant to the terms of the Credit Agreement, that it would repay the $80.0 million remaining balance under the Term Loan A Facility and terminate the Revolving Credit Facility on May 12,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ind w:left="340" w:right="2300"/>
        <w:spacing w:after="0" w:line="275" w:lineRule="auto"/>
        <w:rPr>
          <w:sz w:val="20"/>
          <w:szCs w:val="20"/>
          <w:color w:val="auto"/>
        </w:rPr>
      </w:pPr>
      <w:r>
        <w:rPr>
          <w:rFonts w:ascii="Times New Roman" w:cs="Times New Roman" w:eastAsia="Times New Roman" w:hAnsi="Times New Roman"/>
          <w:sz w:val="18"/>
          <w:szCs w:val="18"/>
          <w:color w:val="auto"/>
        </w:rPr>
        <w:t xml:space="preserve">AMC </w:t>
      </w:r>
      <w:r>
        <w:rPr>
          <w:rFonts w:ascii="Times New Roman" w:cs="Times New Roman" w:eastAsia="Times New Roman" w:hAnsi="Times New Roman"/>
          <w:sz w:val="16"/>
          <w:szCs w:val="16"/>
          <w:color w:val="auto"/>
        </w:rPr>
        <w:t>GLOBAL MEDIA</w:t>
      </w:r>
      <w:r>
        <w:rPr>
          <w:rFonts w:ascii="Times New Roman" w:cs="Times New Roman" w:eastAsia="Times New Roman" w:hAnsi="Times New Roman"/>
          <w:sz w:val="18"/>
          <w:szCs w:val="18"/>
          <w:color w:val="auto"/>
        </w:rPr>
        <w:t xml:space="preserve">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Solicitation to Amend the 10.50% Senior Secured Notes due 2032</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February 23, 2026, the Company received requisite consents from holders of its 10.50% Senior Secured Notes due 2032 related to the effectiveness of amendments to the indenture governing the 10.50% Senior Secured Notes due 2032 to (1) amend the covenant that limits restricted payments in order to permit buybacks, purchases, redemptions, retirements or other acquisitions of AMC Global Media's equity interests in an aggregate amount not to exceed $50.0 million; (2) revise the covenant that limits transfers or licenses of certain trademarks to unrestricted subsidiaries to only permit transfers of non-exclusive licenses; and (3) restrict investments in unrestricted subsidiaries made pursuant to the definition of “Permitted Investments” to certain specified clauses in such definition. As a result of the receipt of requisite consents, the Company made a consent fee cash payment of $2.0 million in aggregate to all holders of the 10.50% Senior Secured Notes due 2032 who validly delivered and did not validly revoke their consents. The consent fee was accounted for as a debt modification in accordance with ASC Topic 470 and capitalized as a deferred financing cost.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Offer and Consent Solicitation to Amend the 10.25% Senior Secured Notes due 2029</w:t>
      </w:r>
    </w:p>
    <w:p>
      <w:pPr>
        <w:spacing w:after="0" w:line="12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February 23, 2026, the Company commenced a private exchange offer (the “Exchange Offer”) and related consent solicitation (the “Consent Solicitation”) with respect to its outstanding 10.25% Senior Secured Notes due 2029 (the "2029 Notes"). Pursuant to the Exchange Offer, the Company offered to issue additional 10.50% Senior Secured Notes due 2032 (the “2032 Notes”) in exchange for any and all of the $875 million aggregate principal amount of 2029 Notes held by eligible holders of 2029 Notes. The 2032 Notes issued in the Exchange Offer form part of the same series as the 2032 Notes issued in July 2025. In addition, pursuant to the Consent Solicitation, the Company solicited consents from eligible holders to amend certain of the covenants in the indenture governing the 2029 Notes. For 2029 Notes tendered and not validly withdrawn before 5:00 p.m., New York City time, on March 6, 2026 (the "Early Tender Time"), eligible holders received the “Total Consideration” of $1,065 in aggregate principal amount of 2032 Notes (including an early tender premium of $50 in principal amount of 2032 Notes) for each $1,000 principal amount of 2029 Notes validly tendered and accepted for exchange by the Company. For 2029 Notes tendered after the Early Tender Time and on or before 5:00 p.m., New York City time, on March 23, 2026 (the “Expiration Time”), eligible holders received the “Exchange Consideration” of $1,015 in aggregate principal amount of 2032 Notes for each $1,000 principal amount of 2029 Notes validly tendered and accepted for exchange by the Company. The Total Consideration and Exchange Consideration, as applicable, were reduced by an amount equal to the result of (x) the aggregate amount of accrued and unpaid interest due on the 2032 Notes issued to eligible holders from and including the last interest payment date for the original 2032 Notes to but not including the applicable settlement date less (y) the aggregate amount of accrued and unpaid interest due on the 2029 Notes validly tendered and accepted by the Company from and including the last interest payment date for such 2029 Notes to but not including the applicable settlement date.</w:t>
      </w:r>
    </w:p>
    <w:p>
      <w:pPr>
        <w:spacing w:after="0" w:line="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13, 2026, the Company completed the early settlement of the Exchange Offer. As of the Early Tender Time, approximately $830.6 million in aggregate principal amount of outstanding 2029 Notes had been validly tendered and not validly withdrawn. In connection with early settlement of the Exchange Offer, the Company issued $884 million in aggregate principal amount of the 2032 Notes.</w:t>
      </w:r>
    </w:p>
    <w:p>
      <w:pPr>
        <w:spacing w:after="0" w:line="6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March 25, 2026, the Company completed the final settlement of the Exchange Offer. As of the Expiration Time, an additional approximately $30.7 million in aggregate principal amount of 2029 Notes was validly tendered in the Exchange Offer. In connection with the final settlement of the Exchange Offer, the Company issued approximately $31.1 million in aggregate principal amount of 2032 Notes. All tendered 2029 Notes exchanged in the Exchange offer were cancelled. Following such cancellation, approximately $13.7 million in aggregate principal amount of 2029 Notes remained outstanding as of March 31, 2026. The incremental aggregate principal issued on the 2032 Notes included in the Total Consideration and Exchange Consideration was $53.8 million and was accounted for as a debt modification in accordance with ASC Topic 470. As such, this noncash aggregate principal increase resulted in a corresponding capitalized debt discount. The Company also incurred third-party fees specifically attributable to the Exchange Offer of $16.7 million and are included in Miscellaneous, net in the condensed consolidated statement of income (loss) for the three months ended March 31, 2026.</w:t>
      </w:r>
    </w:p>
    <w:p>
      <w:pPr>
        <w:spacing w:after="0" w:line="30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April 6, 2026, the Company redeemed of all of its remaining outstanding 2029 Notes, totaling approximately $13.7 million in aggregate principal amount. The 2029 Notes were redeemed at a redemption price equal to 105.125% of the principal amount thereof, plus accrued and unpaid interest to, but excluding, the redemption date. As such, the remaining outstanding 2029 Notes aggregate principal amount of $13.7 million is included in the Current portion of long-term debt in the condensed consolidated balance sheet as of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ind w:left="340" w:right="2300"/>
        <w:spacing w:after="0" w:line="275" w:lineRule="auto"/>
        <w:rPr>
          <w:sz w:val="20"/>
          <w:szCs w:val="20"/>
          <w:color w:val="auto"/>
        </w:rPr>
      </w:pPr>
      <w:r>
        <w:rPr>
          <w:rFonts w:ascii="Times New Roman" w:cs="Times New Roman" w:eastAsia="Times New Roman" w:hAnsi="Times New Roman"/>
          <w:sz w:val="18"/>
          <w:szCs w:val="18"/>
          <w:color w:val="auto"/>
        </w:rPr>
        <w:t xml:space="preserve">AMC </w:t>
      </w:r>
      <w:r>
        <w:rPr>
          <w:rFonts w:ascii="Times New Roman" w:cs="Times New Roman" w:eastAsia="Times New Roman" w:hAnsi="Times New Roman"/>
          <w:sz w:val="16"/>
          <w:szCs w:val="16"/>
          <w:color w:val="auto"/>
        </w:rPr>
        <w:t>GLOBAL MEDIA</w:t>
      </w:r>
      <w:r>
        <w:rPr>
          <w:rFonts w:ascii="Times New Roman" w:cs="Times New Roman" w:eastAsia="Times New Roman" w:hAnsi="Times New Roman"/>
          <w:sz w:val="18"/>
          <w:szCs w:val="18"/>
          <w:color w:val="auto"/>
        </w:rPr>
        <w:t xml:space="preserve"> INC. AND SUBSIDIARIES NOTES TO CONDENSED CONSOLIDATED FINANCIAL STATEMENTS - (Continued) (unaudited)</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Leases</w:t>
      </w:r>
    </w:p>
    <w:p>
      <w:pPr>
        <w:spacing w:after="0" w:line="121"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The Company's leases consist of non-cancelable agreements for office space, and to a lesser extent, equipment leases for satellite transponders, which expire at various dates through 2033. Leases with an initial term of 12 months or less are not recorded on the balance sheet, instead the lease expense is recorded on a straight-line basis over the lease term. For lease agreements entered into, we combine lease and non-lease components. Some leases include options to extend the lease term or terminate the lease prior to the end of the lease term. The depreciable life of assets and leasehold improvements are limited by the expected lease term, unless there is a transfer of title or purchase option reasonably certain of exercise.</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leases generally provide for fixed annual rentals plus certain other costs or credits (e.g., a tenant improvement allowance). Some leases include rental payments based on a percentage of revenue over contractual levels or based on an index or rate. Our lease agreements do not include any material residual value guarantees or material restrictive covenants.</w:t>
      </w:r>
    </w:p>
    <w:p>
      <w:pPr>
        <w:spacing w:after="0" w:line="6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Since the rate implicit in its leases is not readily determinable, the Company uses its incremental borrowing rate based on the information available at the lease commencement date to determine the present value of the lease payments.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leases included in the condensed consolidated balance sheets: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580" w:type="dxa"/>
            <w:vAlign w:val="bottom"/>
            <w:gridSpan w:val="2"/>
          </w:tcPr>
          <w:p>
            <w:pPr>
              <w:ind w:left="74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320" w:type="dxa"/>
            <w:vAlign w:val="bottom"/>
          </w:tcPr>
          <w:p>
            <w:pPr>
              <w:spacing w:after="0"/>
              <w:rPr>
                <w:sz w:val="18"/>
                <w:szCs w:val="18"/>
                <w:color w:val="auto"/>
              </w:rPr>
            </w:pPr>
          </w:p>
        </w:tc>
        <w:tc>
          <w:tcPr>
            <w:tcW w:w="18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40" w:type="dxa"/>
            <w:vAlign w:val="bottom"/>
          </w:tcPr>
          <w:p>
            <w:pPr>
              <w:spacing w:after="0"/>
              <w:rPr>
                <w:sz w:val="18"/>
                <w:szCs w:val="18"/>
                <w:color w:val="auto"/>
              </w:rPr>
            </w:pPr>
          </w:p>
        </w:tc>
        <w:tc>
          <w:tcPr>
            <w:tcW w:w="186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185"/>
        </w:trPr>
        <w:tc>
          <w:tcPr>
            <w:tcW w:w="20" w:type="dxa"/>
            <w:vAlign w:val="bottom"/>
            <w:tcBorders>
              <w:top w:val="single" w:sz="8" w:color="auto"/>
            </w:tcBorders>
            <w:shd w:val="clear" w:color="auto" w:fill="CCEEFF"/>
          </w:tcPr>
          <w:p>
            <w:pPr>
              <w:spacing w:after="0"/>
              <w:rPr>
                <w:sz w:val="16"/>
                <w:szCs w:val="16"/>
                <w:color w:val="auto"/>
              </w:rPr>
            </w:pPr>
          </w:p>
        </w:tc>
        <w:tc>
          <w:tcPr>
            <w:tcW w:w="2340" w:type="dxa"/>
            <w:vAlign w:val="bottom"/>
            <w:tcBorders>
              <w:top w:val="single" w:sz="8" w:color="auto"/>
            </w:tcBorders>
            <w:gridSpan w:val="3"/>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Assets</w:t>
            </w:r>
          </w:p>
        </w:tc>
        <w:tc>
          <w:tcPr>
            <w:tcW w:w="4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860" w:type="dxa"/>
            <w:vAlign w:val="bottom"/>
            <w:tcBorders>
              <w:top w:val="single" w:sz="8" w:color="auto"/>
            </w:tcBorders>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45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68,690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72,545</w:t>
            </w:r>
          </w:p>
        </w:tc>
      </w:tr>
      <w:tr>
        <w:trPr>
          <w:trHeight w:val="229"/>
        </w:trPr>
        <w:tc>
          <w:tcPr>
            <w:tcW w:w="20" w:type="dxa"/>
            <w:vAlign w:val="bottom"/>
            <w:shd w:val="clear" w:color="auto" w:fill="CCEEFF"/>
          </w:tcPr>
          <w:p>
            <w:pPr>
              <w:spacing w:after="0"/>
              <w:rPr>
                <w:sz w:val="19"/>
                <w:szCs w:val="19"/>
                <w:color w:val="auto"/>
              </w:rPr>
            </w:pPr>
          </w:p>
        </w:tc>
        <w:tc>
          <w:tcPr>
            <w:tcW w:w="2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w:t>
            </w:r>
          </w:p>
        </w:tc>
        <w:tc>
          <w:tcPr>
            <w:tcW w:w="45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12,478</w:t>
            </w:r>
          </w:p>
        </w:tc>
      </w:tr>
      <w:tr>
        <w:trPr>
          <w:trHeight w:val="223"/>
        </w:trPr>
        <w:tc>
          <w:tcPr>
            <w:tcW w:w="20" w:type="dxa"/>
            <w:vAlign w:val="bottom"/>
          </w:tcPr>
          <w:p>
            <w:pPr>
              <w:spacing w:after="0"/>
              <w:rPr>
                <w:sz w:val="19"/>
                <w:szCs w:val="19"/>
                <w:color w:val="auto"/>
              </w:rPr>
            </w:pPr>
          </w:p>
        </w:tc>
        <w:tc>
          <w:tcPr>
            <w:tcW w:w="2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 lease assets</w:t>
            </w:r>
          </w:p>
        </w:tc>
        <w:tc>
          <w:tcPr>
            <w:tcW w:w="4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80,452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8"/>
              </w:rPr>
              <w:t>Liabilities</w:t>
            </w:r>
          </w:p>
        </w:tc>
        <w:tc>
          <w:tcPr>
            <w:tcW w:w="1560" w:type="dxa"/>
            <w:vAlign w:val="bottom"/>
            <w:tcBorders>
              <w:bottom w:val="single" w:sz="8" w:color="CCEEFF"/>
            </w:tcBorders>
            <w:shd w:val="clear" w:color="auto" w:fill="CCEEFF"/>
          </w:tcPr>
          <w:p>
            <w:pPr>
              <w:spacing w:after="0"/>
              <w:rPr>
                <w:sz w:val="15"/>
                <w:szCs w:val="15"/>
                <w:color w:val="auto"/>
              </w:rPr>
            </w:pPr>
          </w:p>
        </w:tc>
        <w:tc>
          <w:tcPr>
            <w:tcW w:w="4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CCEEFF"/>
            </w:tcBorders>
            <w:shd w:val="clear" w:color="auto" w:fill="CCEEFF"/>
          </w:tcPr>
          <w:p>
            <w:pPr>
              <w:spacing w:after="0"/>
              <w:rPr>
                <w:sz w:val="15"/>
                <w:szCs w:val="15"/>
                <w:color w:val="auto"/>
              </w:rPr>
            </w:pPr>
          </w:p>
        </w:tc>
      </w:tr>
      <w:tr>
        <w:trPr>
          <w:trHeight w:val="230"/>
        </w:trPr>
        <w:tc>
          <w:tcPr>
            <w:tcW w:w="20" w:type="dxa"/>
            <w:vAlign w:val="bottom"/>
          </w:tcPr>
          <w:p>
            <w:pPr>
              <w:spacing w:after="0"/>
              <w:rPr>
                <w:sz w:val="19"/>
                <w:szCs w:val="19"/>
                <w:color w:val="auto"/>
              </w:rPr>
            </w:pPr>
          </w:p>
        </w:tc>
        <w:tc>
          <w:tcPr>
            <w:tcW w:w="2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Current:</w:t>
            </w:r>
          </w:p>
        </w:tc>
        <w:tc>
          <w:tcPr>
            <w:tcW w:w="4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23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w:t>
            </w:r>
          </w:p>
        </w:tc>
        <w:tc>
          <w:tcPr>
            <w:tcW w:w="45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Current portion of lease obligations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14,059</w:t>
            </w:r>
          </w:p>
        </w:tc>
      </w:tr>
      <w:tr>
        <w:trPr>
          <w:trHeight w:val="229"/>
        </w:trPr>
        <w:tc>
          <w:tcPr>
            <w:tcW w:w="20" w:type="dxa"/>
            <w:vAlign w:val="bottom"/>
            <w:tcBorders>
              <w:bottom w:val="single" w:sz="8" w:color="CCEEFF"/>
            </w:tcBorders>
          </w:tcPr>
          <w:p>
            <w:pPr>
              <w:spacing w:after="0"/>
              <w:rPr>
                <w:sz w:val="19"/>
                <w:szCs w:val="19"/>
                <w:color w:val="auto"/>
              </w:rPr>
            </w:pPr>
          </w:p>
        </w:tc>
        <w:tc>
          <w:tcPr>
            <w:tcW w:w="234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Finance</w:t>
            </w:r>
          </w:p>
        </w:tc>
        <w:tc>
          <w:tcPr>
            <w:tcW w:w="4580" w:type="dxa"/>
            <w:vAlign w:val="bottom"/>
            <w:tcBorders>
              <w:bottom w:val="single" w:sz="8" w:color="CCEEFF"/>
            </w:tcBorders>
            <w:gridSpan w:val="2"/>
          </w:tcPr>
          <w:p>
            <w:pPr>
              <w:ind w:left="740"/>
              <w:spacing w:after="0"/>
              <w:rPr>
                <w:sz w:val="20"/>
                <w:szCs w:val="20"/>
                <w:color w:val="auto"/>
              </w:rPr>
            </w:pPr>
            <w:r>
              <w:rPr>
                <w:rFonts w:ascii="Times New Roman" w:cs="Times New Roman" w:eastAsia="Times New Roman" w:hAnsi="Times New Roman"/>
                <w:sz w:val="18"/>
                <w:szCs w:val="18"/>
                <w:color w:val="auto"/>
              </w:rPr>
              <w:t>Current portion of lease obligations</w:t>
            </w: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3,584</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17,643</w:t>
            </w:r>
          </w:p>
        </w:tc>
      </w:tr>
      <w:tr>
        <w:trPr>
          <w:trHeight w:val="210"/>
        </w:trPr>
        <w:tc>
          <w:tcPr>
            <w:tcW w:w="20" w:type="dxa"/>
            <w:vAlign w:val="bottom"/>
          </w:tcPr>
          <w:p>
            <w:pPr>
              <w:spacing w:after="0"/>
              <w:rPr>
                <w:sz w:val="18"/>
                <w:szCs w:val="18"/>
                <w:color w:val="auto"/>
              </w:rPr>
            </w:pPr>
          </w:p>
        </w:tc>
        <w:tc>
          <w:tcPr>
            <w:tcW w:w="2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Noncurrent:</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23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w:t>
            </w:r>
          </w:p>
        </w:tc>
        <w:tc>
          <w:tcPr>
            <w:tcW w:w="45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Lease obligations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70,037</w:t>
            </w:r>
          </w:p>
        </w:tc>
      </w:tr>
      <w:tr>
        <w:trPr>
          <w:trHeight w:val="230"/>
        </w:trPr>
        <w:tc>
          <w:tcPr>
            <w:tcW w:w="20" w:type="dxa"/>
            <w:vAlign w:val="bottom"/>
            <w:tcBorders>
              <w:bottom w:val="single" w:sz="8" w:color="CCEEFF"/>
            </w:tcBorders>
          </w:tcPr>
          <w:p>
            <w:pPr>
              <w:spacing w:after="0"/>
              <w:rPr>
                <w:sz w:val="19"/>
                <w:szCs w:val="19"/>
                <w:color w:val="auto"/>
              </w:rPr>
            </w:pPr>
          </w:p>
        </w:tc>
        <w:tc>
          <w:tcPr>
            <w:tcW w:w="234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Finance</w:t>
            </w:r>
          </w:p>
        </w:tc>
        <w:tc>
          <w:tcPr>
            <w:tcW w:w="4580" w:type="dxa"/>
            <w:vAlign w:val="bottom"/>
            <w:tcBorders>
              <w:bottom w:val="single" w:sz="8" w:color="CCEEFF"/>
            </w:tcBorders>
            <w:gridSpan w:val="2"/>
          </w:tcPr>
          <w:p>
            <w:pPr>
              <w:ind w:left="740"/>
              <w:spacing w:after="0"/>
              <w:rPr>
                <w:sz w:val="20"/>
                <w:szCs w:val="20"/>
                <w:color w:val="auto"/>
              </w:rPr>
            </w:pPr>
            <w:r>
              <w:rPr>
                <w:rFonts w:ascii="Times New Roman" w:cs="Times New Roman" w:eastAsia="Times New Roman" w:hAnsi="Times New Roman"/>
                <w:sz w:val="18"/>
                <w:szCs w:val="18"/>
                <w:color w:val="auto"/>
              </w:rPr>
              <w:t>Lease obligations</w:t>
            </w: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12,226</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78,583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82,263</w:t>
            </w:r>
          </w:p>
        </w:tc>
      </w:tr>
      <w:tr>
        <w:trPr>
          <w:trHeight w:val="250"/>
        </w:trPr>
        <w:tc>
          <w:tcPr>
            <w:tcW w:w="20" w:type="dxa"/>
            <w:vAlign w:val="bottom"/>
            <w:tcBorders>
              <w:bottom w:val="single" w:sz="8" w:color="CCEEFF"/>
            </w:tcBorders>
          </w:tcPr>
          <w:p>
            <w:pPr>
              <w:spacing w:after="0"/>
              <w:rPr>
                <w:sz w:val="21"/>
                <w:szCs w:val="21"/>
                <w:color w:val="auto"/>
              </w:rPr>
            </w:pPr>
          </w:p>
        </w:tc>
        <w:tc>
          <w:tcPr>
            <w:tcW w:w="48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tcPr>
          <w:p>
            <w:pPr>
              <w:spacing w:after="0"/>
              <w:rPr>
                <w:sz w:val="21"/>
                <w:szCs w:val="21"/>
                <w:color w:val="auto"/>
              </w:rPr>
            </w:pPr>
          </w:p>
        </w:tc>
        <w:tc>
          <w:tcPr>
            <w:tcW w:w="44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99,906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 The fair value hierarchy consists of the following three levels:</w:t>
      </w:r>
    </w:p>
    <w:p>
      <w:pPr>
        <w:spacing w:after="0" w:line="7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 - Quoted prices for identical instruments in active markets.</w:t>
      </w:r>
    </w:p>
    <w:p>
      <w:pPr>
        <w:spacing w:after="0" w:line="11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III - Instruments whose significant value drivers are unobservable.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ind w:left="340" w:right="2300"/>
        <w:spacing w:after="0" w:line="275" w:lineRule="auto"/>
        <w:rPr>
          <w:sz w:val="20"/>
          <w:szCs w:val="20"/>
          <w:color w:val="auto"/>
        </w:rPr>
      </w:pPr>
      <w:r>
        <w:rPr>
          <w:rFonts w:ascii="Times New Roman" w:cs="Times New Roman" w:eastAsia="Times New Roman" w:hAnsi="Times New Roman"/>
          <w:sz w:val="18"/>
          <w:szCs w:val="18"/>
          <w:color w:val="auto"/>
        </w:rPr>
        <w:t xml:space="preserve">AMC </w:t>
      </w:r>
      <w:r>
        <w:rPr>
          <w:rFonts w:ascii="Times New Roman" w:cs="Times New Roman" w:eastAsia="Times New Roman" w:hAnsi="Times New Roman"/>
          <w:sz w:val="16"/>
          <w:szCs w:val="16"/>
          <w:color w:val="auto"/>
        </w:rPr>
        <w:t>GLOBAL MEDIA</w:t>
      </w:r>
      <w:r>
        <w:rPr>
          <w:rFonts w:ascii="Times New Roman" w:cs="Times New Roman" w:eastAsia="Times New Roman" w:hAnsi="Times New Roman"/>
          <w:sz w:val="18"/>
          <w:szCs w:val="18"/>
          <w:color w:val="auto"/>
        </w:rPr>
        <w:t xml:space="preserve">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each of these hierarchy levels, the Company's financial assets and liabilities that are measured at fair value on a recurring basis at March 31, 2026 and December 31, 2025:</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I</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II</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III</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4320" w:type="dxa"/>
            <w:vAlign w:val="bottom"/>
            <w:tcBorders>
              <w:top w:val="single" w:sz="8" w:color="auto"/>
              <w:bottom w:val="single" w:sz="8" w:color="auto"/>
            </w:tcBorders>
          </w:tcPr>
          <w:p>
            <w:pPr>
              <w:jc w:val="center"/>
              <w:ind w:right="719"/>
              <w:spacing w:after="0"/>
              <w:rPr>
                <w:sz w:val="20"/>
                <w:szCs w:val="20"/>
                <w:color w:val="auto"/>
              </w:rPr>
            </w:pPr>
            <w:r>
              <w:rPr>
                <w:rFonts w:ascii="Times New Roman" w:cs="Times New Roman" w:eastAsia="Times New Roman" w:hAnsi="Times New Roman"/>
                <w:sz w:val="16"/>
                <w:szCs w:val="16"/>
                <w:b w:val="1"/>
                <w:bCs w:val="1"/>
                <w:color w:val="auto"/>
                <w:w w:val="99"/>
              </w:rPr>
              <w:t>At March 31, 2026:</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1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14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CCEEFF"/>
            </w:tcBorders>
          </w:tcPr>
          <w:p>
            <w:pPr>
              <w:spacing w:after="0"/>
              <w:rPr>
                <w:sz w:val="18"/>
                <w:szCs w:val="18"/>
                <w:color w:val="auto"/>
              </w:rPr>
            </w:pPr>
          </w:p>
        </w:tc>
        <w:tc>
          <w:tcPr>
            <w:tcW w:w="1100" w:type="dxa"/>
            <w:vAlign w:val="bottom"/>
            <w:tcBorders>
              <w:top w:val="single" w:sz="8" w:color="auto"/>
              <w:bottom w:val="single" w:sz="8" w:color="CCEEFF"/>
            </w:tcBorders>
          </w:tcPr>
          <w:p>
            <w:pPr>
              <w:spacing w:after="0"/>
              <w:rPr>
                <w:sz w:val="18"/>
                <w:szCs w:val="18"/>
                <w:color w:val="auto"/>
              </w:rPr>
            </w:pPr>
          </w:p>
        </w:tc>
      </w:tr>
      <w:tr>
        <w:trPr>
          <w:trHeight w:val="184"/>
        </w:trPr>
        <w:tc>
          <w:tcPr>
            <w:tcW w:w="20" w:type="dxa"/>
            <w:vAlign w:val="bottom"/>
            <w:shd w:val="clear" w:color="auto" w:fill="CCEEFF"/>
          </w:tcPr>
          <w:p>
            <w:pPr>
              <w:spacing w:after="0"/>
              <w:rPr>
                <w:sz w:val="16"/>
                <w:szCs w:val="16"/>
                <w:color w:val="auto"/>
              </w:rPr>
            </w:pPr>
          </w:p>
        </w:tc>
        <w:tc>
          <w:tcPr>
            <w:tcW w:w="5100" w:type="dxa"/>
            <w:vAlign w:val="bottom"/>
            <w:gridSpan w:val="3"/>
            <w:shd w:val="clear" w:color="auto" w:fill="CCEEFF"/>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1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Cash equivalents</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124,110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124,110</w:t>
            </w: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7,999</w:t>
            </w:r>
          </w:p>
        </w:tc>
      </w:tr>
      <w:tr>
        <w:trPr>
          <w:trHeight w:val="189"/>
        </w:trPr>
        <w:tc>
          <w:tcPr>
            <w:tcW w:w="20" w:type="dxa"/>
            <w:vAlign w:val="bottom"/>
          </w:tcPr>
          <w:p>
            <w:pPr>
              <w:spacing w:after="0"/>
              <w:rPr>
                <w:sz w:val="16"/>
                <w:szCs w:val="16"/>
                <w:color w:val="auto"/>
              </w:rPr>
            </w:pPr>
          </w:p>
        </w:tc>
        <w:tc>
          <w:tcPr>
            <w:tcW w:w="51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w:t>
            </w:r>
          </w:p>
        </w:tc>
      </w:tr>
      <w:tr>
        <w:trPr>
          <w:trHeight w:val="270"/>
        </w:trPr>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14"/>
        </w:trPr>
        <w:tc>
          <w:tcPr>
            <w:tcW w:w="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320" w:type="dxa"/>
            <w:vAlign w:val="bottom"/>
            <w:tcBorders>
              <w:bottom w:val="single" w:sz="8" w:color="auto"/>
            </w:tcBorders>
            <w:shd w:val="clear" w:color="auto" w:fill="CCEEFF"/>
          </w:tcPr>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At December 31, 2025: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84"/>
        </w:trPr>
        <w:tc>
          <w:tcPr>
            <w:tcW w:w="20" w:type="dxa"/>
            <w:vAlign w:val="bottom"/>
          </w:tcPr>
          <w:p>
            <w:pPr>
              <w:spacing w:after="0"/>
              <w:rPr>
                <w:sz w:val="16"/>
                <w:szCs w:val="16"/>
                <w:color w:val="auto"/>
              </w:rPr>
            </w:pPr>
          </w:p>
        </w:tc>
        <w:tc>
          <w:tcPr>
            <w:tcW w:w="510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equivalents</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85,176</w:t>
            </w:r>
          </w:p>
        </w:tc>
      </w:tr>
      <w:tr>
        <w:trPr>
          <w:trHeight w:val="230"/>
        </w:trPr>
        <w:tc>
          <w:tcPr>
            <w:tcW w:w="20" w:type="dxa"/>
            <w:vAlign w:val="bottom"/>
          </w:tcPr>
          <w:p>
            <w:pPr>
              <w:spacing w:after="0"/>
              <w:rPr>
                <w:sz w:val="19"/>
                <w:szCs w:val="19"/>
                <w:color w:val="auto"/>
              </w:rPr>
            </w:pPr>
          </w:p>
        </w:tc>
        <w:tc>
          <w:tcPr>
            <w:tcW w:w="51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9,531</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9,531</w:t>
            </w: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Liabilities</w:t>
            </w:r>
          </w:p>
        </w:tc>
        <w:tc>
          <w:tcPr>
            <w:tcW w:w="4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1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6,401</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6,401</w:t>
            </w:r>
          </w:p>
        </w:tc>
      </w:tr>
    </w:tbl>
    <w:p>
      <w:pPr>
        <w:spacing w:after="0" w:line="17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Company's cash equivalents (comprised of money market mutual funds) are classified within Level I of the fair value hierarchy because they are valued using quoted market prices.</w:t>
      </w:r>
    </w:p>
    <w:p>
      <w:pPr>
        <w:spacing w:after="0" w:line="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Company's foreign currency derivatives are classified within Level II of the fair value hierarchy as their fair values are determined based on a market approach valuation technique that uses readily observable market parameters and the consideration of counterparty risk.</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Fair value measurements are also used in nonrecurring valuations performed in connection with impairment testing, including the valuation of program rights, goodwill, intangible assets and property and equipment. All of our nonrecurring valuations use significant unobservable inputs and therefore fall under Level III of the fair value hierarchy.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 Debt and Senior Notes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fair values of each of the Company's debt instruments are based on quoted market prices for the same or similar issues or on the current rates offered to the Company for instruments of the same remaining maturities.</w:t>
      </w:r>
    </w:p>
    <w:p>
      <w:pPr>
        <w:spacing w:after="0" w:line="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carrying values and estimated fair values of the Company's financial instruments, excluding those that are carried at fair value in the condensed consolidated balance sheets, are summarized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360" w:type="dxa"/>
            <w:vAlign w:val="bottom"/>
            <w:tcBorders>
              <w:bottom w:val="single" w:sz="8" w:color="auto"/>
            </w:tcBorders>
          </w:tcPr>
          <w:p>
            <w:pPr>
              <w:spacing w:after="0"/>
              <w:rPr>
                <w:sz w:val="18"/>
                <w:szCs w:val="18"/>
                <w:color w:val="auto"/>
              </w:rPr>
            </w:pPr>
          </w:p>
        </w:tc>
      </w:tr>
      <w:tr>
        <w:trPr>
          <w:trHeight w:val="185"/>
        </w:trPr>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2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8"/>
              </w:rPr>
              <w:t>Carrying</w:t>
            </w:r>
          </w:p>
        </w:tc>
        <w:tc>
          <w:tcPr>
            <w:tcW w:w="540" w:type="dxa"/>
            <w:vAlign w:val="bottom"/>
          </w:tcPr>
          <w:p>
            <w:pPr>
              <w:spacing w:after="0"/>
              <w:rPr>
                <w:sz w:val="16"/>
                <w:szCs w:val="16"/>
                <w:color w:val="auto"/>
              </w:rPr>
            </w:pPr>
          </w:p>
        </w:tc>
        <w:tc>
          <w:tcPr>
            <w:tcW w:w="1360" w:type="dxa"/>
            <w:vAlign w:val="bottom"/>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Estimated</w:t>
            </w:r>
          </w:p>
        </w:tc>
      </w:tr>
      <w:tr>
        <w:trPr>
          <w:trHeight w:val="214"/>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8"/>
                <w:szCs w:val="18"/>
                <w:color w:val="auto"/>
              </w:rPr>
            </w:pPr>
          </w:p>
        </w:tc>
        <w:tc>
          <w:tcPr>
            <w:tcW w:w="162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540" w:type="dxa"/>
            <w:vAlign w:val="bottom"/>
          </w:tcPr>
          <w:p>
            <w:pPr>
              <w:spacing w:after="0"/>
              <w:rPr>
                <w:sz w:val="18"/>
                <w:szCs w:val="18"/>
                <w:color w:val="auto"/>
              </w:rPr>
            </w:pPr>
          </w:p>
        </w:tc>
        <w:tc>
          <w:tcPr>
            <w:tcW w:w="136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05"/>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w w:val="99"/>
              </w:rPr>
              <w:t>Debt instruments:</w:t>
            </w:r>
          </w:p>
        </w:tc>
        <w:tc>
          <w:tcPr>
            <w:tcW w:w="6000" w:type="dxa"/>
            <w:vAlign w:val="bottom"/>
            <w:tcBorders>
              <w:top w:val="single" w:sz="8" w:color="auto"/>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CCEEFF"/>
            </w:tcBorders>
            <w:shd w:val="clear" w:color="auto" w:fill="CCEEFF"/>
          </w:tcPr>
          <w:p>
            <w:pPr>
              <w:spacing w:after="0"/>
              <w:rPr>
                <w:sz w:val="17"/>
                <w:szCs w:val="17"/>
                <w:color w:val="auto"/>
              </w:rPr>
            </w:pPr>
          </w:p>
        </w:tc>
        <w:tc>
          <w:tcPr>
            <w:tcW w:w="15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Term Loan A Facility</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76,956</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80,028</w:t>
            </w:r>
          </w:p>
        </w:tc>
      </w:tr>
      <w:tr>
        <w:trPr>
          <w:trHeight w:val="230"/>
        </w:trPr>
        <w:tc>
          <w:tcPr>
            <w:tcW w:w="20" w:type="dxa"/>
            <w:vAlign w:val="bottom"/>
            <w:shd w:val="clear" w:color="auto" w:fill="CCEEFF"/>
          </w:tcPr>
          <w:p>
            <w:pPr>
              <w:spacing w:after="0"/>
              <w:rPr>
                <w:sz w:val="19"/>
                <w:szCs w:val="19"/>
                <w:color w:val="auto"/>
              </w:rPr>
            </w:pPr>
          </w:p>
        </w:tc>
        <w:tc>
          <w:tcPr>
            <w:tcW w:w="73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10.25% Senior Secured Notes due 2029</w:t>
            </w:r>
          </w:p>
        </w:tc>
        <w:tc>
          <w:tcPr>
            <w:tcW w:w="3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14,576</w:t>
            </w:r>
          </w:p>
        </w:tc>
      </w:tr>
      <w:tr>
        <w:trPr>
          <w:trHeight w:val="230"/>
        </w:trPr>
        <w:tc>
          <w:tcPr>
            <w:tcW w:w="20" w:type="dxa"/>
            <w:vAlign w:val="bottom"/>
          </w:tcPr>
          <w:p>
            <w:pPr>
              <w:spacing w:after="0"/>
              <w:rPr>
                <w:sz w:val="19"/>
                <w:szCs w:val="19"/>
                <w:color w:val="auto"/>
              </w:rPr>
            </w:pPr>
          </w:p>
        </w:tc>
        <w:tc>
          <w:tcPr>
            <w:tcW w:w="7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4.25% Senior Notes due 2029</w:t>
            </w: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274,784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232,433</w:t>
            </w:r>
          </w:p>
        </w:tc>
      </w:tr>
      <w:tr>
        <w:trPr>
          <w:trHeight w:val="229"/>
        </w:trPr>
        <w:tc>
          <w:tcPr>
            <w:tcW w:w="20" w:type="dxa"/>
            <w:vAlign w:val="bottom"/>
            <w:shd w:val="clear" w:color="auto" w:fill="CCEEFF"/>
          </w:tcPr>
          <w:p>
            <w:pPr>
              <w:spacing w:after="0"/>
              <w:rPr>
                <w:sz w:val="19"/>
                <w:szCs w:val="19"/>
                <w:color w:val="auto"/>
              </w:rPr>
            </w:pPr>
          </w:p>
        </w:tc>
        <w:tc>
          <w:tcPr>
            <w:tcW w:w="73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4.25% Convertible Senior Notes due 2029</w:t>
            </w:r>
          </w:p>
        </w:tc>
        <w:tc>
          <w:tcPr>
            <w:tcW w:w="3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140,630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133,328</w:t>
            </w:r>
          </w:p>
        </w:tc>
      </w:tr>
      <w:tr>
        <w:trPr>
          <w:trHeight w:val="230"/>
        </w:trPr>
        <w:tc>
          <w:tcPr>
            <w:tcW w:w="20" w:type="dxa"/>
            <w:vAlign w:val="bottom"/>
            <w:tcBorders>
              <w:bottom w:val="single" w:sz="8" w:color="CCEEFF"/>
            </w:tcBorders>
          </w:tcPr>
          <w:p>
            <w:pPr>
              <w:spacing w:after="0"/>
              <w:rPr>
                <w:sz w:val="19"/>
                <w:szCs w:val="19"/>
                <w:color w:val="auto"/>
              </w:rPr>
            </w:pPr>
          </w:p>
        </w:tc>
        <w:tc>
          <w:tcPr>
            <w:tcW w:w="73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10.50% Senior Secured Notes due 2032</w:t>
            </w:r>
          </w:p>
        </w:tc>
        <w:tc>
          <w:tcPr>
            <w:tcW w:w="3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1,243,216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1,298,659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6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1,749,288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1,759,024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ind w:left="340" w:right="2300"/>
        <w:spacing w:after="0" w:line="275" w:lineRule="auto"/>
        <w:rPr>
          <w:sz w:val="20"/>
          <w:szCs w:val="20"/>
          <w:color w:val="auto"/>
        </w:rPr>
      </w:pPr>
      <w:r>
        <w:rPr>
          <w:rFonts w:ascii="Times New Roman" w:cs="Times New Roman" w:eastAsia="Times New Roman" w:hAnsi="Times New Roman"/>
          <w:sz w:val="18"/>
          <w:szCs w:val="18"/>
          <w:color w:val="auto"/>
        </w:rPr>
        <w:t xml:space="preserve">AMC </w:t>
      </w:r>
      <w:r>
        <w:rPr>
          <w:rFonts w:ascii="Times New Roman" w:cs="Times New Roman" w:eastAsia="Times New Roman" w:hAnsi="Times New Roman"/>
          <w:sz w:val="16"/>
          <w:szCs w:val="16"/>
          <w:color w:val="auto"/>
        </w:rPr>
        <w:t>GLOBAL MEDIA</w:t>
      </w:r>
      <w:r>
        <w:rPr>
          <w:rFonts w:ascii="Times New Roman" w:cs="Times New Roman" w:eastAsia="Times New Roman" w:hAnsi="Times New Roman"/>
          <w:sz w:val="18"/>
          <w:szCs w:val="18"/>
          <w:color w:val="auto"/>
        </w:rPr>
        <w:t xml:space="preserve">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4"/>
          </w:tcPr>
          <w:p>
            <w:pPr>
              <w:jc w:val="right"/>
              <w:ind w:right="1192"/>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185"/>
        </w:trPr>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360" w:type="dxa"/>
            <w:vAlign w:val="bottom"/>
          </w:tcPr>
          <w:p>
            <w:pPr>
              <w:spacing w:after="0"/>
              <w:rPr>
                <w:sz w:val="16"/>
                <w:szCs w:val="16"/>
                <w:color w:val="auto"/>
              </w:rPr>
            </w:pPr>
          </w:p>
        </w:tc>
        <w:tc>
          <w:tcPr>
            <w:tcW w:w="1540" w:type="dxa"/>
            <w:vAlign w:val="bottom"/>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Estimated</w:t>
            </w:r>
          </w:p>
        </w:tc>
      </w:tr>
      <w:tr>
        <w:trPr>
          <w:trHeight w:val="214"/>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8"/>
                <w:szCs w:val="18"/>
                <w:color w:val="auto"/>
              </w:rPr>
            </w:pPr>
          </w:p>
        </w:tc>
        <w:tc>
          <w:tcPr>
            <w:tcW w:w="162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360" w:type="dxa"/>
            <w:vAlign w:val="bottom"/>
          </w:tcPr>
          <w:p>
            <w:pPr>
              <w:spacing w:after="0"/>
              <w:rPr>
                <w:sz w:val="18"/>
                <w:szCs w:val="18"/>
                <w:color w:val="auto"/>
              </w:rPr>
            </w:pPr>
          </w:p>
        </w:tc>
        <w:tc>
          <w:tcPr>
            <w:tcW w:w="154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05"/>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w w:val="99"/>
              </w:rPr>
              <w:t>Debt instruments:</w:t>
            </w:r>
          </w:p>
        </w:tc>
        <w:tc>
          <w:tcPr>
            <w:tcW w:w="6040" w:type="dxa"/>
            <w:vAlign w:val="bottom"/>
            <w:tcBorders>
              <w:top w:val="single" w:sz="8" w:color="auto"/>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CCEEFF"/>
            </w:tcBorders>
            <w:shd w:val="clear" w:color="auto" w:fill="CCEEFF"/>
          </w:tcPr>
          <w:p>
            <w:pPr>
              <w:spacing w:after="0"/>
              <w:rPr>
                <w:sz w:val="17"/>
                <w:szCs w:val="17"/>
                <w:color w:val="auto"/>
              </w:rPr>
            </w:pPr>
          </w:p>
        </w:tc>
        <w:tc>
          <w:tcPr>
            <w:tcW w:w="15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CCEEFF"/>
            </w:tcBorders>
            <w:shd w:val="clear" w:color="auto" w:fill="CCEEFF"/>
          </w:tcPr>
          <w:p>
            <w:pPr>
              <w:spacing w:after="0"/>
              <w:rPr>
                <w:sz w:val="17"/>
                <w:szCs w:val="17"/>
                <w:color w:val="auto"/>
              </w:rPr>
            </w:pPr>
          </w:p>
        </w:tc>
        <w:tc>
          <w:tcPr>
            <w:tcW w:w="154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7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Term Loan A Facility</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79,438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82,795</w:t>
            </w:r>
          </w:p>
        </w:tc>
      </w:tr>
      <w:tr>
        <w:trPr>
          <w:trHeight w:val="229"/>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10.25% Senior Secured Notes due 2029</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864,459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916,563</w:t>
            </w:r>
          </w:p>
        </w:tc>
      </w:tr>
      <w:tr>
        <w:trPr>
          <w:trHeight w:val="230"/>
        </w:trPr>
        <w:tc>
          <w:tcPr>
            <w:tcW w:w="20" w:type="dxa"/>
            <w:vAlign w:val="bottom"/>
          </w:tcPr>
          <w:p>
            <w:pPr>
              <w:spacing w:after="0"/>
              <w:rPr>
                <w:sz w:val="19"/>
                <w:szCs w:val="19"/>
                <w:color w:val="auto"/>
              </w:rPr>
            </w:pPr>
          </w:p>
        </w:tc>
        <w:tc>
          <w:tcPr>
            <w:tcW w:w="7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4.25% Senior Notes due 2029</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242,810</w:t>
            </w:r>
          </w:p>
        </w:tc>
      </w:tr>
      <w:tr>
        <w:trPr>
          <w:trHeight w:val="229"/>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4.25% Convertible Senior Notes due 2029</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127,830</w:t>
            </w:r>
          </w:p>
        </w:tc>
      </w:tr>
      <w:tr>
        <w:trPr>
          <w:trHeight w:val="230"/>
        </w:trPr>
        <w:tc>
          <w:tcPr>
            <w:tcW w:w="20" w:type="dxa"/>
            <w:vAlign w:val="bottom"/>
            <w:tcBorders>
              <w:bottom w:val="single" w:sz="8" w:color="CCEEFF"/>
            </w:tcBorders>
          </w:tcPr>
          <w:p>
            <w:pPr>
              <w:spacing w:after="0"/>
              <w:rPr>
                <w:sz w:val="19"/>
                <w:szCs w:val="19"/>
                <w:color w:val="auto"/>
              </w:rPr>
            </w:pPr>
          </w:p>
        </w:tc>
        <w:tc>
          <w:tcPr>
            <w:tcW w:w="734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10.50% Senior Secured Notes due 2032</w:t>
            </w:r>
          </w:p>
        </w:tc>
        <w:tc>
          <w:tcPr>
            <w:tcW w:w="3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393,383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442,000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1,752,293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1,811,998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Fair value estimates related to the Company's debt instruments presented above are made at a specific point in time, based on relevant market information and information about the financial instrument. These estimates are subjective in nature and involve uncertainties and matters of significant judgments and therefore cannot be determined with precision. Changes in assumptions could significantly affect the estimates.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Derivative Financial Instruments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exposed to foreign currency risk to the extent that we enter into transactions denominated in currencies other than one of our subsidiaries' respective functional currencies (non-functional currency risk), such as affiliation agreements, programming contracts, certain trade receivables and accounts payable (including intercompany amounts).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values of the Company's derivative financial instruments included in the condensed consolidated balance sheets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80" w:type="dxa"/>
            <w:vAlign w:val="bottom"/>
            <w:gridSpan w:val="2"/>
          </w:tcPr>
          <w:p>
            <w:pPr>
              <w:ind w:left="146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22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Pr>
          <w:p>
            <w:pPr>
              <w:spacing w:after="0"/>
              <w:rPr>
                <w:sz w:val="18"/>
                <w:szCs w:val="18"/>
                <w:color w:val="auto"/>
              </w:rPr>
            </w:pP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172"/>
        </w:trPr>
        <w:tc>
          <w:tcPr>
            <w:tcW w:w="3320" w:type="dxa"/>
            <w:vAlign w:val="bottom"/>
            <w:tcBorders>
              <w:top w:val="single" w:sz="8" w:color="auto"/>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b w:val="1"/>
                <w:bCs w:val="1"/>
                <w:color w:val="auto"/>
              </w:rPr>
              <w:t>Derivatives not designated as hedging</w:t>
            </w:r>
          </w:p>
        </w:tc>
        <w:tc>
          <w:tcPr>
            <w:tcW w:w="4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r>
      <w:tr>
        <w:trPr>
          <w:trHeight w:val="24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4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42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w:t>
            </w: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42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6,795</w:t>
            </w: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42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42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w:t>
            </w: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amounts of gains and losses related to the Company's derivative financial instruments not designated as hedging instruments are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20" w:type="dxa"/>
            <w:vAlign w:val="bottom"/>
          </w:tcPr>
          <w:p>
            <w:pPr>
              <w:spacing w:after="0"/>
              <w:rPr>
                <w:sz w:val="16"/>
                <w:szCs w:val="16"/>
                <w:color w:val="auto"/>
              </w:rPr>
            </w:pPr>
          </w:p>
        </w:tc>
        <w:tc>
          <w:tcPr>
            <w:tcW w:w="26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Location of Gain (Loss) Recognized</w:t>
            </w:r>
          </w:p>
        </w:tc>
        <w:tc>
          <w:tcPr>
            <w:tcW w:w="140" w:type="dxa"/>
            <w:vAlign w:val="bottom"/>
          </w:tcPr>
          <w:p>
            <w:pPr>
              <w:spacing w:after="0"/>
              <w:rPr>
                <w:sz w:val="16"/>
                <w:szCs w:val="16"/>
                <w:color w:val="auto"/>
              </w:rPr>
            </w:pPr>
          </w:p>
        </w:tc>
        <w:tc>
          <w:tcPr>
            <w:tcW w:w="2820" w:type="dxa"/>
            <w:vAlign w:val="bottom"/>
            <w:gridSpan w:val="4"/>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Amount of Gain (Loss) Recognized in</w:t>
            </w:r>
          </w:p>
        </w:tc>
      </w:tr>
      <w:tr>
        <w:trPr>
          <w:trHeight w:val="214"/>
        </w:trPr>
        <w:tc>
          <w:tcPr>
            <w:tcW w:w="5620" w:type="dxa"/>
            <w:vAlign w:val="bottom"/>
          </w:tcPr>
          <w:p>
            <w:pPr>
              <w:spacing w:after="0"/>
              <w:rPr>
                <w:sz w:val="18"/>
                <w:szCs w:val="18"/>
                <w:color w:val="auto"/>
              </w:rPr>
            </w:pPr>
          </w:p>
        </w:tc>
        <w:tc>
          <w:tcPr>
            <w:tcW w:w="2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 Earnings on Derivatives</w:t>
            </w:r>
          </w:p>
        </w:tc>
        <w:tc>
          <w:tcPr>
            <w:tcW w:w="140" w:type="dxa"/>
            <w:vAlign w:val="bottom"/>
          </w:tcPr>
          <w:p>
            <w:pPr>
              <w:spacing w:after="0"/>
              <w:rPr>
                <w:sz w:val="18"/>
                <w:szCs w:val="18"/>
                <w:color w:val="auto"/>
              </w:rPr>
            </w:pPr>
          </w:p>
        </w:tc>
        <w:tc>
          <w:tcPr>
            <w:tcW w:w="2820" w:type="dxa"/>
            <w:vAlign w:val="bottom"/>
            <w:gridSpan w:val="4"/>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Earnings on Derivatives</w:t>
            </w:r>
          </w:p>
        </w:tc>
      </w:tr>
      <w:tr>
        <w:trPr>
          <w:trHeight w:val="397"/>
        </w:trPr>
        <w:tc>
          <w:tcPr>
            <w:tcW w:w="5620" w:type="dxa"/>
            <w:vAlign w:val="bottom"/>
          </w:tcPr>
          <w:p>
            <w:pPr>
              <w:spacing w:after="0"/>
              <w:rPr>
                <w:sz w:val="24"/>
                <w:szCs w:val="24"/>
                <w:color w:val="auto"/>
              </w:rPr>
            </w:pPr>
          </w:p>
        </w:tc>
        <w:tc>
          <w:tcPr>
            <w:tcW w:w="2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2820" w:type="dxa"/>
            <w:vAlign w:val="bottom"/>
            <w:tcBorders>
              <w:top w:val="single" w:sz="8" w:color="auto"/>
              <w:bottom w:val="single" w:sz="8" w:color="auto"/>
            </w:tcBorders>
            <w:gridSpan w:val="4"/>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36"/>
        </w:trPr>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51"/>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26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Miscellaneous,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Income Taxes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general, the Company is required to use an estimated annual effective rate to measure the tax benefit or tax expense recognized in an interim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annual effective rate is revised on a quarterly basis.</w:t>
      </w:r>
    </w:p>
    <w:p>
      <w:pPr>
        <w:spacing w:after="0" w:line="9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income tax benefit was $6.7 million, representing an effective rate of 28%, as compared to the federal statutory rate of 21%. The effective rate differed from the federal statutory rate primarily due to state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jc w:val="center"/>
        <w:ind w:left="340" w:right="2300"/>
        <w:spacing w:after="0" w:line="275" w:lineRule="auto"/>
        <w:rPr>
          <w:sz w:val="20"/>
          <w:szCs w:val="20"/>
          <w:color w:val="auto"/>
        </w:rPr>
      </w:pPr>
      <w:r>
        <w:rPr>
          <w:rFonts w:ascii="Times New Roman" w:cs="Times New Roman" w:eastAsia="Times New Roman" w:hAnsi="Times New Roman"/>
          <w:sz w:val="18"/>
          <w:szCs w:val="18"/>
          <w:color w:val="auto"/>
        </w:rPr>
        <w:t xml:space="preserve">AMC </w:t>
      </w:r>
      <w:r>
        <w:rPr>
          <w:rFonts w:ascii="Times New Roman" w:cs="Times New Roman" w:eastAsia="Times New Roman" w:hAnsi="Times New Roman"/>
          <w:sz w:val="16"/>
          <w:szCs w:val="16"/>
          <w:color w:val="auto"/>
        </w:rPr>
        <w:t>GLOBAL MEDIA</w:t>
      </w:r>
      <w:r>
        <w:rPr>
          <w:rFonts w:ascii="Times New Roman" w:cs="Times New Roman" w:eastAsia="Times New Roman" w:hAnsi="Times New Roman"/>
          <w:sz w:val="18"/>
          <w:szCs w:val="18"/>
          <w:color w:val="auto"/>
        </w:rPr>
        <w:t xml:space="preserve">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local income tax expense and tax expense related to non-deductible compensation, partially offset by tax benefit related to foreign-derived deduction eligible income.</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income tax expense was $15.0 million, representing an effective rate of 40%, as compared to the federal statutory rate of 21%. The effective rate differed from the federal statutory rate primarily due to state and local income tax expense, tax expense related to non-deductible compensation, tax expense for shortfalls related to share-based compensation and tax expense for an increase in the valuation allowance for foreign tax credits and losses.</w:t>
      </w:r>
    </w:p>
    <w:p>
      <w:pPr>
        <w:spacing w:after="0" w:line="7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At March 31, 2026, the Company had foreign tax credit carryforwards of approximately $51.0 million, expiring on various dates from 2026 through 2036. These carryforwards have been reduced to zero by a valuation allowance of $51.0 million as it is more likely than not that these carryforwards will not be realized.</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March 31, 2026, the Company’s cash and cash equivalents balance of $552.1 million included approximately $126.5 million held by foreign subsidiaries. Of this amount, approximately $7.3 million is expected to be repatriated to the United States with the remaining amount continuing to be reinvested in foreign operations. Tax expense related to the expected repatriation amount has been accrued in prior periods and the Company does not expect to incur any significant, additional taxes related to the remaining balance.</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the Pillar Two minimum tax requirement has not had, and is not expected to have, a material impact on the Company's results of operations or financial position for the year ending December 31, 2026.</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2026, the Company's contractual obligations not reflected on the Company's condensed consolidated balance sheets decreased $25.6 million, as compared to December 31, 2025, to $473.4 million. The decrease was primarily related to payments for program rights and third-party service contracts, partially offset by additional program rights commitments.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November 14, 2022, Robert Kirkman, Robert Kirkman, LLC, Glen Mazzara, 44 Strong Productions, Inc., David Alpert, Circle of Confusion Productions, LLC, New Circle of Confusion Productions, Inc., Charles Eglee, United Bongo Drum, Inc.; Gale Anne Hurd, and Valhalla Entertainment, Inc. f/k/a Valhalla Motion Pictures, Inc. (together, the "Plaintiffs") filed a complaint in California Superior Court (the “MFN Litigation”) in connection with the Company’s July 2021 settlement agreement with Frank Darabont (“Darabont”), Ferenc, Inc., Darkwoods Productions, Inc., and Creative Artists Agency, LLC (the “Darabont Parties”), which resolved litigations the Darabont Parties had brought in connection with Darabont's rendering services as a writer, director and producer of the television series entitled The Walking Dead and the agreement between the parties related thereto (the “Darabont Settlement”). Plaintiffs assert claims for breach of contract, alleging that the Company breached the most favored nations (“MFN”) provisions of Plaintiffs’ contracts with the Company by failing to pay them additional contingent compensation as a result of the Darabont Settlement. Plaintiffs claim in the MFN Litigation that they are entitled to actual and compensatory damages in excess of $200 million. On December 15, 2022, the Company removed the MFN Litigation to the United States District Court for the Central District of California. On February 25, 2025, the Plaintiffs filed an amended complaint adding two claims for the alleged breach of the MFN provisions of their contracts based on certain agreements the Company entered into with another profit participant and a claim for breach of the implied covenant of good faith and fair dealing. On March 14, 2025, the Company filed its answer to the amended complaint. On November 5, 2025, the Company filed a motion for summary judgment seeking dismissal of all the claims in the MFN Litigation. The Plaintiffs’ opposition to the Company’s motion was filed on December 4, 2025 and the Company’s reply was filed on December 22, 2025. The parties are also completing limited remaining expert and fact discovery. As a result of a February 23, 2026 Court order extending the case deadlines, the trial for this matter, previously scheduled for April 21, 2026, has been rescheduled to October 27, 2026. The Company believes that the asserted claims are without merit and will vigorously defend against them if they are not dismissed. At this time, no determination can be made as to the ultimate outcome of this litigation or the potential liability, if any, on the part of the Company.</w:t>
      </w:r>
    </w:p>
    <w:p>
      <w:pPr>
        <w:spacing w:after="0" w:line="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is party to various lawsuits and claims in the ordinary course of business, including the matters described above, as well as other lawsuits and claims relating to employment, intellectual property, and privacy and data protection matters. Although the outcome of these matters cannot be predicted with certainty and while the impact of these matters on the Company's results of operations in any particular subsequent reporting period could be material, management does not believe that the resolution of these matters will have a material adverse effect on the financial position of the Company or the ability of the Company to meet its financial obligations as they become due.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ind w:left="340" w:right="2300"/>
        <w:spacing w:after="0" w:line="275" w:lineRule="auto"/>
        <w:rPr>
          <w:sz w:val="20"/>
          <w:szCs w:val="20"/>
          <w:color w:val="auto"/>
        </w:rPr>
      </w:pPr>
      <w:r>
        <w:rPr>
          <w:rFonts w:ascii="Times New Roman" w:cs="Times New Roman" w:eastAsia="Times New Roman" w:hAnsi="Times New Roman"/>
          <w:sz w:val="18"/>
          <w:szCs w:val="18"/>
          <w:color w:val="auto"/>
        </w:rPr>
        <w:t xml:space="preserve">AMC </w:t>
      </w:r>
      <w:r>
        <w:rPr>
          <w:rFonts w:ascii="Times New Roman" w:cs="Times New Roman" w:eastAsia="Times New Roman" w:hAnsi="Times New Roman"/>
          <w:sz w:val="16"/>
          <w:szCs w:val="16"/>
          <w:color w:val="auto"/>
        </w:rPr>
        <w:t>GLOBAL MEDIA</w:t>
      </w:r>
      <w:r>
        <w:rPr>
          <w:rFonts w:ascii="Times New Roman" w:cs="Times New Roman" w:eastAsia="Times New Roman" w:hAnsi="Times New Roman"/>
          <w:sz w:val="18"/>
          <w:szCs w:val="18"/>
          <w:color w:val="auto"/>
        </w:rPr>
        <w:t xml:space="preserve">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Equity Plans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first quarter of 2026, AMC Global Media granted 3,398,929 RSUs to certain executive officers and employees under the AMC Global Media Inc. Amended and Restated 2016 Employee Stock Plan, which vest ratably over a three-year period.</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2,012,042 RSUs previously issued to employees of the Company vested. On the vesting date, 798,411 RSUs were surrendered to AMC Global Media to cover the required statutory tax withholding obligations and 1,213,632 shares of AMC Global Media's Class A Common Stock were issued. RSUs are surrendered to satisfy the employees' statutory minimum tax withholding obligations for the applicable income and other employment tax. The RSUs surrendered during the three months ended March 31, 2026 had an aggregate value of $6.6 million, which has been reflected as a financing activity in the condensed consolidated statements of cash flows for the three months ended March 31, 2026.</w:t>
      </w:r>
    </w:p>
    <w:p>
      <w:pPr>
        <w:spacing w:after="0" w:line="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Share-based compensation expense for the three months ended March 31, 2026 and 2025 was $6.1 million and $5.8 million, respectively. Share-based compensation expenses are recognized in the condensed consolidated statements of income (loss) as part of Selling, general and administrative expenses.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there was $36.2 million of total unrecognized share-based compensation cost related to outstanding unvested share-based awards. The unrecognized compensation cost is expected to be recognized over a weighted average remaining period of approximately 2.6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Related Party Transactions</w:t>
      </w:r>
    </w:p>
    <w:p>
      <w:pPr>
        <w:spacing w:after="0" w:line="108"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The Company and its related parties enter into transactions with each other in the ordinary course of business. Revenues, net from these transactions amounted to $1.2 million for the three months ended March 31, 2026 and 2025. Amounts charged to the Company in connection with these transactions, included in Selling, general and administrative expenses, amounted to $0.5 million for the three months ended March 31, 2026 and 2025.</w:t>
      </w:r>
    </w:p>
    <w:p>
      <w:pPr>
        <w:spacing w:after="0" w:line="69"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Additionally, on September 2, 2025, the Company entered into a consulting agreement with MSG Networks Inc. ("MSG Networks") to provide certain advisory services to MSG Networks. Under this agreement, the Company recorded $0.5 million of income, representing cost reimbursements for the three months ended March 31, 2026, which is recorded as a credit in Selling, general and administrative expenses in the condensed consolidated statements of income (loss).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Cash Flows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details the Company's non-cash investing and financing activities and other supplemental data:</w:t>
      </w:r>
    </w:p>
    <w:p>
      <w:pPr>
        <w:spacing w:after="0" w:line="147"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21590</wp:posOffset>
            </wp:positionV>
            <wp:extent cx="21774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Non-Cash Investing and Financing Activities:</w:t>
            </w:r>
          </w:p>
        </w:tc>
        <w:tc>
          <w:tcPr>
            <w:tcW w:w="2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additions</w:t>
            </w:r>
          </w:p>
        </w:tc>
        <w:tc>
          <w:tcPr>
            <w:tcW w:w="2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29"/>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 incurred but not yet paid</w:t>
            </w:r>
          </w:p>
        </w:tc>
        <w:tc>
          <w:tcPr>
            <w:tcW w:w="2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r>
      <w:tr>
        <w:trPr>
          <w:trHeight w:val="230"/>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debt issuance - exchange offer consideration</w:t>
            </w:r>
          </w:p>
        </w:tc>
        <w:tc>
          <w:tcPr>
            <w:tcW w:w="2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53,800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Supplemental Data:</w:t>
            </w:r>
          </w:p>
        </w:tc>
        <w:tc>
          <w:tcPr>
            <w:tcW w:w="2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interest paid</w:t>
            </w:r>
          </w:p>
        </w:tc>
        <w:tc>
          <w:tcPr>
            <w:tcW w:w="2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77,983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76,736</w:t>
            </w:r>
          </w:p>
        </w:tc>
      </w:tr>
      <w:tr>
        <w:trPr>
          <w:trHeight w:val="229"/>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payments, net</w:t>
            </w:r>
          </w:p>
        </w:tc>
        <w:tc>
          <w:tcPr>
            <w:tcW w:w="2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Segment Information</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classifies its operations into two operating segments: Domestic Operations and International. These operating segments represent strategic business units that are managed separately.</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evaluates segment performance based on operating segment adjusted operating income ("AOI"). The Company defines AOI as operating income (loss) before depreciation and amortization, cloud computing amortization, share-based compensation expenses or benefit, impairment and other charges (including gains or losses on sales or dispositions of businesses), restructuring and other related charges and including the Company’s proportionate share of adjusted operating income (loss) from majority-owned equity method investees. The Company has presented the components that reconcile adjusted operating income to income from operations before income taxes, and other information as to the continuing operations of the Company's operating segments below.</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ind w:left="340" w:right="2300"/>
        <w:spacing w:after="0" w:line="275" w:lineRule="auto"/>
        <w:rPr>
          <w:sz w:val="20"/>
          <w:szCs w:val="20"/>
          <w:color w:val="auto"/>
        </w:rPr>
      </w:pPr>
      <w:r>
        <w:rPr>
          <w:rFonts w:ascii="Times New Roman" w:cs="Times New Roman" w:eastAsia="Times New Roman" w:hAnsi="Times New Roman"/>
          <w:sz w:val="18"/>
          <w:szCs w:val="18"/>
          <w:color w:val="auto"/>
        </w:rPr>
        <w:t xml:space="preserve">AMC </w:t>
      </w:r>
      <w:r>
        <w:rPr>
          <w:rFonts w:ascii="Times New Roman" w:cs="Times New Roman" w:eastAsia="Times New Roman" w:hAnsi="Times New Roman"/>
          <w:sz w:val="16"/>
          <w:szCs w:val="16"/>
          <w:color w:val="auto"/>
        </w:rPr>
        <w:t>GLOBAL MEDIA</w:t>
      </w:r>
      <w:r>
        <w:rPr>
          <w:rFonts w:ascii="Times New Roman" w:cs="Times New Roman" w:eastAsia="Times New Roman" w:hAnsi="Times New Roman"/>
          <w:sz w:val="18"/>
          <w:szCs w:val="18"/>
          <w:color w:val="auto"/>
        </w:rPr>
        <w:t xml:space="preserve">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6"/>
          </w:tcPr>
          <w:p>
            <w:pPr>
              <w:jc w:val="center"/>
              <w:ind w:left="471"/>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1060" w:type="dxa"/>
            <w:vAlign w:val="bottom"/>
            <w:tcBorders>
              <w:bottom w:val="single" w:sz="8" w:color="auto"/>
            </w:tcBorders>
          </w:tcPr>
          <w:p>
            <w:pPr>
              <w:spacing w:after="0"/>
              <w:rPr>
                <w:sz w:val="18"/>
                <w:szCs w:val="18"/>
                <w:color w:val="auto"/>
              </w:rPr>
            </w:pPr>
          </w:p>
        </w:tc>
      </w:tr>
      <w:tr>
        <w:trPr>
          <w:trHeight w:val="561"/>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Domestic Operations</w:t>
            </w:r>
          </w:p>
        </w:tc>
        <w:tc>
          <w:tcPr>
            <w:tcW w:w="22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500" w:type="dxa"/>
            <w:vAlign w:val="bottom"/>
          </w:tcPr>
          <w:p>
            <w:pPr>
              <w:spacing w:after="0"/>
              <w:rPr>
                <w:sz w:val="24"/>
                <w:szCs w:val="24"/>
                <w:color w:val="auto"/>
              </w:rPr>
            </w:pPr>
          </w:p>
        </w:tc>
        <w:tc>
          <w:tcPr>
            <w:tcW w:w="1060" w:type="dxa"/>
            <w:vAlign w:val="bottom"/>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 from external customers</w:t>
            </w:r>
          </w:p>
        </w:tc>
        <w:tc>
          <w:tcPr>
            <w:tcW w:w="5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r>
      <w:tr>
        <w:trPr>
          <w:trHeight w:val="230"/>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w:t>
            </w:r>
          </w:p>
        </w:tc>
        <w:tc>
          <w:tcPr>
            <w:tcW w:w="5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305,282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46,362</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351,644</w:t>
            </w:r>
          </w:p>
        </w:tc>
      </w:tr>
      <w:tr>
        <w:trPr>
          <w:trHeight w:val="229"/>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136,219</w:t>
            </w:r>
          </w:p>
        </w:tc>
      </w:tr>
      <w:tr>
        <w:trPr>
          <w:trHeight w:val="229"/>
        </w:trPr>
        <w:tc>
          <w:tcPr>
            <w:tcW w:w="6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52,558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54,264</w:t>
            </w:r>
          </w:p>
        </w:tc>
      </w:tr>
      <w:tr>
        <w:trPr>
          <w:trHeight w:val="223"/>
        </w:trPr>
        <w:tc>
          <w:tcPr>
            <w:tcW w:w="6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71,440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542,127</w:t>
            </w:r>
          </w:p>
        </w:tc>
      </w:tr>
      <w:tr>
        <w:trPr>
          <w:trHeight w:val="229"/>
        </w:trPr>
        <w:tc>
          <w:tcPr>
            <w:tcW w:w="63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Inter-segment revenues (Content licensing and other) </w:t>
            </w:r>
            <w:r>
              <w:rPr>
                <w:rFonts w:ascii="Times New Roman" w:cs="Times New Roman" w:eastAsia="Times New Roman" w:hAnsi="Times New Roman"/>
                <w:sz w:val="23"/>
                <w:szCs w:val="23"/>
                <w:color w:val="auto"/>
                <w:vertAlign w:val="superscript"/>
              </w:rPr>
              <w:t>(a)</w:t>
            </w:r>
          </w:p>
        </w:tc>
        <w:tc>
          <w:tcPr>
            <w:tcW w:w="5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r>
      <w:tr>
        <w:trPr>
          <w:trHeight w:val="223"/>
        </w:trPr>
        <w:tc>
          <w:tcPr>
            <w:tcW w:w="63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470,687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72,263</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542,950</w:t>
            </w: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6320" w:type="dxa"/>
            <w:vAlign w:val="bottom"/>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 xml:space="preserve">Elimination of inter-segment revenues </w:t>
            </w:r>
            <w:r>
              <w:rPr>
                <w:rFonts w:ascii="Times New Roman" w:cs="Times New Roman" w:eastAsia="Times New Roman" w:hAnsi="Times New Roman"/>
                <w:sz w:val="23"/>
                <w:szCs w:val="23"/>
                <w:color w:val="auto"/>
                <w:vertAlign w:val="superscript"/>
              </w:rPr>
              <w:t>(a)</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consolidated revenues, net</w:t>
            </w: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542,127</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63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9"/>
        </w:trPr>
        <w:tc>
          <w:tcPr>
            <w:tcW w:w="63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w:t>
            </w:r>
            <w:r>
              <w:rPr>
                <w:rFonts w:ascii="Times New Roman" w:cs="Times New Roman" w:eastAsia="Times New Roman" w:hAnsi="Times New Roman"/>
                <w:sz w:val="23"/>
                <w:szCs w:val="23"/>
                <w:color w:val="auto"/>
                <w:vertAlign w:val="superscript"/>
              </w:rPr>
              <w:t>(b)</w:t>
            </w: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Content expenses</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Marketing, research, and advertising sales expenses</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63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(c)</w:t>
            </w: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90,377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42,926</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operating income</w:t>
            </w:r>
          </w:p>
        </w:tc>
        <w:tc>
          <w:tcPr>
            <w:tcW w:w="5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92,261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97,698</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r>
      <w:tr>
        <w:trPr>
          <w:trHeight w:val="237"/>
        </w:trPr>
        <w:tc>
          <w:tcPr>
            <w:tcW w:w="63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total segment adjusted operating income</w:t>
            </w: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6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Elimination of inter-segment profits</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r>
      <w:tr>
        <w:trPr>
          <w:trHeight w:val="230"/>
        </w:trPr>
        <w:tc>
          <w:tcPr>
            <w:tcW w:w="6320" w:type="dxa"/>
            <w:vAlign w:val="bottom"/>
          </w:tcPr>
          <w:p>
            <w:pPr>
              <w:ind w:left="200"/>
              <w:spacing w:after="0" w:line="230" w:lineRule="exact"/>
              <w:rPr>
                <w:sz w:val="20"/>
                <w:szCs w:val="20"/>
                <w:color w:val="auto"/>
              </w:rPr>
            </w:pPr>
            <w:r>
              <w:rPr>
                <w:rFonts w:ascii="Times New Roman" w:cs="Times New Roman" w:eastAsia="Times New Roman" w:hAnsi="Times New Roman"/>
                <w:sz w:val="18"/>
                <w:szCs w:val="18"/>
                <w:color w:val="auto"/>
              </w:rPr>
              <w:t xml:space="preserve">Unallocated corporate overhead costs </w:t>
            </w:r>
            <w:r>
              <w:rPr>
                <w:rFonts w:ascii="Times New Roman" w:cs="Times New Roman" w:eastAsia="Times New Roman" w:hAnsi="Times New Roman"/>
                <w:sz w:val="23"/>
                <w:szCs w:val="23"/>
                <w:color w:val="auto"/>
                <w:vertAlign w:val="superscript"/>
              </w:rPr>
              <w:t>(d)</w:t>
            </w: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(30,234)</w:t>
            </w:r>
          </w:p>
        </w:tc>
      </w:tr>
      <w:tr>
        <w:trPr>
          <w:trHeight w:val="230"/>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w:t>
            </w:r>
          </w:p>
        </w:tc>
      </w:tr>
      <w:tr>
        <w:trPr>
          <w:trHeight w:val="230"/>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(21,423)</w:t>
            </w:r>
          </w:p>
        </w:tc>
      </w:tr>
      <w:tr>
        <w:trPr>
          <w:trHeight w:val="229"/>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w:t>
            </w:r>
          </w:p>
        </w:tc>
      </w:tr>
      <w:tr>
        <w:trPr>
          <w:trHeight w:val="230"/>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Cloud computing amortization</w:t>
            </w: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w:t>
            </w:r>
          </w:p>
        </w:tc>
      </w:tr>
      <w:tr>
        <w:trPr>
          <w:trHeight w:val="230"/>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Majority-owned equity investees AOI</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w:t>
            </w: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31,261</w:t>
            </w: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(41,345)</w:t>
            </w:r>
          </w:p>
        </w:tc>
      </w:tr>
      <w:tr>
        <w:trPr>
          <w:trHeight w:val="229"/>
        </w:trPr>
        <w:tc>
          <w:tcPr>
            <w:tcW w:w="6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r>
      <w:tr>
        <w:trPr>
          <w:trHeight w:val="230"/>
        </w:trPr>
        <w:tc>
          <w:tcPr>
            <w:tcW w:w="63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Miscellaneous, net</w:t>
            </w:r>
          </w:p>
        </w:tc>
        <w:tc>
          <w:tcPr>
            <w:tcW w:w="5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(16,942)</w:t>
            </w: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 before income taxes</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(23,902)</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200" w:hanging="192"/>
        <w:spacing w:after="0"/>
        <w:tabs>
          <w:tab w:leader="none" w:pos="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Inter-segment revenues primarily relate to services performed by AMC Global Media International on behalf of businesses within the Domestic Operations segment.</w:t>
      </w:r>
    </w:p>
    <w:p>
      <w:pPr>
        <w:spacing w:after="0" w:line="109"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expense categories and amounts align with the segment-level information that is regularly provided to the Chief Operating Decision Maker (the "CODM").</w:t>
      </w:r>
    </w:p>
    <w:p>
      <w:pPr>
        <w:spacing w:after="0" w:line="122" w:lineRule="exact"/>
        <w:rPr>
          <w:rFonts w:ascii="Times New Roman" w:cs="Times New Roman" w:eastAsia="Times New Roman" w:hAnsi="Times New Roman"/>
          <w:sz w:val="14"/>
          <w:szCs w:val="14"/>
          <w:color w:val="auto"/>
        </w:rPr>
      </w:pPr>
    </w:p>
    <w:p>
      <w:pPr>
        <w:ind w:right="220" w:firstLine="8"/>
        <w:spacing w:after="0" w:line="302" w:lineRule="auto"/>
        <w:tabs>
          <w:tab w:leader="none" w:pos="19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for each reportable segment primarily includes employee-related costs, information technology costs, professional services expenses, occupancy expenses, certain overhead expenses and the Company’s proportionate share of adjusted operating income (loss) from majority-owned equity method investees.</w:t>
      </w:r>
    </w:p>
    <w:p>
      <w:pPr>
        <w:spacing w:after="0" w:line="53"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Unallocated corporate overhead costs include costs such as executive salaries and benefits and costs of maintaining corporate headquarters, facilities and common support functions.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ind w:left="340" w:right="2300"/>
        <w:spacing w:after="0" w:line="275" w:lineRule="auto"/>
        <w:rPr>
          <w:sz w:val="20"/>
          <w:szCs w:val="20"/>
          <w:color w:val="auto"/>
        </w:rPr>
      </w:pPr>
      <w:r>
        <w:rPr>
          <w:rFonts w:ascii="Times New Roman" w:cs="Times New Roman" w:eastAsia="Times New Roman" w:hAnsi="Times New Roman"/>
          <w:sz w:val="18"/>
          <w:szCs w:val="18"/>
          <w:color w:val="auto"/>
        </w:rPr>
        <w:t xml:space="preserve">AMC </w:t>
      </w:r>
      <w:r>
        <w:rPr>
          <w:rFonts w:ascii="Times New Roman" w:cs="Times New Roman" w:eastAsia="Times New Roman" w:hAnsi="Times New Roman"/>
          <w:sz w:val="16"/>
          <w:szCs w:val="16"/>
          <w:color w:val="auto"/>
        </w:rPr>
        <w:t>GLOBAL MEDIA</w:t>
      </w:r>
      <w:r>
        <w:rPr>
          <w:rFonts w:ascii="Times New Roman" w:cs="Times New Roman" w:eastAsia="Times New Roman" w:hAnsi="Times New Roman"/>
          <w:sz w:val="18"/>
          <w:szCs w:val="18"/>
          <w:color w:val="auto"/>
        </w:rPr>
        <w:t xml:space="preserve">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6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6"/>
          </w:tcPr>
          <w:p>
            <w:pPr>
              <w:jc w:val="center"/>
              <w:ind w:left="451"/>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1060" w:type="dxa"/>
            <w:vAlign w:val="bottom"/>
            <w:tcBorders>
              <w:bottom w:val="single" w:sz="8" w:color="auto"/>
            </w:tcBorders>
          </w:tcPr>
          <w:p>
            <w:pPr>
              <w:spacing w:after="0"/>
              <w:rPr>
                <w:sz w:val="18"/>
                <w:szCs w:val="18"/>
                <w:color w:val="auto"/>
              </w:rPr>
            </w:pPr>
          </w:p>
        </w:tc>
      </w:tr>
      <w:tr>
        <w:trPr>
          <w:trHeight w:val="561"/>
        </w:trPr>
        <w:tc>
          <w:tcPr>
            <w:tcW w:w="6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Domestic Operations</w:t>
            </w:r>
          </w:p>
        </w:tc>
        <w:tc>
          <w:tcPr>
            <w:tcW w:w="22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500" w:type="dxa"/>
            <w:vAlign w:val="bottom"/>
          </w:tcPr>
          <w:p>
            <w:pPr>
              <w:spacing w:after="0"/>
              <w:rPr>
                <w:sz w:val="24"/>
                <w:szCs w:val="24"/>
                <w:color w:val="auto"/>
              </w:rPr>
            </w:pPr>
          </w:p>
        </w:tc>
        <w:tc>
          <w:tcPr>
            <w:tcW w:w="1060" w:type="dxa"/>
            <w:vAlign w:val="bottom"/>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6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 from external customers</w:t>
            </w: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r>
      <w:tr>
        <w:trPr>
          <w:trHeight w:val="230"/>
        </w:trPr>
        <w:tc>
          <w:tcPr>
            <w:tcW w:w="6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Subscription</w:t>
            </w:r>
          </w:p>
        </w:tc>
        <w:tc>
          <w:tcPr>
            <w:tcW w:w="5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313,373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44,702</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358,075</w:t>
            </w:r>
          </w:p>
        </w:tc>
      </w:tr>
      <w:tr>
        <w:trPr>
          <w:trHeight w:val="229"/>
        </w:trPr>
        <w:tc>
          <w:tcPr>
            <w:tcW w:w="6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Advertising</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141,856</w:t>
            </w:r>
          </w:p>
        </w:tc>
      </w:tr>
      <w:tr>
        <w:trPr>
          <w:trHeight w:val="229"/>
        </w:trPr>
        <w:tc>
          <w:tcPr>
            <w:tcW w:w="62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53,366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55,302</w:t>
            </w:r>
          </w:p>
        </w:tc>
      </w:tr>
      <w:tr>
        <w:trPr>
          <w:trHeight w:val="223"/>
        </w:trPr>
        <w:tc>
          <w:tcPr>
            <w:tcW w:w="6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69,246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555,233</w:t>
            </w:r>
          </w:p>
        </w:tc>
      </w:tr>
      <w:tr>
        <w:trPr>
          <w:trHeight w:val="229"/>
        </w:trPr>
        <w:tc>
          <w:tcPr>
            <w:tcW w:w="6200" w:type="dxa"/>
            <w:vAlign w:val="bottom"/>
            <w:tcBorders>
              <w:bottom w:val="single" w:sz="8" w:color="CCEEFF"/>
            </w:tcBorders>
          </w:tcPr>
          <w:p>
            <w:pPr>
              <w:spacing w:after="0" w:line="230" w:lineRule="exact"/>
              <w:rPr>
                <w:sz w:val="20"/>
                <w:szCs w:val="20"/>
                <w:color w:val="auto"/>
              </w:rPr>
            </w:pPr>
            <w:r>
              <w:rPr>
                <w:rFonts w:ascii="Times New Roman" w:cs="Times New Roman" w:eastAsia="Times New Roman" w:hAnsi="Times New Roman"/>
                <w:sz w:val="18"/>
                <w:szCs w:val="18"/>
                <w:color w:val="auto"/>
              </w:rPr>
              <w:t xml:space="preserve">Inter-segment revenues (Content licensing and other) </w:t>
            </w:r>
            <w:r>
              <w:rPr>
                <w:rFonts w:ascii="Times New Roman" w:cs="Times New Roman" w:eastAsia="Times New Roman" w:hAnsi="Times New Roman"/>
                <w:sz w:val="23"/>
                <w:szCs w:val="23"/>
                <w:color w:val="auto"/>
                <w:vertAlign w:val="superscript"/>
              </w:rPr>
              <w:t>(a)</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w:t>
            </w:r>
          </w:p>
        </w:tc>
      </w:tr>
      <w:tr>
        <w:trPr>
          <w:trHeight w:val="223"/>
        </w:trPr>
        <w:tc>
          <w:tcPr>
            <w:tcW w:w="62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69,946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556,253</w:t>
            </w:r>
          </w:p>
        </w:tc>
      </w:tr>
      <w:tr>
        <w:trPr>
          <w:trHeight w:val="229"/>
        </w:trPr>
        <w:tc>
          <w:tcPr>
            <w:tcW w:w="6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62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Elimination of inter-segment revenues </w:t>
            </w:r>
            <w:r>
              <w:rPr>
                <w:rFonts w:ascii="Times New Roman" w:cs="Times New Roman" w:eastAsia="Times New Roman" w:hAnsi="Times New Roman"/>
                <w:sz w:val="23"/>
                <w:szCs w:val="23"/>
                <w:color w:val="auto"/>
                <w:vertAlign w:val="superscript"/>
              </w:rPr>
              <w:t>(a)</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r>
      <w:tr>
        <w:trPr>
          <w:trHeight w:val="223"/>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Total consolidated revenues, net</w:t>
            </w: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555,233</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6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9"/>
        </w:trPr>
        <w:tc>
          <w:tcPr>
            <w:tcW w:w="620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Less: </w:t>
            </w:r>
            <w:r>
              <w:rPr>
                <w:rFonts w:ascii="Times New Roman" w:cs="Times New Roman" w:eastAsia="Times New Roman" w:hAnsi="Times New Roman"/>
                <w:sz w:val="23"/>
                <w:szCs w:val="23"/>
                <w:color w:val="auto"/>
                <w:vertAlign w:val="superscript"/>
              </w:rPr>
              <w:t>(b)</w:t>
            </w: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6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Content expenses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6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Marketing, research, and advertising sales expenses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6200" w:type="dxa"/>
            <w:vAlign w:val="bottom"/>
            <w:shd w:val="clear" w:color="auto" w:fill="CCEEFF"/>
          </w:tcPr>
          <w:p>
            <w:pPr>
              <w:ind w:left="16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(c)</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r>
      <w:tr>
        <w:trPr>
          <w:trHeight w:val="223"/>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Segment adjusted operating income</w:t>
            </w:r>
          </w:p>
        </w:tc>
        <w:tc>
          <w:tcPr>
            <w:tcW w:w="5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123,924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9,851</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133,775</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r>
      <w:tr>
        <w:trPr>
          <w:trHeight w:val="237"/>
        </w:trPr>
        <w:tc>
          <w:tcPr>
            <w:tcW w:w="6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9"/>
        </w:trPr>
        <w:tc>
          <w:tcPr>
            <w:tcW w:w="6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of total segment adjusted operating income</w:t>
            </w: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Elimination of inter-segment profits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62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Unallocated corporate overhead costs </w:t>
            </w:r>
            <w:r>
              <w:rPr>
                <w:rFonts w:ascii="Times New Roman" w:cs="Times New Roman" w:eastAsia="Times New Roman" w:hAnsi="Times New Roman"/>
                <w:sz w:val="23"/>
                <w:szCs w:val="23"/>
                <w:color w:val="auto"/>
                <w:vertAlign w:val="superscript"/>
              </w:rPr>
              <w:t>(d)</w:t>
            </w: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(29,288)</w:t>
            </w:r>
          </w:p>
        </w:tc>
      </w:tr>
      <w:tr>
        <w:trPr>
          <w:trHeight w:val="230"/>
        </w:trPr>
        <w:tc>
          <w:tcPr>
            <w:tcW w:w="6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(5,757)</w:t>
            </w:r>
          </w:p>
        </w:tc>
      </w:tr>
      <w:tr>
        <w:trPr>
          <w:trHeight w:val="230"/>
        </w:trPr>
        <w:tc>
          <w:tcPr>
            <w:tcW w:w="6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(20,926)</w:t>
            </w:r>
          </w:p>
        </w:tc>
      </w:tr>
      <w:tr>
        <w:trPr>
          <w:trHeight w:val="230"/>
        </w:trPr>
        <w:tc>
          <w:tcPr>
            <w:tcW w:w="6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w:t>
            </w:r>
          </w:p>
        </w:tc>
      </w:tr>
      <w:tr>
        <w:trPr>
          <w:trHeight w:val="229"/>
        </w:trPr>
        <w:tc>
          <w:tcPr>
            <w:tcW w:w="6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Cloud computing amortization</w:t>
            </w: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w:t>
            </w:r>
          </w:p>
        </w:tc>
      </w:tr>
      <w:tr>
        <w:trPr>
          <w:trHeight w:val="230"/>
        </w:trPr>
        <w:tc>
          <w:tcPr>
            <w:tcW w:w="6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Majority-owned equity investees AOI</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w:t>
            </w:r>
          </w:p>
        </w:tc>
      </w:tr>
      <w:tr>
        <w:trPr>
          <w:trHeight w:val="223"/>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64,197</w:t>
            </w:r>
          </w:p>
        </w:tc>
      </w:tr>
      <w:tr>
        <w:trPr>
          <w:trHeight w:val="23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(43,392)</w:t>
            </w:r>
          </w:p>
        </w:tc>
      </w:tr>
      <w:tr>
        <w:trPr>
          <w:trHeight w:val="229"/>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8,415</w:t>
            </w:r>
          </w:p>
        </w:tc>
      </w:tr>
      <w:tr>
        <w:trPr>
          <w:trHeight w:val="230"/>
        </w:trPr>
        <w:tc>
          <w:tcPr>
            <w:tcW w:w="6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Miscellaneous, net</w:t>
            </w:r>
          </w:p>
        </w:tc>
        <w:tc>
          <w:tcPr>
            <w:tcW w:w="5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7,888</w:t>
            </w:r>
          </w:p>
        </w:tc>
      </w:tr>
      <w:tr>
        <w:trPr>
          <w:trHeight w:val="248"/>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37,108</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480" w:firstLine="8"/>
        <w:spacing w:after="0" w:line="282" w:lineRule="auto"/>
        <w:tabs>
          <w:tab w:leader="none" w:pos="19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Inter-segment revenues primarily relate to Domestic Operations content licensing sales to International, as well as services performed by AMC Global Media International on behalf of businesses within the Domestic Operations segment.</w:t>
      </w:r>
    </w:p>
    <w:p>
      <w:pPr>
        <w:spacing w:after="0" w:line="67"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expense categories and amounts align with the segment-level information that is regularly provided to the CODM.</w:t>
      </w:r>
    </w:p>
    <w:p>
      <w:pPr>
        <w:spacing w:after="0" w:line="122" w:lineRule="exact"/>
        <w:rPr>
          <w:rFonts w:ascii="Times New Roman" w:cs="Times New Roman" w:eastAsia="Times New Roman" w:hAnsi="Times New Roman"/>
          <w:sz w:val="14"/>
          <w:szCs w:val="14"/>
          <w:color w:val="auto"/>
        </w:rPr>
      </w:pPr>
    </w:p>
    <w:p>
      <w:pPr>
        <w:ind w:right="220" w:firstLine="8"/>
        <w:spacing w:after="0" w:line="302" w:lineRule="auto"/>
        <w:tabs>
          <w:tab w:leader="none" w:pos="19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for each reportable segment primarily includes employee-related costs, information technology costs, professional services expenses, occupancy expenses, certain overhead expenses and the Company’s proportionate share of adjusted operating income (loss) from majority-owned equity method investees.</w:t>
      </w:r>
    </w:p>
    <w:p>
      <w:pPr>
        <w:spacing w:after="0" w:line="53"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Unallocated corporate overhead costs include costs such as executive salaries and benefits and costs of maintaining corporate headquarters, facilities and common support functions.</w:t>
      </w:r>
    </w:p>
    <w:p>
      <w:pPr>
        <w:spacing w:after="0" w:line="16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Subscription revenues in the Domestic Operations segment include revenues related to the Company's streaming services of $173.8 million and $157.1 million for the three months ended March 31, 2026 and 2025, respectively.</w:t>
      </w:r>
    </w:p>
    <w:p>
      <w:pPr>
        <w:spacing w:after="0" w:line="5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does not disclose total assets for each operating segment because these amounts are not regularly reviewed by the CODM nor are they used in assessing segment performance or deciding how to allocate resources to the segments.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ind w:left="340" w:right="2300"/>
        <w:spacing w:after="0" w:line="275" w:lineRule="auto"/>
        <w:rPr>
          <w:sz w:val="20"/>
          <w:szCs w:val="20"/>
          <w:color w:val="auto"/>
        </w:rPr>
      </w:pPr>
      <w:r>
        <w:rPr>
          <w:rFonts w:ascii="Times New Roman" w:cs="Times New Roman" w:eastAsia="Times New Roman" w:hAnsi="Times New Roman"/>
          <w:sz w:val="18"/>
          <w:szCs w:val="18"/>
          <w:color w:val="auto"/>
        </w:rPr>
        <w:t xml:space="preserve">AMC </w:t>
      </w:r>
      <w:r>
        <w:rPr>
          <w:rFonts w:ascii="Times New Roman" w:cs="Times New Roman" w:eastAsia="Times New Roman" w:hAnsi="Times New Roman"/>
          <w:sz w:val="16"/>
          <w:szCs w:val="16"/>
          <w:color w:val="auto"/>
        </w:rPr>
        <w:t>GLOBAL MEDIA</w:t>
      </w:r>
      <w:r>
        <w:rPr>
          <w:rFonts w:ascii="Times New Roman" w:cs="Times New Roman" w:eastAsia="Times New Roman" w:hAnsi="Times New Roman"/>
          <w:sz w:val="18"/>
          <w:szCs w:val="18"/>
          <w:color w:val="auto"/>
        </w:rPr>
        <w:t xml:space="preserve">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summarizes revenues based on customer location:</w:t>
      </w:r>
    </w:p>
    <w:p>
      <w:pPr>
        <w:spacing w:after="0" w:line="201"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21590</wp:posOffset>
            </wp:positionV>
            <wp:extent cx="23660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437,548</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447,390</w:t>
            </w:r>
          </w:p>
        </w:tc>
      </w:tr>
      <w:tr>
        <w:trPr>
          <w:trHeight w:val="229"/>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Europe</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73,771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74,099</w:t>
            </w:r>
          </w:p>
        </w:tc>
      </w:tr>
      <w:tr>
        <w:trPr>
          <w:trHeight w:val="229"/>
        </w:trPr>
        <w:tc>
          <w:tcPr>
            <w:tcW w:w="7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30,808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33,744</w:t>
            </w:r>
          </w:p>
        </w:tc>
      </w:tr>
      <w:tr>
        <w:trPr>
          <w:trHeight w:val="248"/>
        </w:trPr>
        <w:tc>
          <w:tcPr>
            <w:tcW w:w="75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542,127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555,233</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One customer within the Domestic Operations segment accounted for approximately 20% and 17% of consolidated revenues, net for the three months ended March 31, 2026 and 2025, respectively.</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summarizes property and equipment based on asset location: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Pr>
          <w:p>
            <w:pPr>
              <w:spacing w:after="0"/>
              <w:rPr>
                <w:sz w:val="18"/>
                <w:szCs w:val="18"/>
                <w:color w:val="auto"/>
              </w:rPr>
            </w:pP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6"/>
        </w:trPr>
        <w:tc>
          <w:tcPr>
            <w:tcW w:w="7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4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r>
      <w:tr>
        <w:trPr>
          <w:trHeight w:val="229"/>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90,102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97,357</w:t>
            </w:r>
          </w:p>
        </w:tc>
      </w:tr>
      <w:tr>
        <w:trPr>
          <w:trHeight w:val="229"/>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Europe</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15,282</w:t>
            </w:r>
          </w:p>
        </w:tc>
      </w:tr>
      <w:tr>
        <w:trPr>
          <w:trHeight w:val="230"/>
        </w:trPr>
        <w:tc>
          <w:tcPr>
            <w:tcW w:w="7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3,339</w:t>
            </w:r>
          </w:p>
        </w:tc>
      </w:tr>
      <w:tr>
        <w:trPr>
          <w:trHeight w:val="248"/>
        </w:trPr>
        <w:tc>
          <w:tcPr>
            <w:tcW w:w="7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115,978</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contains statements that constitute forward-looking information within the meaning of the Private Securities Litigation Reform Act of 1995. In this Management's Discussion and Analysis of Financial Condition and Results of Operations there are statements concerning our future operating results and future financial performance. Words such as "expects," "anticipates," "believes," "estimates," "may," "will," "should," "could," "potential," "continue," "intends," "plans" and similar words and terms used in the discussion of future operating results and future financial performance identify forward-looking statements. You are cautioned that any such forward-looking statements are not guarantees of future performance or results and involve risks and uncertainties and that actual results or developments may differ materially from the forward-looking statements as a result of various factors. Factors that may cause such differences to occur include, but are not limited to:</w:t>
      </w:r>
    </w:p>
    <w:p>
      <w:pPr>
        <w:spacing w:after="0" w:line="30" w:lineRule="exact"/>
        <w:rPr>
          <w:sz w:val="20"/>
          <w:szCs w:val="20"/>
          <w:color w:val="auto"/>
        </w:rPr>
      </w:pPr>
    </w:p>
    <w:p>
      <w:pPr>
        <w:ind w:left="320" w:hanging="231"/>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revenues;</w:t>
      </w:r>
    </w:p>
    <w:p>
      <w:pPr>
        <w:spacing w:after="0" w:line="27" w:lineRule="exact"/>
        <w:rPr>
          <w:rFonts w:ascii="Times New Roman" w:cs="Times New Roman" w:eastAsia="Times New Roman" w:hAnsi="Times New Roman"/>
          <w:sz w:val="18"/>
          <w:szCs w:val="18"/>
          <w:color w:val="auto"/>
        </w:rPr>
      </w:pPr>
    </w:p>
    <w:p>
      <w:pPr>
        <w:ind w:left="340" w:right="820" w:hanging="251"/>
        <w:spacing w:after="0" w:line="250"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including changes in viewer consumption patterns, for our programming networks, our subscription streaming services, our programming (including our owned original programming and our film content) and our production services;</w:t>
      </w:r>
    </w:p>
    <w:p>
      <w:pPr>
        <w:ind w:left="320" w:hanging="231"/>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advertising inventory and our ability to deliver guaranteed viewer ratings;</w:t>
      </w:r>
    </w:p>
    <w:p>
      <w:pPr>
        <w:spacing w:after="0" w:line="9" w:lineRule="exact"/>
        <w:rPr>
          <w:rFonts w:ascii="Times New Roman" w:cs="Times New Roman" w:eastAsia="Times New Roman" w:hAnsi="Times New Roman"/>
          <w:sz w:val="18"/>
          <w:szCs w:val="18"/>
          <w:color w:val="auto"/>
        </w:rPr>
      </w:pPr>
    </w:p>
    <w:p>
      <w:pPr>
        <w:ind w:left="320" w:hanging="231"/>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highly competitive nature of the cable, telecommunications, streaming and programming industries;</w:t>
      </w:r>
    </w:p>
    <w:p>
      <w:pPr>
        <w:spacing w:after="0" w:line="9" w:lineRule="exact"/>
        <w:rPr>
          <w:rFonts w:ascii="Times New Roman" w:cs="Times New Roman" w:eastAsia="Times New Roman" w:hAnsi="Times New Roman"/>
          <w:sz w:val="18"/>
          <w:szCs w:val="18"/>
          <w:color w:val="auto"/>
        </w:rPr>
      </w:pPr>
    </w:p>
    <w:p>
      <w:pPr>
        <w:ind w:left="340" w:hanging="251"/>
        <w:spacing w:after="0" w:line="250"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and our ability to obtain or produce, desirable content for our programming services, other forms of distribution, including digital and licensing in international markets, as well as our film distribution businesses;</w:t>
      </w:r>
    </w:p>
    <w:p>
      <w:pPr>
        <w:ind w:left="320" w:hanging="231"/>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of our key personnel or artistic talent;</w:t>
      </w:r>
    </w:p>
    <w:p>
      <w:pPr>
        <w:spacing w:after="0" w:line="9" w:lineRule="exact"/>
        <w:rPr>
          <w:rFonts w:ascii="Times New Roman" w:cs="Times New Roman" w:eastAsia="Times New Roman" w:hAnsi="Times New Roman"/>
          <w:sz w:val="18"/>
          <w:szCs w:val="18"/>
          <w:color w:val="auto"/>
        </w:rPr>
      </w:pPr>
    </w:p>
    <w:p>
      <w:pPr>
        <w:ind w:left="320" w:hanging="231"/>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lingering effects of strikes, including those related to the Writers, Directors, and Screen Actors guilds;</w:t>
      </w:r>
    </w:p>
    <w:p>
      <w:pPr>
        <w:spacing w:after="0" w:line="9" w:lineRule="exact"/>
        <w:rPr>
          <w:rFonts w:ascii="Times New Roman" w:cs="Times New Roman" w:eastAsia="Times New Roman" w:hAnsi="Times New Roman"/>
          <w:sz w:val="18"/>
          <w:szCs w:val="18"/>
          <w:color w:val="auto"/>
        </w:rPr>
      </w:pPr>
    </w:p>
    <w:p>
      <w:pPr>
        <w:ind w:left="320" w:hanging="231"/>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of our program rights and other electronic data;</w:t>
      </w:r>
    </w:p>
    <w:p>
      <w:pPr>
        <w:spacing w:after="0" w:line="9" w:lineRule="exact"/>
        <w:rPr>
          <w:rFonts w:ascii="Times New Roman" w:cs="Times New Roman" w:eastAsia="Times New Roman" w:hAnsi="Times New Roman"/>
          <w:sz w:val="18"/>
          <w:szCs w:val="18"/>
          <w:color w:val="auto"/>
        </w:rPr>
      </w:pPr>
    </w:p>
    <w:p>
      <w:pPr>
        <w:ind w:left="340" w:hanging="251"/>
        <w:spacing w:after="0" w:line="250"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or failures of our or our vendors’ information technology systems or products, including by cyber-attack, malware, data leakage, unauthorized access or theft, or other cybersecurity incidents;</w:t>
      </w:r>
    </w:p>
    <w:p>
      <w:pPr>
        <w:ind w:left="320" w:hanging="231"/>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renew distribution or affiliation agreements with distributors;</w:t>
      </w:r>
    </w:p>
    <w:p>
      <w:pPr>
        <w:spacing w:after="0" w:line="9" w:lineRule="exact"/>
        <w:rPr>
          <w:rFonts w:ascii="Times New Roman" w:cs="Times New Roman" w:eastAsia="Times New Roman" w:hAnsi="Times New Roman"/>
          <w:sz w:val="18"/>
          <w:szCs w:val="18"/>
          <w:color w:val="auto"/>
        </w:rPr>
      </w:pPr>
    </w:p>
    <w:p>
      <w:pPr>
        <w:ind w:left="340" w:hanging="251"/>
        <w:spacing w:after="0" w:line="250"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business conditions and industry trends in the countries in which we operate, including fluctuations in inflation rates, recession risk, the impacts of tariffs, U.S. federal government shutdowns, and uncertainty regarding the foregoing;</w:t>
      </w:r>
    </w:p>
    <w:p>
      <w:pPr>
        <w:ind w:left="320" w:hanging="231"/>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and interest rates;</w:t>
      </w:r>
    </w:p>
    <w:p>
      <w:pPr>
        <w:spacing w:after="0" w:line="9" w:lineRule="exact"/>
        <w:rPr>
          <w:rFonts w:ascii="Times New Roman" w:cs="Times New Roman" w:eastAsia="Times New Roman" w:hAnsi="Times New Roman"/>
          <w:sz w:val="18"/>
          <w:szCs w:val="18"/>
          <w:color w:val="auto"/>
        </w:rPr>
      </w:pPr>
    </w:p>
    <w:p>
      <w:pPr>
        <w:ind w:left="320" w:hanging="231"/>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laws or regulations under which we operate;</w:t>
      </w:r>
    </w:p>
    <w:p>
      <w:pPr>
        <w:spacing w:after="0" w:line="9" w:lineRule="exact"/>
        <w:rPr>
          <w:rFonts w:ascii="Times New Roman" w:cs="Times New Roman" w:eastAsia="Times New Roman" w:hAnsi="Times New Roman"/>
          <w:sz w:val="18"/>
          <w:szCs w:val="18"/>
          <w:color w:val="auto"/>
        </w:rPr>
      </w:pPr>
    </w:p>
    <w:p>
      <w:pPr>
        <w:ind w:left="320" w:hanging="231"/>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treaties relating to taxation, or the interpretation thereof, in the United States or in the countries in which we operate;</w:t>
      </w:r>
    </w:p>
    <w:p>
      <w:pPr>
        <w:spacing w:after="0" w:line="9" w:lineRule="exact"/>
        <w:rPr>
          <w:rFonts w:ascii="Times New Roman" w:cs="Times New Roman" w:eastAsia="Times New Roman" w:hAnsi="Times New Roman"/>
          <w:sz w:val="18"/>
          <w:szCs w:val="18"/>
          <w:color w:val="auto"/>
        </w:rPr>
      </w:pPr>
    </w:p>
    <w:p>
      <w:pPr>
        <w:ind w:left="340" w:right="120" w:hanging="251"/>
        <w:spacing w:after="0" w:line="250"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existing and proposed federal, state and international laws and regulations relating to data protection, privacy and security, including the European Union's General Data Protection Regulation ("GDPR"), the California Consumer Privacy Act ("CCPA") and other similar comprehensive privacy and security laws that have been or may be enacted in other states;</w:t>
      </w:r>
    </w:p>
    <w:p>
      <w:pPr>
        <w:spacing w:after="0" w:line="1" w:lineRule="exact"/>
        <w:rPr>
          <w:rFonts w:ascii="Times New Roman" w:cs="Times New Roman" w:eastAsia="Times New Roman" w:hAnsi="Times New Roman"/>
          <w:sz w:val="18"/>
          <w:szCs w:val="18"/>
          <w:color w:val="auto"/>
        </w:rPr>
      </w:pPr>
    </w:p>
    <w:p>
      <w:pPr>
        <w:ind w:left="320" w:hanging="231"/>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debt and high leverage, as well as our liquidity;</w:t>
      </w:r>
    </w:p>
    <w:p>
      <w:pPr>
        <w:spacing w:after="0" w:line="9" w:lineRule="exact"/>
        <w:rPr>
          <w:rFonts w:ascii="Times New Roman" w:cs="Times New Roman" w:eastAsia="Times New Roman" w:hAnsi="Times New Roman"/>
          <w:sz w:val="18"/>
          <w:szCs w:val="18"/>
          <w:color w:val="auto"/>
        </w:rPr>
      </w:pPr>
    </w:p>
    <w:p>
      <w:pPr>
        <w:ind w:left="320" w:hanging="231"/>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access to, or inability to access, capital or credit markets, or significant increases in costs to borrow;</w:t>
      </w:r>
    </w:p>
    <w:p>
      <w:pPr>
        <w:spacing w:after="0" w:line="9" w:lineRule="exact"/>
        <w:rPr>
          <w:rFonts w:ascii="Times New Roman" w:cs="Times New Roman" w:eastAsia="Times New Roman" w:hAnsi="Times New Roman"/>
          <w:sz w:val="18"/>
          <w:szCs w:val="18"/>
          <w:color w:val="auto"/>
        </w:rPr>
      </w:pPr>
    </w:p>
    <w:p>
      <w:pPr>
        <w:ind w:left="320" w:hanging="231"/>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expenses;</w:t>
      </w:r>
    </w:p>
    <w:p>
      <w:pPr>
        <w:spacing w:after="0" w:line="9" w:lineRule="exact"/>
        <w:rPr>
          <w:rFonts w:ascii="Times New Roman" w:cs="Times New Roman" w:eastAsia="Times New Roman" w:hAnsi="Times New Roman"/>
          <w:sz w:val="18"/>
          <w:szCs w:val="18"/>
          <w:color w:val="auto"/>
        </w:rPr>
      </w:pPr>
    </w:p>
    <w:p>
      <w:pPr>
        <w:ind w:left="320" w:hanging="231"/>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strategy;</w:t>
      </w:r>
    </w:p>
    <w:p>
      <w:pPr>
        <w:spacing w:after="0" w:line="9" w:lineRule="exact"/>
        <w:rPr>
          <w:rFonts w:ascii="Times New Roman" w:cs="Times New Roman" w:eastAsia="Times New Roman" w:hAnsi="Times New Roman"/>
          <w:sz w:val="18"/>
          <w:szCs w:val="18"/>
          <w:color w:val="auto"/>
        </w:rPr>
      </w:pPr>
    </w:p>
    <w:p>
      <w:pPr>
        <w:ind w:left="320" w:hanging="231"/>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and dispositions of assets;</w:t>
      </w:r>
    </w:p>
    <w:p>
      <w:pPr>
        <w:spacing w:after="0" w:line="9" w:lineRule="exact"/>
        <w:rPr>
          <w:rFonts w:ascii="Times New Roman" w:cs="Times New Roman" w:eastAsia="Times New Roman" w:hAnsi="Times New Roman"/>
          <w:sz w:val="18"/>
          <w:szCs w:val="18"/>
          <w:color w:val="auto"/>
        </w:rPr>
      </w:pPr>
    </w:p>
    <w:p>
      <w:pPr>
        <w:ind w:left="320" w:hanging="231"/>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acquire new businesses and, if acquired, to integrate, and implement our plan with respect to businesses we acquire;</w:t>
      </w:r>
    </w:p>
    <w:p>
      <w:pPr>
        <w:spacing w:after="0" w:line="9" w:lineRule="exact"/>
        <w:rPr>
          <w:rFonts w:ascii="Times New Roman" w:cs="Times New Roman" w:eastAsia="Times New Roman" w:hAnsi="Times New Roman"/>
          <w:sz w:val="18"/>
          <w:szCs w:val="18"/>
          <w:color w:val="auto"/>
        </w:rPr>
      </w:pPr>
    </w:p>
    <w:p>
      <w:pPr>
        <w:ind w:left="320" w:hanging="231"/>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we may discover post-closing with the operations, including the internal controls and financial reporting process, of businesses we acquire;</w:t>
      </w:r>
    </w:p>
    <w:p>
      <w:pPr>
        <w:spacing w:after="0" w:line="9" w:lineRule="exact"/>
        <w:rPr>
          <w:rFonts w:ascii="Times New Roman" w:cs="Times New Roman" w:eastAsia="Times New Roman" w:hAnsi="Times New Roman"/>
          <w:sz w:val="18"/>
          <w:szCs w:val="18"/>
          <w:color w:val="auto"/>
        </w:rPr>
      </w:pPr>
    </w:p>
    <w:p>
      <w:pPr>
        <w:ind w:left="320" w:hanging="231"/>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litigation, arbitration and other proceedings or investigations;</w:t>
      </w:r>
    </w:p>
    <w:p>
      <w:pPr>
        <w:spacing w:after="0" w:line="9" w:lineRule="exact"/>
        <w:rPr>
          <w:rFonts w:ascii="Times New Roman" w:cs="Times New Roman" w:eastAsia="Times New Roman" w:hAnsi="Times New Roman"/>
          <w:sz w:val="18"/>
          <w:szCs w:val="18"/>
          <w:color w:val="auto"/>
        </w:rPr>
      </w:pPr>
    </w:p>
    <w:p>
      <w:pPr>
        <w:ind w:left="320" w:hanging="231"/>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pending uncompleted transactions, if any, are completed on the terms and at the times set forth (if at all);</w:t>
      </w:r>
    </w:p>
    <w:p>
      <w:pPr>
        <w:spacing w:after="0" w:line="9" w:lineRule="exact"/>
        <w:rPr>
          <w:rFonts w:ascii="Times New Roman" w:cs="Times New Roman" w:eastAsia="Times New Roman" w:hAnsi="Times New Roman"/>
          <w:sz w:val="18"/>
          <w:szCs w:val="18"/>
          <w:color w:val="auto"/>
        </w:rPr>
      </w:pPr>
    </w:p>
    <w:p>
      <w:pPr>
        <w:ind w:left="320" w:hanging="231"/>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community and rating agency perceptions of our business, operations, financial condition and the industry in which we operate;</w:t>
      </w:r>
    </w:p>
    <w:p>
      <w:pPr>
        <w:spacing w:after="0" w:line="9" w:lineRule="exact"/>
        <w:rPr>
          <w:rFonts w:ascii="Times New Roman" w:cs="Times New Roman" w:eastAsia="Times New Roman" w:hAnsi="Times New Roman"/>
          <w:sz w:val="18"/>
          <w:szCs w:val="18"/>
          <w:color w:val="auto"/>
        </w:rPr>
      </w:pPr>
    </w:p>
    <w:p>
      <w:pPr>
        <w:ind w:left="320" w:hanging="231"/>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related to our goodwill and other intangible assets;</w:t>
      </w:r>
    </w:p>
    <w:p>
      <w:pPr>
        <w:spacing w:after="0" w:line="9" w:lineRule="exact"/>
        <w:rPr>
          <w:rFonts w:ascii="Times New Roman" w:cs="Times New Roman" w:eastAsia="Times New Roman" w:hAnsi="Times New Roman"/>
          <w:sz w:val="18"/>
          <w:szCs w:val="18"/>
          <w:color w:val="auto"/>
        </w:rPr>
      </w:pPr>
    </w:p>
    <w:p>
      <w:pPr>
        <w:ind w:left="320" w:hanging="231"/>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pandemics or other health emergencies on the economy and our business;</w:t>
      </w:r>
    </w:p>
    <w:p>
      <w:pPr>
        <w:spacing w:after="0" w:line="9" w:lineRule="exact"/>
        <w:rPr>
          <w:rFonts w:ascii="Times New Roman" w:cs="Times New Roman" w:eastAsia="Times New Roman" w:hAnsi="Times New Roman"/>
          <w:sz w:val="18"/>
          <w:szCs w:val="18"/>
          <w:color w:val="auto"/>
        </w:rPr>
      </w:pPr>
    </w:p>
    <w:p>
      <w:pPr>
        <w:ind w:left="340" w:right="160" w:hanging="251"/>
        <w:spacing w:after="0" w:line="250"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and indirect impact of events that are outside our control, such as geopolitical conditions (including international war or conflicts), political unrest in international markets, terrorist attacks, natural disasters and other similar events; and</w:t>
      </w:r>
    </w:p>
    <w:p>
      <w:pPr>
        <w:ind w:left="340" w:right="40" w:hanging="251"/>
        <w:spacing w:after="0" w:line="260"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factors described under Item 1A, "Risk Factors" in our 2025 Annual Report on Form 10-K (the "2025 Form 10-K"), as filed with the Securities and Exchange Commission.</w:t>
      </w:r>
    </w:p>
    <w:p>
      <w:pPr>
        <w:spacing w:after="0" w:line="1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disclaim any obligation to update or revise the forward-looking statements contained herein, except as otherwise required by applicable federal securities laws.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or MD&amp;A, is a supplement to and should be read in conjunction with the unaudited condensed consolidated financial statements and notes thereto included elsewhere herein and our 2025 Form 10-K to enhance the understanding of our financial condition, changes in financial condition and results of our operations. Unless the context otherwise requires, all references to "we," "us," "our," "AMC Global Media" or the "Company" refer to AMC Global Media Inc., together with its subsidiaries. The MD&amp;A is organized as follows:</w:t>
      </w:r>
    </w:p>
    <w:p>
      <w:pPr>
        <w:spacing w:after="0" w:line="7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Business Overview. </w:t>
      </w:r>
      <w:r>
        <w:rPr>
          <w:rFonts w:ascii="Times New Roman" w:cs="Times New Roman" w:eastAsia="Times New Roman" w:hAnsi="Times New Roman"/>
          <w:sz w:val="18"/>
          <w:szCs w:val="18"/>
          <w:color w:val="auto"/>
        </w:rPr>
        <w:t>This section provides a general description of our business and our operating segments, as well as other matters that we believe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important in understanding our results of operations and financial condition and in anticipating future trends.</w:t>
      </w:r>
    </w:p>
    <w:p>
      <w:pPr>
        <w:spacing w:after="0" w:line="5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Consolidated Results of Operations. </w:t>
      </w:r>
      <w:r>
        <w:rPr>
          <w:rFonts w:ascii="Times New Roman" w:cs="Times New Roman" w:eastAsia="Times New Roman" w:hAnsi="Times New Roman"/>
          <w:sz w:val="18"/>
          <w:szCs w:val="18"/>
          <w:color w:val="auto"/>
        </w:rPr>
        <w:t>This section provides an analysis of our results of operations for the three months ended March 31,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three months ended March 31, 2025. Our discussion is presented on both a consolidated and segment basis. Our two segments are: (i) Domestic Operations and (ii) International.</w:t>
      </w:r>
    </w:p>
    <w:p>
      <w:pPr>
        <w:spacing w:after="0" w:line="6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Liquidity and Capital Resources. </w:t>
      </w:r>
      <w:r>
        <w:rPr>
          <w:rFonts w:ascii="Times New Roman" w:cs="Times New Roman" w:eastAsia="Times New Roman" w:hAnsi="Times New Roman"/>
          <w:sz w:val="18"/>
          <w:szCs w:val="18"/>
          <w:color w:val="auto"/>
        </w:rPr>
        <w:t>This section provides a discussion of our financial condition as of March 31, 2026, as well as an analysis of our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flows for the three months ended March 31, 2026 and 2025. The discussion of our financial condition and liquidity also includes summaries of (i) our primary sources of liquidity and (ii) our contractual obligations that existed at March 31, 2026 as compared to December 31, 2025.</w:t>
      </w:r>
    </w:p>
    <w:p>
      <w:pPr>
        <w:spacing w:after="0" w:line="65"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Critical Accounting Policies and Estimates</w:t>
      </w:r>
      <w:r>
        <w:rPr>
          <w:rFonts w:ascii="Times New Roman" w:cs="Times New Roman" w:eastAsia="Times New Roman" w:hAnsi="Times New Roman"/>
          <w:sz w:val="18"/>
          <w:szCs w:val="18"/>
          <w:color w:val="auto"/>
        </w:rPr>
        <w:t>. This section provides an update, if any, to our significant accounting policies or critical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estimates since December 31, 2025.</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Highlights</w:t>
      </w:r>
    </w:p>
    <w:p>
      <w:pPr>
        <w:spacing w:after="0" w:line="118" w:lineRule="exact"/>
        <w:rPr>
          <w:sz w:val="20"/>
          <w:szCs w:val="20"/>
          <w:color w:val="auto"/>
        </w:rPr>
      </w:pPr>
    </w:p>
    <w:p>
      <w:pPr>
        <w:jc w:val="both"/>
        <w:ind w:firstLine="405"/>
        <w:spacing w:after="0" w:line="230" w:lineRule="auto"/>
        <w:rPr>
          <w:sz w:val="20"/>
          <w:szCs w:val="20"/>
          <w:color w:val="auto"/>
        </w:rPr>
      </w:pPr>
      <w:r>
        <w:rPr>
          <w:rFonts w:ascii="Times New Roman" w:cs="Times New Roman" w:eastAsia="Times New Roman" w:hAnsi="Times New Roman"/>
          <w:sz w:val="18"/>
          <w:szCs w:val="18"/>
          <w:color w:val="auto"/>
        </w:rPr>
        <w:t>The tables presented below set forth our consolidated revenues, net, operating income and adjusted operating income ("AOI")</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for the periods indicated.</w:t>
      </w:r>
    </w:p>
    <w:p>
      <w:pPr>
        <w:spacing w:after="0" w:line="175"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21590</wp:posOffset>
            </wp:positionV>
            <wp:extent cx="20916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4"/>
        </w:trPr>
        <w:tc>
          <w:tcPr>
            <w:tcW w:w="7940" w:type="dxa"/>
            <w:vAlign w:val="bottom"/>
            <w:tcBorders>
              <w:bottom w:val="single" w:sz="8" w:color="CCEEFF"/>
            </w:tcBorders>
            <w:shd w:val="clear" w:color="auto" w:fill="CCEEFF"/>
          </w:tcPr>
          <w:p>
            <w:pPr>
              <w:ind w:left="20"/>
              <w:spacing w:after="0" w:line="199" w:lineRule="exact"/>
              <w:rPr>
                <w:sz w:val="20"/>
                <w:szCs w:val="20"/>
                <w:color w:val="auto"/>
              </w:rPr>
            </w:pPr>
            <w:r>
              <w:rPr>
                <w:rFonts w:ascii="Times New Roman" w:cs="Times New Roman" w:eastAsia="Times New Roman" w:hAnsi="Times New Roman"/>
                <w:sz w:val="18"/>
                <w:szCs w:val="18"/>
                <w:b w:val="1"/>
                <w:bCs w:val="1"/>
                <w:color w:val="auto"/>
              </w:rPr>
              <w:t>Revenues, net</w:t>
            </w:r>
          </w:p>
        </w:tc>
        <w:tc>
          <w:tcPr>
            <w:tcW w:w="380" w:type="dxa"/>
            <w:vAlign w:val="bottom"/>
            <w:tcBorders>
              <w:bottom w:val="single" w:sz="8" w:color="auto"/>
            </w:tcBorders>
            <w:shd w:val="clear" w:color="auto" w:fill="CCEEFF"/>
          </w:tcPr>
          <w:p>
            <w:pPr>
              <w:jc w:val="right"/>
              <w:ind w:right="170"/>
              <w:spacing w:after="0" w:line="199" w:lineRule="exact"/>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b w:val="1"/>
                <w:bCs w:val="1"/>
                <w:color w:val="auto"/>
              </w:rPr>
              <w:t>542,127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line="199" w:lineRule="exact"/>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b w:val="1"/>
                <w:bCs w:val="1"/>
                <w:color w:val="auto"/>
              </w:rPr>
              <w:t>555,233</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40" w:type="dxa"/>
            <w:vAlign w:val="bottom"/>
            <w:vMerge w:val="continue"/>
          </w:tcPr>
          <w:p>
            <w:pPr>
              <w:spacing w:after="0"/>
              <w:rPr>
                <w:sz w:val="15"/>
                <w:szCs w:val="15"/>
                <w:color w:val="auto"/>
              </w:rPr>
            </w:pPr>
          </w:p>
        </w:tc>
        <w:tc>
          <w:tcPr>
            <w:tcW w:w="380" w:type="dxa"/>
            <w:vAlign w:val="bottom"/>
            <w:tcBorders>
              <w:bottom w:val="single" w:sz="8" w:color="auto"/>
            </w:tcBorders>
          </w:tcPr>
          <w:p>
            <w:pPr>
              <w:jc w:val="right"/>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31,261</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64,197</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Operating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68,974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104,485</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manage our business through the following two operating segments:</w:t>
      </w:r>
    </w:p>
    <w:p>
      <w:pPr>
        <w:spacing w:after="0" w:line="115" w:lineRule="exact"/>
        <w:rPr>
          <w:sz w:val="20"/>
          <w:szCs w:val="20"/>
          <w:color w:val="auto"/>
        </w:rPr>
      </w:pPr>
    </w:p>
    <w:p>
      <w:pPr>
        <w:jc w:val="both"/>
        <w:ind w:left="660" w:hanging="328"/>
        <w:spacing w:after="0" w:line="257" w:lineRule="auto"/>
        <w:tabs>
          <w:tab w:leader="none" w:pos="65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Domestic Operations: </w:t>
      </w:r>
      <w:r>
        <w:rPr>
          <w:rFonts w:ascii="Times New Roman" w:cs="Times New Roman" w:eastAsia="Times New Roman" w:hAnsi="Times New Roman"/>
          <w:sz w:val="18"/>
          <w:szCs w:val="18"/>
          <w:color w:val="auto"/>
        </w:rPr>
        <w:t>Consists of our streaming services, our five programming networks, our AMC Studios operation and our film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Our streaming services consist of AMC+ and our targeted subscription streaming services (Acorn TV, Shudder, Sundance Now, ALLBLK, HIDIVE and All Reality). Our programming networks are AMC, We TV, BBC America, IFC, and SundanceTV. Our AMC Studios operation produces original programming for our programming services and third parties and also licenses programming worldwide. Our film distribution business consists of Independent Film Company. The operating segment also includes AMC Networks Broadcasting &amp; Technology, our technical services business, which primarily services the programming networks.</w:t>
      </w:r>
    </w:p>
    <w:p>
      <w:pPr>
        <w:spacing w:after="0" w:line="74"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55"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International</w:t>
      </w:r>
      <w:r>
        <w:rPr>
          <w:rFonts w:ascii="Times New Roman" w:cs="Times New Roman" w:eastAsia="Times New Roman" w:hAnsi="Times New Roman"/>
          <w:sz w:val="18"/>
          <w:szCs w:val="18"/>
          <w:color w:val="auto"/>
        </w:rPr>
        <w:t>: Consists of AMC Global Media International, our international programming businesses consisting of a portfolio of channels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distributed around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1714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84" w:lineRule="exact"/>
        <w:rPr>
          <w:sz w:val="20"/>
          <w:szCs w:val="20"/>
          <w:color w:val="auto"/>
        </w:rPr>
      </w:pPr>
    </w:p>
    <w:p>
      <w:pPr>
        <w:ind w:right="80" w:firstLine="8"/>
        <w:spacing w:after="0" w:line="205" w:lineRule="auto"/>
        <w:tabs>
          <w:tab w:leader="none" w:pos="103"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Adjusted Operating Income is a non-GAAP financial measure. See the "Non-GAAP Financial Measures" section in this MD&amp;A for additional information, including our definition and our use of this non-GAAP financial measure, and for a reconciliation to its most comparable GAAP financial measure.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6" w:name="page27"/>
    <w:bookmarkEnd w:id="26"/>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Domestic Operations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our Domestic Operations segment, we earn revenue principally from: (i) subscription revenues in connection with the distribution of our programming through our streaming services and programming networks, (ii) the sale of advertising, and (iii) the licensing of our original programming to distributors, including the distribution of programming of Independent Film Company.</w:t>
      </w:r>
    </w:p>
    <w:p>
      <w:pPr>
        <w:spacing w:after="0" w:line="6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Substantially all of our subscription revenues are based on a per subscriber fee. The subscription revenues we earn vary from period to period, distributor to distributor and also vary among our streaming services and programming networks. Subscription revenues are generally based on the impact of renewals of distributor agreements and upon the number of each distributor's subscribers who receive our programming, referred to as viewing subscribers. Subscription fees for our services are generally paid by distributors and consumers on a monthly basis. In negotiating for additional subscribers or extended carriage, we have agreed, in some instances, to make payments to a distributor which we record as deferred carriage fees and which are amortized as a reduction of revenue over the period of the related affiliation agreement. We also may support the distributors' efforts to market our networks. We believe that these transactions generate a positive return on investment over the contract period.</w:t>
      </w:r>
    </w:p>
    <w:p>
      <w:pPr>
        <w:spacing w:after="0" w:line="8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Under affiliation agreements with our distributors, we have the right to sell a specified amount of national advertising time on our programming networks. Our advertising revenues are more variable than subscription revenues because the majority of our advertising is sold on a short-term basis, not under long-term contracts. Our arrangements with advertisers provide for a set number of advertising units to air over a specific period of time at a negotiated price per unit. Additionally, in these advertising sales arrangements, our programming networks generally guarantee specified viewer ratings for their programming. If these guaranteed viewer ratings are not met, we are generally required to provide additional advertising units to the advertiser at no charge. For these types of arrangements, a portion of the related revenue is deferred if the guaranteed ratings are not met and is subsequently recognized either when we provide the required additional advertising units or the guarantee obligation contractually expires. Most of our advertising revenues vary based on the timing of our original programming series and the popularity of our programming as measured by Nielsen. Our domestic programming networks have advertisers representing companies in a broad range of sectors, including the automotive, restaurants/food, health, technology and telecommunications industries. We seek to increase our advertising revenues by increasing the rates we charge for such advertising, which depend in part on the overall distribution and popularity of our programming, including among desirable demographic groups as measured by Nielsen, the penetration of our services across digital platforms, including AVOD and FAST services, and the integration of our advanced advertising products.</w:t>
      </w:r>
    </w:p>
    <w:p>
      <w:pPr>
        <w:spacing w:after="0" w:line="8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Content licensing revenue is earned from the licensing of original programming for digital, foreign and home video distribution and is recognized upon availability or distribution by the licensee, and, to a lesser extent, is earned through the distribution of AMC Studios produced series to third parties. Content licensing revenues vary based on the timing and availability of programming to distributors.</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continue to contract for and produce high-quality, attractive programming and remain disciplined in our marketing spend in our efforts to acquire and retain higher lifetime value subscribers. As competition for programming increases and alternative distribution technologies continue to emerge and develop in the industry, costs for content acquisition and original programming have increased. There is a concentration of subscribers in the hands of a few distributors, which could create disparate bargaining power between the largest distributors and us by giving those distributors greater leverage in negotiating the price and other terms of affiliation agreements. We also seek to increase our content licensing revenues by expanding the opportunities for licensing our programming through digital distribution platforms, foreign distribution and home video services.</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Content expenses, included in technical and operating expenses, represent the largest expenses of the Domestic Operations segment and primarily consist of amortization of program rights, such as those for original programming, feature films and licensed series, as well as participation and residual costs. The other components of technical and operating expenses primarily include distribution and production related costs and program operating costs including cost of delivery, such as origination, transmission, uplink and encryption.</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success of our business depends on original programming, both scripted and unscripted, across all of our programming services. These original series generally result in higher ratings for our networks and higher viewership on our streaming services. Among other things, higher audience ratings drive increased revenues through higher advertising revenues. The timing of exhibition and distribution of original programming varies from period to period, which results in greater variability in our revenues, earnings and cash flows from operating activities. There may be significant changes in the level of our technical and operating expenses due to the level of our content investment spend and the related amortization of content acquisition and/or original programming costs. Program rights that are predominantly monetized as a group are amortized based on projected usage and viewership patterns, typically resulting in an accelerated amortization pattern and, to a lesser extent, program rights that are predominantly monetized individually are amortized based on the individual-film-forecast-computation method.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27" w:name="page28"/>
    <w:bookmarkEnd w:id="27"/>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Most original series require us to make significant up-front investments. Our programming efforts are not always commercially successful, which has in the past resulted and could in the future result in a write-off of program rights. If events or changes in circumstances indicate that the fair value of program rights predominantly monetized individually or as a group is less than their unamortized cost, we will write off the excess to technical and operating expenses in the condensed consolidated statements of income (loss). Program rights with no future programming usefulness are substantively abandoned resulting in the write-off of remaining unamortized cost. There were no material program rights write-offs included in technical and operating expense for the three months ended March 31, 2026 and 2025.</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International</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our International segment, we earn revenue principally from subscription revenue in connection with the international distribution of programming and, to a lesser extent, the sale of advertising from our international programming networks. Subscription revenue consists of the fees paid by distributors to carry our programming networks. Our subscription revenues are generally based on either a per-subscriber fee or a fixed contractual annual fee, under multi-year affiliation agreements. Subscription revenues are derived from the distribution of our programming networks primarily in Europe, and to a lesser extent, Latin America.</w:t>
      </w:r>
    </w:p>
    <w:p>
      <w:pPr>
        <w:spacing w:after="0" w:line="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Content expenses and programming operating costs primarily comprise technical and operating expenses. Content expenses represent the largest expense of the International segment and primarily consist of amortization of acquired content. Program operating costs include costs such as origination, transmission, uplink and encryption of our linear international channels as well as content hosting and delivery costs at our various on-line content distribution initiatives. Other components of technical and operating expense include costs of dubbing and sub-titling of programs. Our programming efforts are not all commercially successful, which has in the past resulted and could in the future result in a write-off of program rights. If events or changes in circumstances indicate that the fair value of program rights predominantly monetized individually or a group is less than its unamortized cost, we will write off the excess to technical and operating expenses in the condensed consolidated statements of income (loss). Program rights with no future programming usefulness are substantively abandoned, resulting in the write-off of remaining unamortized cost. There were no material programming write-offs included in technical and operating expense for the three months ended March 31, 2026 and 2025. For the three months ended March 31, 2025, $3.5 million of program write-offs were recorded to restructuring and other related charges, primarily related to the wind-down of a joint venture held by our U.K. business with operations in EMEA.</w:t>
      </w:r>
    </w:p>
    <w:p>
      <w:pPr>
        <w:spacing w:after="0" w:line="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Similar to our Domestic Operations businesses, the most significant business challenges we expect to encounter in our International business include programming competition (from both foreign and domestic programmers), limited channel capacity on distributors' platforms, the number of subscribers on those platforms and economic pressures on subscription fees. Other significant business challenges unique to our international operations include increased programming costs for international rights and translation (i.e., dubbing and subtitling), a lack of availability of international rights for a portion of our domestic programming content, increased distribution costs for cable, satellite or fiber feeds, a limited physical presence in certain territories, and our exposure to foreign currency exchange rate risk. See also the risk factors described under Item 1A, "Risk Factors - We face risks from doing business internationally." in the 2025 Form 10-K.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Economic Conditions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future performance is dependent, to a large extent, on general economic conditions, which can impact, among other things, our ability to manage our businesses effectively and our relative strength and leverage in the marketplace, with both suppliers and customers. Additionally, macroeconomic and geopolitical risks, particularly high inflation and interest rates, as well as potential or implemented tariffs and changes to the U.S. and other countries' trade policies, the direct and indirect impacts of international war or conflicts, and uncertainty regarding further changes to any of the foregoing, may adversely impact our results of operations, cash flows and financial position or our ability to refinance our indebtedness on terms favorable to us, or at all.</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Capital and credit market disruptions, as well as other events such as pandemics or other health emergencies, inflation, tariffs and changes to the U.S. and other countries' trade policies, international conflict and recession, have in the past caused and could in the future cause market volatility and economic downturns, which have led and may lead to lower demand for our products, such as lower demand for television advertising and a decrease in the number of subscribers receiving our programming services. Events such as these have in the past adversely impacted, and may in the future adversely impact, our results of operations, cash flows and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3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amounts presented and discussed below represent 100% of each operating segment's revenues, net and expenses. Where we have management control of an entity, we consolidate 100% of such entity in our condensed consolidated statements of income (loss) notwithstanding that a third-party owns an interest, which may be significant, in such entity. The noncontrolling owner's interest in the operating results of consolidated subsidiaries are reflected in net income attributable to noncontrolling interests in our condensed consolidated statements of income (loss).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and Three Months Ended March 31, 2026 and 2025</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our consolidated results of operations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6"/>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351,644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Advertising</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54,264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55,302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revenues, net</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542,127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Technical and operating (excluding depreciation and amortization)</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29"/>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510,866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31,261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64,197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Miscellaneous, net</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(55,163)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 before income taxes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including noncontrolling interests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AMC Global Media's stockholders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n/m - Absolute percentages greater than 100% and comparisons between positive and negative values or zero values are considered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Revenues, net</w:t>
      </w:r>
    </w:p>
    <w:p>
      <w:pPr>
        <w:spacing w:after="0" w:line="104"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Subscription revenues decreased 2.6% in our Domestic Operations segment primarily due to a decline in affiliate revenues from basic subscriber declines, partially offset by an increase in streaming revenues primarily due to the impact of price increases across our services. Subscription revenues increased 3.7% in our International segment primarily due to the favorable impact of foreign currency translation, partially offset by lower revenues primarily from the wind-down of a joint venture held by our U.K. business with operations in EMEA. We expect linear subscriber declines to continue in our Domestic Operations segment, consistent with the declines across the cable ecosystem.</w:t>
      </w:r>
    </w:p>
    <w:p>
      <w:pPr>
        <w:spacing w:after="0" w:line="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Advertising revenues decreased 5.4% in our Domestic Operations segment primarily due to lower marketplace pricing, partially offset by digital advertising growth. Advertising revenues increased 3.4% in our International segment primarily due to the favorable impact of foreign currency translation, partially offset by lower ratings primarily in the U.K. We generally expect advertising revenue to continue to decline as the advertising market gravitates toward other distribution platforms.</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Content licensing and other revenues decreased 2.1% in our Domestic Operations segment primarily due to the timing and availability of deliveries in the period. We expect content licensing revenues to vary in 2026 based on the timing and availability of our programming to distributors.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auto"/>
        </w:rPr>
        <w:t>Technical and operating expenses (excluding depreciation and amortization)</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Technical and operating expenses primarily consist of content expenses, which include the amortization of program rights, such as those for original programming, feature films and licensed series, and participation and residual costs. Technical and operating expenses also include other direct programming costs, such as distribution and production related costs and program delivery costs, such as transmission, encryption, hosting, and formatting.</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may be significant changes in the level of our technical and operating expenses due to original programming costs and/or content acquisition costs. As competition for programming increases, costs for content acquisition and original programming are expected to increase.</w:t>
      </w:r>
    </w:p>
    <w:p>
      <w:pPr>
        <w:spacing w:after="0" w:line="40"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 xml:space="preserve">Technical and operating expenses (excluding depreciation and amortization) increased 6.2% in our Domestic Operations segment primarily due to higher program rights amortization, including increases for </w:t>
      </w:r>
      <w:r>
        <w:rPr>
          <w:rFonts w:ascii="Times New Roman" w:cs="Times New Roman" w:eastAsia="Times New Roman" w:hAnsi="Times New Roman"/>
          <w:sz w:val="18"/>
          <w:szCs w:val="18"/>
          <w:i w:val="1"/>
          <w:iCs w:val="1"/>
          <w:color w:val="auto"/>
        </w:rPr>
        <w:t>The Walking Dead Universe</w:t>
      </w:r>
      <w:r>
        <w:rPr>
          <w:rFonts w:ascii="Times New Roman" w:cs="Times New Roman" w:eastAsia="Times New Roman" w:hAnsi="Times New Roman"/>
          <w:sz w:val="18"/>
          <w:szCs w:val="18"/>
          <w:color w:val="auto"/>
        </w:rPr>
        <w:t xml:space="preserve"> portfolio of shows as well as higher other direct programming costs. Technical and operating expenses (excluding depreciation and amortization) increased 7.8% in our International segment due to higher program rights amortization, driven by the unfavorable impact of foreign currency translation, partially offset by lower other direct programming costs.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 expenses</w:t>
      </w:r>
    </w:p>
    <w:p>
      <w:pPr>
        <w:spacing w:after="0" w:line="11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for our operating segments primarily consist of sales, marketing, research and advertising expenses, employee related costs (excluding share-based compensation), costs of non-production facilities, and an allocation of certain corporate overhead costs. Selling, general and administrative expenses on a consolidated basis also include share-based compensation and executive management and administrative support services not allocated to our operating segments, such as executive salaries and benefits costs, costs of maintaining our corporate headquarters, facilities and common support functions.</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have been and may continue to be significant changes in the level of our selling, general and administrative expenses due to the timing of promotions and marketing of original programming series.</w:t>
      </w:r>
    </w:p>
    <w:p>
      <w:pPr>
        <w:spacing w:after="0" w:line="40"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Selling, general and administrative expenses decreased 0.3% in our Domestic Operations segment primarily due to lower marketing expenses associated with lower media spend, partially offset by an increase in legal fees in the first quarter of 2026. Selling, general and administrative expenses increased 16.0% in our International segment primarily due to the unfavorable impact of foreign currency translation.</w:t>
      </w:r>
    </w:p>
    <w:p>
      <w:pPr>
        <w:spacing w:after="0" w:line="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Unallocated corporate overhead costs increased 3.2% to $30.2 million primarily due to higher employee related costs, including higher bonus expenses.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Restructuring and other related charges</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Restructuring and other related charges were $4.3 million for the three months ended March 31, 2026, with $2.6 million related to the Company's voluntary buyout program for U.S. employees, which was announced in October 2025, and $1.7 million associated with the Company's ongoing restructuring plan in its International segment ("International Plan"), which for the quarter consisted primarily of office closures in Latin America.</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Restructuring and other related charges were $4.8 million for the three months ended March 31, 2025, primarily related to the planned wind-down of a joint venture held by our U.K. business with operations in EMEA as part of its International segment, as well as the commencement of the International Plan in Southern Europe.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income</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decrease in operating income was primarily attributable to a $13.1 million decrease in revenues, net, a $15.8 million increase in technical and operating expenses and $4.0 million increase in selling, general and administrative costs.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w:t>
      </w:r>
    </w:p>
    <w:p>
      <w:pPr>
        <w:spacing w:after="0" w:line="104"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The decrease in interest expense was primarily due to the impact of lower outstanding balances under our Term Loan A facility under our credit agreement (the “Term Loan A Facility”) and 4.25% Senior Notes due 2029 (the “Senior Notes”), partially offset by an increase in average interest rates associated with the July 2025 issuance of our 10.50% Senior Secured Notes due 2032, (the “2032 Notes”) and the March 2026 issuance of additional 2032 Notes relating to the private exchange offer (the “Exchange Offer”) with respect to our outstanding 10.25% Senior Secured Notes due 2029 (the “2029 Notes”).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auto"/>
        </w:rPr>
        <w:t>Interest income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decrease in interest income was primarily attributable to lower average cash balances and lower interest rates for our money market fund accounts.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Miscellaneous, net</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decrease in miscellaneous, net was primarily related to third-party fees specifically attributable to the Exchange Offer of $16.7 million and the impact of foreign currency fluctuations.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 expense</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general, we are required to use an estimated annual effective rate to measure the tax benefit or tax expense recognized in an interim period. The estimated annual effective rate is revised on a quarterly basis.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income tax benefit was $6.7 million, representing an effective rate of 28%, as compared to the federal statutory rate of 21%. The effective rate differed from the federal statutory rate primarily due to state and local income tax expense and tax expense related to non-deductible compensation, partially offset by tax benefit related to foreign-derived deduction eligible income.</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income tax expense was $15.0 million, representing an effective rate of 40%, as compared to the federal statutory rate of 21%. The effective rate differed from the federal statutory rate primarily due to state and local income tax expense, tax expense related to non-deductible compensation, tax expense for shortfalls related to share-based compensation and tax expense for an increase in the valuation allowance for foreign tax credits and losses.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Segment Results of Operations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segment operating results are presented based on how we assess operating performance and internally report financial information. We use segment adjusted operating income as the measure of profit or loss for our operating segments. See the "Non-GAAP Financial Measures" section below for our definition of Adjusted Operating Income and a reconciliation from Operating Income to Adjusted Operating Income on a consolidated basis. The segment financial information set forth below, including the discussion related to the individual line items, does not reflect inter-segment eliminations unless specifically indicated.</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Domestic Operations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Domestic Operations segment results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6"/>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305,282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Advertising</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52,558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53,686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ind w:right="92"/>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revenues,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Technical and operating expenses (excluding depreciation and amortization)</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 expenses</w:t>
            </w:r>
            <w:r>
              <w:rPr>
                <w:rFonts w:ascii="Times New Roman" w:cs="Times New Roman" w:eastAsia="Times New Roman" w:hAnsi="Times New Roman"/>
                <w:sz w:val="23"/>
                <w:szCs w:val="23"/>
                <w:color w:val="auto"/>
                <w:vertAlign w:val="superscript"/>
              </w:rPr>
              <w:t>(b)</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Majority-owned equity investees AOI</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ind w:right="92"/>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adjusted operating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92,261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123,924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bl>
    <w:p>
      <w:pPr>
        <w:ind w:left="700" w:hanging="188"/>
        <w:spacing w:after="0"/>
        <w:tabs>
          <w:tab w:leader="none" w:pos="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Technical and operating expenses exclude cloud computing amortization</w:t>
      </w:r>
    </w:p>
    <w:p>
      <w:pPr>
        <w:spacing w:after="0" w:line="32" w:lineRule="exact"/>
        <w:rPr>
          <w:rFonts w:ascii="Times New Roman" w:cs="Times New Roman" w:eastAsia="Times New Roman" w:hAnsi="Times New Roman"/>
          <w:sz w:val="14"/>
          <w:szCs w:val="14"/>
          <w:color w:val="auto"/>
        </w:rPr>
      </w:pPr>
    </w:p>
    <w:p>
      <w:pPr>
        <w:ind w:left="720" w:hanging="208"/>
        <w:spacing w:after="0"/>
        <w:tabs>
          <w:tab w:leader="none" w:pos="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Selling, general and administrative expenses exclude share-based compensation expenses and cloud computing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-215900</wp:posOffset>
            </wp:positionV>
            <wp:extent cx="15430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Revenues, net</w:t>
      </w:r>
    </w:p>
    <w:p>
      <w:pPr>
        <w:spacing w:after="0" w:line="10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Subscription revenues decreased primarily due to a 15.9% decline in affiliate revenues, partially offset by a 10.7% increase in streaming revenues. Affiliate revenues decreased primarily due to basic subscriber declines, while streaming revenues increased primarily due to the impact of price increases across our services. Revenues related to the Company's streaming services were $173.8 million and $157.1 million for the three months ended March 31, 2026 and 2025, respectively. Streaming subscribers were 10.1 million at March 31, 2026 and 10.2 million at March 31, 2025.</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Advertising revenues decreased primarily due to lower marketplace pricing, partially offset by digital advertising growth.</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Content licensing and other revenues decreased primarily due to the timing and availability of deliveries in the period.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Technical and operating expenses (excluding depreciation and amortization)</w:t>
      </w:r>
    </w:p>
    <w:p>
      <w:pPr>
        <w:spacing w:after="0" w:line="11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Technical and operating expenses (excluding depreciation and amortization) increased primarily due to higher program rights amortization, including increases for </w:t>
      </w:r>
      <w:r>
        <w:rPr>
          <w:rFonts w:ascii="Times New Roman" w:cs="Times New Roman" w:eastAsia="Times New Roman" w:hAnsi="Times New Roman"/>
          <w:sz w:val="18"/>
          <w:szCs w:val="18"/>
          <w:i w:val="1"/>
          <w:iCs w:val="1"/>
          <w:color w:val="auto"/>
        </w:rPr>
        <w:t>The Walking Dead Universe</w:t>
      </w:r>
      <w:r>
        <w:rPr>
          <w:rFonts w:ascii="Times New Roman" w:cs="Times New Roman" w:eastAsia="Times New Roman" w:hAnsi="Times New Roman"/>
          <w:sz w:val="18"/>
          <w:szCs w:val="18"/>
          <w:color w:val="auto"/>
        </w:rPr>
        <w:t xml:space="preserve"> portfolio of shows as well as higher other direct programming costs.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 expenses</w:t>
      </w:r>
    </w:p>
    <w:p>
      <w:pPr>
        <w:spacing w:after="0" w:line="11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decreased primarily due to lower marketing expenses associated with lower media spend, partially offset by an increase in legal fees in the first quarter of 2026.</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Segment adjusted operating income</w:t>
      </w:r>
    </w:p>
    <w:p>
      <w:pPr>
        <w:spacing w:after="0" w:line="11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decrease in segment adjusted operating income was primarily attributable to the continued revenue declines in our linear businesses and an increase in technical and operating expenses (excluding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International</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International segment results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6"/>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Advertising</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ind w:right="92"/>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revenues,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Technical and operating expenses (excluding depreciation and amortization)</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 expenses</w:t>
            </w:r>
            <w:r>
              <w:rPr>
                <w:rFonts w:ascii="Times New Roman" w:cs="Times New Roman" w:eastAsia="Times New Roman" w:hAnsi="Times New Roman"/>
                <w:sz w:val="23"/>
                <w:szCs w:val="23"/>
                <w:color w:val="auto"/>
                <w:vertAlign w:val="superscript"/>
              </w:rPr>
              <w:t>(a)</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3"/>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Segment adjusted operating income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6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 Selling, general and administrative expenses exclude share-based compensation expenses</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Revenues, net</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Subscription revenues increased 3.7% primarily due to the favorable impact of foreign currency translation. Excluding the impact of foreign currency translation, subscription revenues decreased 5.3% primarily from the wind-down of a joint venture held by our U.K. business with operations in EMEA.</w:t>
      </w:r>
    </w:p>
    <w:p>
      <w:pPr>
        <w:spacing w:after="0" w:line="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Advertising revenues increased 3.4% primarily due to the favorable impact of foreign currency translation. Excluding the impact of foreign currency translation, advertising revenues decreased 4.6% primarily from lower ratings mainly in the U.K.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Technical and operating expenses (excluding depreciation and amortization)</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Technical and operating expenses (excluding depreciation and amortization) increased 7.8% due to higher program rights amortization driven by the unfavorable impact of foreign currency translation. Excluding the impact of foreign currency translation, technical and operating expenses (excluding depreciation and amortization) decreased 2.1% primarily due to lower other direct programming costs.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 expenses</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increased 16.0% primarily due to the unfavorable impact of foreign currency translation. Excluding the impact of foreign currency translation, selling, general and administrative expenses increased 5.3%.</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Segment adjusted operating income</w:t>
      </w:r>
    </w:p>
    <w:p>
      <w:pPr>
        <w:spacing w:after="0" w:line="11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Segment adjusted operating income decreased 44.8% primarily due to lower subscription and advertising revenues, excluding the impact of foreign currency translation.</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operations typically generate positive net cash flow from operating activities. However, each of our programming businesses has substantial programming acquisition and production expenditure requirements.</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March 31, 2026, our cash and cash equivalents balance of $552.1 million included approximately $126.5 million held by foreign subsidiaries. Of this amount, approximately $7.3 million is expected to be repatriated to the United States with the remaining amount continuing to be reinvested in foreign operations. Tax expense related to the expected repatriation amount has been accrued in prior periods and we do not expect to incur any significant, additional taxes related to the remaining balance.</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primary source of cash is cash flow from operations. Sources of cash also may include, subject to market conditions, access to capital and credit markets. On May 6, 2026, we notified JPMorgan Chase Bank N.A., pursuant to the Credit Agreement, that we would repay the $80.0 million remaining balance under the Term Loan A Facility and terminate the Revolving Credit Facility on May 12, 2026. As a public company, we may have access to capital and credit markets, although adverse conditions in the financial markets have in the past impacted, and are expected in the future to impact, access to those markets.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that a combination of cash-on-hand, cash generated from operating activities, availability under our accounts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3" w:name="page34"/>
    <w:bookmarkEnd w:id="33"/>
    <w:p>
      <w:pPr>
        <w:jc w:val="both"/>
        <w:spacing w:after="0" w:line="258" w:lineRule="auto"/>
        <w:rPr>
          <w:sz w:val="20"/>
          <w:szCs w:val="20"/>
          <w:color w:val="auto"/>
        </w:rPr>
      </w:pPr>
      <w:r>
        <w:rPr>
          <w:rFonts w:ascii="Times New Roman" w:cs="Times New Roman" w:eastAsia="Times New Roman" w:hAnsi="Times New Roman"/>
          <w:sz w:val="18"/>
          <w:szCs w:val="18"/>
          <w:color w:val="auto"/>
        </w:rPr>
        <w:t>receivable monetization program and proceeds from the issuance of new debt will provide sufficient liquidity to service the principal and interest payments on our indebtedness, along with our other funding and investment requirements over the next twelve months and over the longer term. However, we do not expect to generate sufficient cash from operations to, combined with cash-on-hand, repay the entirety of the outstanding balances of our debt at the applicable maturity dates. As a result, we will be dependent upon our ability to access the capital and credit markets in order to repay, refinance, repurchase through privately negotiated transactions, open market repurchases, tender offers or otherwise, or redeem the outstanding balances of our indebtedness.</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February 23, 2026, we received requisite consents from holders of our 2032 Notes related to the effectiveness of amendments to the indenture governing the 2032 Notes to (1) amend the covenant that limits restricted payments in order to permit buybacks, purchases, redemptions, retirements or other acquisitions of AMC Global Media's equity interests in an aggregate amount not to exceed $50.0 million; (2) revise the covenant that limits transfers or licenses of certain trademarks to unrestricted subsidiaries to only permit transfers of non-exclusive licenses; and (3) restrict investments in unrestricted subsidiaries made pursuant to the definition of “Permitted Investments” to certain specified clauses in such definition.</w:t>
      </w:r>
    </w:p>
    <w:p>
      <w:pPr>
        <w:spacing w:after="0" w:line="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Additionally, on February 23, 2026, we commenced the Exchange Offer and related consent solicitation (the “Consent Solicitation”) with respect to our outstanding 2029 Notes. Pursuant to the Exchange Offer, we offered to issue additional 2032 Notes in exchange for any and all of the $875 million aggregate principal amount of 2029 Notes held by eligible holders. In addition, pursuant to the Consent Solicitation, we solicited consents from eligible holders to amend certain of the covenants in the indenture governing the 2029 Notes. For 2029 Notes tendered and not validly withdrawn before 5:00 p.m., New York City time, on March 6, 2026 (the "Early Tender Time"), eligible holders received the “Total Consideration” of $1,065 in aggregate principal amount of 2032 Notes (including an early tender premium of $50 in principal amount of 2032 Notes) for each $1,000 principal amount of 2029 Notes validly tendered and accepted for exchange by the Company. For 2029 Notes tendered after the Early Tender Time and on or before 5:00 p.m., New York City time, on March 23, 2026 (the “Expiration Time”), eligible holders received the “Exchange Consideration” of $1,015 in aggregate principal amount of 2032 Notes for each $1,000 principal amount of 2029 Notes validly tendered and accepted for exchange by the Company. The Total Consideration and Exchange Consideration, as applicable, were reduced by an amount equal to the result of (x) the aggregate amount of accrued and unpaid interest due on the 2032 Notes issued to eligible holders from and including the last interest payment date for the original 2032 Notes to but not including the applicable settlement date less (y) the aggregate amount of accrued and unpaid interest due on the 2029 Notes validly tendered and accepted by the Company from and including the last interest payment date for such 2029 Notes to but not including the applicable settlement date.</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13, 2026, we completed the early settlement of the Exchange Offer. As of the Early Tender Time, approximately $830.6 million in aggregate principal amount of outstanding 2029 Notes had been validly tendered and not validly withdrawn. In connection with early settlement of the Exchange Offer, we issued approximately $884 million in aggregate principal amount of the 2032 Notes.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25, 2026, we completed the final settlement of the Exchange Offer. As of the Expiration Time, an additional approximately $30.7 million in aggregate principal amount of 2029 Notes was validly tendered in the Exchange Offer. In connection with the final settlement of the Exchange Offer, we issued approximately $31.1 million in aggregate principal amount of 2032 Notes. All 2029 Notes exchanged were cancelled. Following such cancellation, approximately $13.7 million in aggregate principal amount of 2029 Notes remained outstanding as of March 31, 2026.</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April 6, 2026, we redeemed of all of our remaining outstanding 2029 Notes, totaling approximately $13.7 million in aggregate principal amount. The 2029 Notes were redeemed at a redemption price equal to 105.125% of the principal amount thereof, plus accrued and unpaid interest to, but excluding, the redemption date.</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currently evaluating our liquidity profile in connection with our consideration of our funding and investment needs. Depending on market conditions, we may purchase, redeem, prepay, refinance, amend, exchange, extend or otherwise retire any amount of our outstanding indebtedness at any time and from time to time, in open market or privately negotiated transactions with the holders of such indebtedness or otherwise. We may decide not to proceed with any such transactions in light of market conditions or other relevant factors and, if we do proceed, the terms of any such transaction would be subject to market and other conditions.</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Credit Agreement generally requires us and our restricted subsidiaries on a consolidated basis to comply with a maximum total net leverage ratio of 5.75:1.00 from April 9, 2024 through March 31, 2026, after which the maximum total net leverage ratio changed to 5.50:1.00. As of March 31, 2026, the total net leverage ratio was approximately 5.11:1.00. In addition, the Credit Agreement requires a minimum interest coverage ratio for us and our restricted subsidiaries on a consolidated basis, of 1.50:1.00, with a step-up to 1.75:1.00 for fiscal quarters ending on or after December 31, 2028. As of March 31, 2026, the interest coverage ratio was approximately 1.85:1.00. All borrowings under the Credit Agreement are subject to the satisfaction of customary conditions, including the absence of a default and accuracy of representations and warranties.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4" w:name="page35"/>
    <w:bookmarkEnd w:id="34"/>
    <w:p>
      <w:pPr>
        <w:ind w:left="340"/>
        <w:spacing w:after="0"/>
        <w:rPr>
          <w:sz w:val="20"/>
          <w:szCs w:val="20"/>
          <w:color w:val="auto"/>
        </w:rPr>
      </w:pPr>
      <w:r>
        <w:rPr>
          <w:rFonts w:ascii="Times New Roman" w:cs="Times New Roman" w:eastAsia="Times New Roman" w:hAnsi="Times New Roman"/>
          <w:sz w:val="18"/>
          <w:szCs w:val="18"/>
          <w:color w:val="auto"/>
        </w:rPr>
        <w:t>We were in compliance with all of our debt covenants as of March 31, 2026.</w:t>
      </w:r>
    </w:p>
    <w:p>
      <w:pPr>
        <w:spacing w:after="0" w:line="11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Failure to raise significant amounts of funding to repay our outstanding debt obligations at their respective maturity dates would adversely affect our business. In such a circumstance, we would need to take other actions including selling assets, seeking strategic investments from third parties or reducing other discretionary uses of cash. For information relating to our outstanding debt obligations, refer to Item 7, "Management's Discussion and Analysis of Financial Condition and Results of Operations - Debt Financing Agreements" of our 2025 Form 10-K. In addition, economic or market disruptions could lead to lower demand for our services, such as loss of subscribers and lower levels of advertising. These events would adversely impact our results of operations, cash flows and financial position.</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has authorized a program to repurchase up to $1.5 billion of our outstanding Class A Common Shares (the "Stock Repurchase Program"). The Stock Repurchase Program has no pre-established termination date and may be suspended or discontinued at any time. During the first quarter of 2026, the Company did not repurchase any shares of its Class A Common Stock. As of March 31, 2026, the Company had $117.4 million of authorization remaining for repurchase under the Stock Repurchase Program.</w:t>
      </w:r>
    </w:p>
    <w:p>
      <w:pPr>
        <w:spacing w:after="0" w:line="5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8, 2026, we entered into an accelerated share repurchase agreement (the “ASR Agreement”) with Citibank, N.A. to repurchase $30.0 million of our outstanding Class A Common Stock. See Part II, Item 5, Other Information, for additional information regarding the ASR Agreement.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Cash Flow Discussion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is a summary of cash flows provided by (used in) operating, investing and financing activities for the periods indicated:</w:t>
      </w:r>
    </w:p>
    <w:p>
      <w:pPr>
        <w:spacing w:after="0" w:line="201"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21590</wp:posOffset>
            </wp:positionV>
            <wp:extent cx="22974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108,805</w:t>
            </w: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(14,620)</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(12,966)</w:t>
            </w:r>
          </w:p>
        </w:tc>
      </w:tr>
      <w:tr>
        <w:trPr>
          <w:trHeight w:val="223"/>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 from operations</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52,995</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81,219</w:t>
            </w:r>
          </w:p>
        </w:tc>
      </w:tr>
      <w:tr>
        <w:trPr>
          <w:trHeight w:val="21"/>
        </w:trPr>
        <w:tc>
          <w:tcPr>
            <w:tcW w:w="7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for the three months ended March 31, 2026 and 2025 amounted to $67.5 million and $108.8 million, respectively.</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net cash provided by operating activities primarily resulted from $230.9 million of net income before amortization of program rights, depreciation and amortization, and other non-cash items, partially offset by payments for program rights of $167.7 million. Changes in all other assets and liabilities resulted in a net cash inflow of $4.3 million.</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net cash provided by operating activities primarily resulted from $241.1 million of net income before amortization of program rights, depreciation and amortization, and other non-cash items, partially offset by payments for program rights of $169.6 million. Changes in all other assets and liabilities resulted in a net cash inflow of $37.3 million.</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2026 and 2025 amounted to $2.7 million and $14.6 million, respectively, and consisted of capital expenditures.</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2026 and 2025 amounted to $11.8 million and $13.0 million, respectively.</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net cash used in financing activities primarily related to taxes paid in lieu of shares issued for equity-based compensation of $6.6 million, principal payments on the Term Loan A Facility of $2.8 million, and payments for financing costs associated with the consent solicitation to amend the indenture governing our 2032 Notes of $2.0 million.</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net cash used in financing activities primarily related to principal payments on the Term Loan A Facility of $8.1 million and taxes paid in lieu of shares issued for equity-based compensation of $3.7 million.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5" w:name="page36"/>
    <w:bookmarkEnd w:id="35"/>
    <w:p>
      <w:pPr>
        <w:ind w:left="34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2026, our contractual obligations not reflected on the condensed consolidated balance sheets decreased $25.6 million, as compared to December 31, 2025, to $473.4 million. The decrease was primarily related to payments for program rights and third-party service contracts, partially offset by additional program rights commitments.</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Supplemental Guarantor Financial Information</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terms and conditions of the guarantees with respect to the notes outstanding as of March 31, 2026 for which AMC Global Media is the issuer.</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Note Guarantees</w:t>
      </w:r>
    </w:p>
    <w:p>
      <w:pPr>
        <w:spacing w:after="0" w:line="11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Debt of AMC Global Media as of March 31, 2026 included $13.7 million of 10.25% Senior Secured Notes due 2029, $276.7 million of 4.25% Senior Notes due 2029, $143.8 million of 4.25% Convertible Senior Notes due 2029, and $1,315.1 million of 10.50% Senior Secured Notes due 2032 (collectively, the “notes”). The notes were issued by AMC Global Media and are unconditionally guaranteed, jointly and severally, on an unsecured basis, by each of AMC Global Media's existing and future domestic restricted subsidiaries, subject to certain exceptions (each, a “Guarantor Subsidiary,” and collectively, the “Guarantor Subsidiaries”). The obligations of each Guarantor Subsidiary under its note guarantee are limited as necessary to prevent such note guarantee from constituting a fraudulent conveyance under applicable law. A guarantee of the notes by a Guarantor Subsidiary is subject to release in the following circumstances: (i) any sale or other disposition of all of the capital stock of a Guarantor Subsidiary to a person that is not (either before or after giving effect to such transaction) a restricted subsidiary, in compliance with the terms of the applicable indenture; (ii) the designation of a restricted subsidiary as an “Unrestricted Subsidiary” under the applicable indenture; or (iii) the release or discharge of the guarantee (including the guarantee under the AMC Global Media credit agreement) which resulted in the creation of the note guarantee (provided that such Guarantor Subsidiary does not have any preferred stock outstanding at such time that is not held by AMC Global Media or another Guarantor Subsidiary).</w:t>
      </w:r>
    </w:p>
    <w:p>
      <w:pPr>
        <w:spacing w:after="0" w:line="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Foreign subsidiaries of AMC Global Media do not and will not guarantee the notes.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6" w:name="page37"/>
    <w:bookmarkEnd w:id="36"/>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summarized financial information specified in Rule 1-02(bb)(1) of Regulation S-X for AMC Global Media and each Guarantor Subsidiary. The summarized financial information has been prepared in accordance with Rule 13-01 of Regulation S-X.</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Summarized Financial Information</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Income Statement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gridSpan w:val="6"/>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100" w:type="dxa"/>
            <w:vAlign w:val="bottom"/>
            <w:gridSpan w:val="2"/>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4"/>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0" w:type="dxa"/>
            <w:vAlign w:val="bottom"/>
          </w:tcPr>
          <w:p>
            <w:pPr>
              <w:spacing w:after="0"/>
              <w:rPr>
                <w:sz w:val="1"/>
                <w:szCs w:val="1"/>
                <w:color w:val="auto"/>
              </w:rPr>
            </w:pPr>
          </w:p>
        </w:tc>
      </w:tr>
      <w:tr>
        <w:trPr>
          <w:trHeight w:val="398"/>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Parent Company</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Guarantor Subsidiaries</w:t>
            </w:r>
          </w:p>
        </w:tc>
        <w:tc>
          <w:tcPr>
            <w:tcW w:w="240" w:type="dxa"/>
            <w:vAlign w:val="bottom"/>
          </w:tcPr>
          <w:p>
            <w:pPr>
              <w:spacing w:after="0"/>
              <w:rPr>
                <w:sz w:val="24"/>
                <w:szCs w:val="24"/>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Parent Company</w:t>
            </w:r>
          </w:p>
        </w:tc>
        <w:tc>
          <w:tcPr>
            <w:tcW w:w="140" w:type="dxa"/>
            <w:vAlign w:val="bottom"/>
          </w:tcPr>
          <w:p>
            <w:pPr>
              <w:spacing w:after="0"/>
              <w:rPr>
                <w:sz w:val="24"/>
                <w:szCs w:val="24"/>
                <w:color w:val="auto"/>
              </w:rPr>
            </w:pPr>
          </w:p>
        </w:tc>
        <w:tc>
          <w:tcPr>
            <w:tcW w:w="1800" w:type="dxa"/>
            <w:vAlign w:val="bottom"/>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Guarantor Subsidiaries</w:t>
            </w:r>
          </w:p>
        </w:tc>
        <w:tc>
          <w:tcPr>
            <w:tcW w:w="0" w:type="dxa"/>
            <w:vAlign w:val="bottom"/>
          </w:tcPr>
          <w:p>
            <w:pPr>
              <w:spacing w:after="0"/>
              <w:rPr>
                <w:sz w:val="1"/>
                <w:szCs w:val="1"/>
                <w:color w:val="auto"/>
              </w:rPr>
            </w:pPr>
          </w:p>
        </w:tc>
      </w:tr>
      <w:tr>
        <w:trPr>
          <w:trHeight w:val="226"/>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gridSpan w:val="2"/>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414,279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426,760</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gridSpan w:val="3"/>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381,607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363,273</w:t>
            </w: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gridSpan w:val="2"/>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32,672</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63,487</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(27,609)</w:t>
            </w:r>
          </w:p>
        </w:tc>
        <w:tc>
          <w:tcPr>
            <w:tcW w:w="100" w:type="dxa"/>
            <w:vAlign w:val="bottom"/>
          </w:tcPr>
          <w:p>
            <w:pPr>
              <w:spacing w:after="0"/>
              <w:rPr>
                <w:sz w:val="17"/>
                <w:szCs w:val="17"/>
                <w:color w:val="auto"/>
              </w:rPr>
            </w:pPr>
          </w:p>
        </w:tc>
        <w:tc>
          <w:tcPr>
            <w:tcW w:w="140" w:type="dxa"/>
            <w:vAlign w:val="bottom"/>
            <w:gridSpan w:val="2"/>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14,781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29,845</w:t>
            </w:r>
          </w:p>
        </w:tc>
        <w:tc>
          <w:tcPr>
            <w:tcW w:w="8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74,732</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(18,870)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73,061</w:t>
            </w:r>
          </w:p>
        </w:tc>
        <w:tc>
          <w:tcPr>
            <w:tcW w:w="0" w:type="dxa"/>
            <w:vAlign w:val="bottom"/>
          </w:tcPr>
          <w:p>
            <w:pPr>
              <w:spacing w:after="0"/>
              <w:rPr>
                <w:sz w:val="1"/>
                <w:szCs w:val="1"/>
                <w:color w:val="auto"/>
              </w:rPr>
            </w:pPr>
          </w:p>
        </w:tc>
      </w:tr>
      <w:tr>
        <w:trPr>
          <w:trHeight w:val="81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60" w:type="dxa"/>
            <w:vAlign w:val="bottom"/>
            <w:gridSpan w:val="8"/>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March 31, 2026</w:t>
            </w:r>
          </w:p>
        </w:tc>
        <w:tc>
          <w:tcPr>
            <w:tcW w:w="240" w:type="dxa"/>
            <w:vAlign w:val="bottom"/>
          </w:tcPr>
          <w:p>
            <w:pPr>
              <w:spacing w:after="0"/>
              <w:rPr>
                <w:sz w:val="24"/>
                <w:szCs w:val="24"/>
                <w:color w:val="auto"/>
              </w:rPr>
            </w:pPr>
          </w:p>
        </w:tc>
        <w:tc>
          <w:tcPr>
            <w:tcW w:w="3720" w:type="dxa"/>
            <w:vAlign w:val="bottom"/>
            <w:gridSpan w:val="4"/>
          </w:tcPr>
          <w:p>
            <w:pPr>
              <w:jc w:val="right"/>
              <w:ind w:right="1231"/>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08"/>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Parent Company</w:t>
            </w: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Guarantor Subsidiaries</w:t>
            </w: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Parent Company</w:t>
            </w:r>
          </w:p>
        </w:tc>
        <w:tc>
          <w:tcPr>
            <w:tcW w:w="1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Guarantor Subsidiaries</w:t>
            </w:r>
          </w:p>
        </w:tc>
        <w:tc>
          <w:tcPr>
            <w:tcW w:w="0" w:type="dxa"/>
            <w:vAlign w:val="bottom"/>
          </w:tcPr>
          <w:p>
            <w:pPr>
              <w:spacing w:after="0"/>
              <w:rPr>
                <w:sz w:val="1"/>
                <w:szCs w:val="1"/>
                <w:color w:val="auto"/>
              </w:rPr>
            </w:pPr>
          </w:p>
        </w:tc>
      </w:tr>
      <w:tr>
        <w:trPr>
          <w:trHeight w:val="211"/>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due from subsidiaries</w:t>
            </w:r>
          </w:p>
        </w:tc>
        <w:tc>
          <w:tcPr>
            <w:tcW w:w="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90,643</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1,010,823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1,001,691</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2,909,883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2,609,648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2,987,716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2,690,262</w:t>
            </w:r>
          </w:p>
        </w:tc>
        <w:tc>
          <w:tcPr>
            <w:tcW w:w="0" w:type="dxa"/>
            <w:vAlign w:val="bottom"/>
          </w:tcPr>
          <w:p>
            <w:pPr>
              <w:spacing w:after="0"/>
              <w:rPr>
                <w:sz w:val="1"/>
                <w:szCs w:val="1"/>
                <w:color w:val="auto"/>
              </w:rPr>
            </w:pPr>
          </w:p>
        </w:tc>
      </w:tr>
      <w:tr>
        <w:trPr>
          <w:trHeight w:val="270"/>
        </w:trPr>
        <w:tc>
          <w:tcPr>
            <w:tcW w:w="31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Liabilities and equity:</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due to subsidiaries</w:t>
            </w: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99,372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573,008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548,661</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1,892,991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1,901,934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describe our significant accounting policies in Note 2 to the Company's Consolidated Financial Statements included in our 2025 Form 10-K. There have been no significant changes in our significant accounting policies since December 31, 2025.</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discuss our critical accounting estimates in Item 7, "Management's Discussion and Analysis of Financial Condition and Results of Operations," in our 2025 Form 10-K. There have been no significant changes in our critical accounting estimates since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Internally, we use AOI and Free Cash Flow as the most important indicators of our business performance, and evaluate management's effectiveness with specific reference to these indicators.</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evaluate segment performance based on operating segment AOI. We define AOI, which is a financial measure that is not calculated in accordance with generally accepted accounting principles ("GAAP"), as operating income (loss) before share-based compensation expenses or benefit, depreciation and amortization, impairment and other charges (including gains or losses on sales or dispositions of businesses), restructuring and other related charges, cloud computing amortization and including the Company’s proportionate share of adjusted operating income (loss) from majority-owned equity method investees. From time to time, we may exclude the impact of certain events, gains, losses or other charges (such as significant legal settlements) from AOI that affect our operating performance.</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that AOI is an appropriate measure for evaluating the operating performance on both an operating segment and consolidated basis. AOI and similar measures with similar titles are common performance measures used by investors, analysts and peers to compare performance in the industry. AOI should be viewed as a supplement to and not a substitute for operating income (loss), net income (loss), cash flows from operating activities and other measures of performance and/or liquidity presented in accordance with GAAP. Since AOI is not a measure of performance calculated in accordance with GAAP, this measure may not be comparable to similar measures with similar titles used by other companies.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reconciliation of operating income to AOI for the periods indicated: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64,197</w:t>
            </w:r>
          </w:p>
        </w:tc>
      </w:tr>
      <w:tr>
        <w:trPr>
          <w:trHeight w:val="229"/>
        </w:trPr>
        <w:tc>
          <w:tcPr>
            <w:tcW w:w="7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5,757</w:t>
            </w:r>
          </w:p>
        </w:tc>
      </w:tr>
      <w:tr>
        <w:trPr>
          <w:trHeight w:val="230"/>
        </w:trPr>
        <w:tc>
          <w:tcPr>
            <w:tcW w:w="7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20,926</w:t>
            </w:r>
          </w:p>
        </w:tc>
      </w:tr>
      <w:tr>
        <w:trPr>
          <w:trHeight w:val="229"/>
        </w:trPr>
        <w:tc>
          <w:tcPr>
            <w:tcW w:w="7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4,789</w:t>
            </w:r>
          </w:p>
        </w:tc>
      </w:tr>
      <w:tr>
        <w:trPr>
          <w:trHeight w:val="229"/>
        </w:trPr>
        <w:tc>
          <w:tcPr>
            <w:tcW w:w="7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Cloud computing amortization</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r>
      <w:tr>
        <w:trPr>
          <w:trHeight w:val="230"/>
        </w:trPr>
        <w:tc>
          <w:tcPr>
            <w:tcW w:w="79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Majority owned equity investees AOI</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5,603</w:t>
            </w: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68,974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104,485</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define Free Cash Flow, which is a non-GAAP financial measure, as net cash provided by operating activities less capital expenditures, all of which are reported in our Consolidated Statement of Cash Flows. We believe the most comparable GAAP financial measure of our liquidity is net cash provided by operating activities. We believe that Free Cash Flow is useful as an indicator of our overall liquidity, as the amount of Free Cash Flow generated in any period is representative of cash that is available for debt repayment, investment, and other discretionary and non-discretionary cash uses. We also believe that Free Cash Flow is one of several benchmarks used by analysts and investors who follow the industry for comparison of our liquidity with other companies in our industry, although our measure of Free Cash Flow may not be directly comparable to similar measures reported by other companies.</w:t>
      </w:r>
    </w:p>
    <w:p>
      <w:pPr>
        <w:spacing w:after="0" w:line="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reconciliation of net cash provided by operating activities to Free Cash Flow for the periods indicated: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79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99"/>
        </w:trPr>
        <w:tc>
          <w:tcPr>
            <w:tcW w:w="20" w:type="dxa"/>
            <w:vAlign w:val="bottom"/>
            <w:tcBorders>
              <w:bottom w:val="single" w:sz="8" w:color="CCEEFF"/>
            </w:tcBorders>
            <w:shd w:val="clear" w:color="auto" w:fill="CCEEFF"/>
          </w:tcPr>
          <w:p>
            <w:pPr>
              <w:spacing w:after="0"/>
              <w:rPr>
                <w:sz w:val="24"/>
                <w:szCs w:val="24"/>
                <w:color w:val="auto"/>
              </w:rPr>
            </w:pPr>
          </w:p>
        </w:tc>
        <w:tc>
          <w:tcPr>
            <w:tcW w:w="79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67,467</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108,805</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9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Less: capital expenditures</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(14,620)</w:t>
            </w:r>
          </w:p>
        </w:tc>
        <w:tc>
          <w:tcPr>
            <w:tcW w:w="0" w:type="dxa"/>
            <w:vAlign w:val="bottom"/>
          </w:tcPr>
          <w:p>
            <w:pPr>
              <w:spacing w:after="0"/>
              <w:rPr>
                <w:sz w:val="1"/>
                <w:szCs w:val="1"/>
                <w:color w:val="auto"/>
              </w:rPr>
            </w:pPr>
          </w:p>
        </w:tc>
      </w:tr>
      <w:tr>
        <w:trPr>
          <w:trHeight w:val="316"/>
        </w:trPr>
        <w:tc>
          <w:tcPr>
            <w:tcW w:w="20" w:type="dxa"/>
            <w:vAlign w:val="bottom"/>
            <w:tcBorders>
              <w:bottom w:val="single" w:sz="8" w:color="CCEEFF"/>
            </w:tcBorders>
            <w:shd w:val="clear" w:color="auto" w:fill="CCEEFF"/>
          </w:tcPr>
          <w:p>
            <w:pPr>
              <w:spacing w:after="0"/>
              <w:rPr>
                <w:sz w:val="24"/>
                <w:szCs w:val="24"/>
                <w:color w:val="auto"/>
              </w:rPr>
            </w:pPr>
          </w:p>
        </w:tc>
        <w:tc>
          <w:tcPr>
            <w:tcW w:w="79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Free cash flow</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64,815</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94,185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9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20" w:type="dxa"/>
            <w:vAlign w:val="bottom"/>
          </w:tcPr>
          <w:p>
            <w:pPr>
              <w:spacing w:after="0"/>
              <w:rPr>
                <w:sz w:val="24"/>
                <w:szCs w:val="24"/>
                <w:color w:val="auto"/>
              </w:rPr>
            </w:pPr>
          </w:p>
        </w:tc>
        <w:tc>
          <w:tcPr>
            <w:tcW w:w="79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2960" w:type="dxa"/>
            <w:vAlign w:val="bottom"/>
            <w:gridSpan w:val="4"/>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504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tcPr>
          <w:p>
            <w:pPr>
              <w:spacing w:after="0"/>
              <w:rPr>
                <w:sz w:val="18"/>
                <w:szCs w:val="18"/>
                <w:color w:val="auto"/>
              </w:rPr>
            </w:pPr>
          </w:p>
        </w:tc>
        <w:tc>
          <w:tcPr>
            <w:tcW w:w="2900" w:type="dxa"/>
            <w:vAlign w:val="bottom"/>
            <w:tcBorders>
              <w:bottom w:val="single" w:sz="8" w:color="CCEEFF"/>
            </w:tcBorders>
            <w:vMerge w:val="continue"/>
          </w:tcPr>
          <w:p>
            <w:pPr>
              <w:spacing w:after="0"/>
              <w:rPr>
                <w:sz w:val="18"/>
                <w:szCs w:val="18"/>
                <w:color w:val="auto"/>
              </w:rPr>
            </w:pPr>
          </w:p>
        </w:tc>
        <w:tc>
          <w:tcPr>
            <w:tcW w:w="504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initiatives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3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8" w:name="page39"/>
    <w:bookmarkEnd w:id="38"/>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Debt</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Based on the level of interest rates prevailing at March 31, 2026, the carrying value of our fixed rate debt of $1.67 billion was less than its fair value of $1.68 billion by $6.7 million. The fair value of these financial instruments is estimated based on reference to quoted market prices for these or comparable securities. A hypothetical 100 basis point decrease in interest rates prevailing at March 31, 2026 would increase the estimated fair value of our fixed rate debt by $69.7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Managing our Interest Rate Risk</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2026, we had $1.8 billion of debt outstanding (excluding finance leases), of which $80.0 million is outstanding under our loan facility and is subject to variable interest rates. A hypothetical 100 basis point increase in interest rates prevailing at March 31, 2026 would increase our annual interest expense by $0.8 million. The interest rate paid on approximately 96% of our debt (excluding finance leases) as of March 31, 2026 is fixed.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Managing our Foreign Currency Exchange Rate Risk</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exposed to foreign currency risk to the extent that we enter into transactions denominated in currencies other than our subsidiaries' respective functional currencies (non-functional currency risk), such as affiliation agreements, programming contracts, certain trade receivables and accounts payable (including intercompany amounts) that are denominated in a currency other than the applicable functional currency. Changes in exchange rates with respect to amounts recorded in our condensed consolidated balance sheets related to these items will result in unrealized (based upon period-end exchange rates) or realized foreign currency transaction gains and losses upon settlement of the transactions. Moreover, to the extent that our revenue, costs and expenses are denominated in currencies other than our respective functional currencies, we will experience fluctuations in our revenue, costs and expenses solely as a result of changes in foreign currency exchange rates.</w:t>
      </w:r>
    </w:p>
    <w:p>
      <w:pPr>
        <w:spacing w:after="0" w:line="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 manage foreign currency exchange rate risk, we enter into foreign currency contracts from time to time with financial institutions to limit our exposure to fluctuations in foreign currency exchange rates. We do not enter into foreign currency contracts for speculative or trading purposes.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recognized foreign currency transaction gains (losses) of $(3.8) million and $3.8 million for the three months ended March 31, 2026 and 2025, respectively, related to foreign currency transactions. Such amounts are included in miscellaneous, net in the condensed consolidated statements of income (loss).</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also are exposed to fluctuations of the U.S. dollar (our reporting currency) against the currencies of our operating subsidiaries when their respective financial statements are translated into U.S. dollars for inclusion in our condensed consolidated financial statements. Cumulative translation adjustments are recorded in accumulated other comprehensive income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income (loss) and equity with respect to our holdings solely as a result of changes in foreign currency exchange rates.</w:t>
      </w:r>
    </w:p>
    <w:p>
      <w:pPr>
        <w:spacing w:after="0" w:line="200" w:lineRule="exact"/>
        <w:rPr>
          <w:sz w:val="20"/>
          <w:szCs w:val="20"/>
          <w:color w:val="auto"/>
        </w:rPr>
      </w:pPr>
    </w:p>
    <w:p>
      <w:pPr>
        <w:spacing w:after="0" w:line="22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 evaluation was carried out under the supervision and with the participation of the Company's management, including our principal executive officer (our Chief Executive Officer) and our principal financial officer (our Chief Accounting Officer functioning as our principal financial officer), of the effectiveness of the design and operation of our disclosure controls and procedures (as defined in Rules 13a-15(e) and 15d-15(e) under the Securities Exchange Act of 1934, as amended). Based upon that evaluation as of March 31, 2026, the Company's principal executive officer (our Chief Executive Officer) and our principal financial officer (our Chief Accounting Officer functioning as our principal financial officer), concluded that the Company's disclosure controls and procedures are effective.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there were no changes in the Company's internal control over financial reporting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Note 14, Commitments and Contingencies to the condensed consolidated financial statements included in this Quarterly Report on Form 10-Q for a description of our legal proceedings.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Board of Directors has authorized a $1.5 billion Stock Repurchase Program. The authorization of up to $500 million was announced on March 7, 2016, an additional authorization of $500 million was announced on June 7, 2017, and an additional authorization of $500 million was announced on June 13, 2018. The Stock Repurchase Program has no pre-established termination date and may be suspended or discontinued at any time.</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the Company did not repurchase any shares of its Class A Common Stock. As of March 31, 2026, the Company had $117.4 million of authorization remaining for repurchase under the Stock Repurchase Program.</w:t>
      </w:r>
    </w:p>
    <w:p>
      <w:pPr>
        <w:spacing w:after="0" w:line="40"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On May 8, 2026, the Company entered into an accelerated share repurchase agreement (the “ASR Agreement”) with Citibank, N.A. (“Citibank”) to repurchase $30.0 million of its outstanding Class A Common Stock. See Part II, Item 5, Other Information, for additional information regarding the ASR Agreement.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included in Part II, Item 5 of this Quarterly Report on Form 10-Q is provided in lieu of filing such information on a Current Report on Form 8-K.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Repayment of Term Loan A Facility and Termination of Credit Agreement</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6, 2026, the Company notified JPMorgan Chase Bank N.A. that on May 12, 2026, it would prepay all obligations under the Term Loan A Facility and terminate all commitments, liabilities, and other obligations under the Credit Agreement, including the Revolving Credit Facility. Pursuant to the terms of the Credit Agreement, there are no material early termination penalties to be incurred in connection therewith, all outstanding obligations and commitments under the Credit Agreement will be satisfied and terminated, and all related security interests and liens securing such obligations and commitments, as well as affirmative and negative covenants, will be released.</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Note 9, Long-term Debt and the Liquidity and Capital Resources section of this Form 10-Q for additional information regarding the Credit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Accelerated Share Repurchase Agreement</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May 8, 2026, the Company entered into the ASR Agreement with Citibank to repurchase $30.0 million of its outstanding Class A Common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conducting the accelerated share repurchase as part of its existing Stock Repurchase Program.</w:t>
      </w:r>
    </w:p>
    <w:p>
      <w:pPr>
        <w:spacing w:after="0" w:line="9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the terms of the ASR Agreement, on May 11, 2026, the Company will make an initial payment to Citibank of $30.0 million, and expects to receive an initial delivery of approximately 2.7 million shares of Class A Common Stock. The final number of shares to be repurchased will be based on the volume-weighted average price of the Class A Common Stock on specified dates during the term of the transaction, less a discount, and subject to customary adjustments pursuant to the terms and conditions of the ASR Agreement. At settlement, Citibank may be required to deliver additional shares of Common Stock to the Company, or, under certain circumstances, the Company may be required to make a payment to Citibank, which at the option of the Company may be in the form of cash or shares of Class A Common Stock. The final settlement of the transaction is expected to occur in the fourth quarter of 2026, but may be completed earlier at Citibank’s election.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0" w:name="page41"/>
    <w:bookmarkEnd w:id="40"/>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21" w:lineRule="exact"/>
        <w:rPr>
          <w:sz w:val="20"/>
          <w:szCs w:val="20"/>
          <w:color w:val="auto"/>
        </w:rPr>
      </w:pPr>
    </w:p>
    <w:p>
      <w:pPr>
        <w:ind w:left="640" w:hanging="632"/>
        <w:spacing w:after="0"/>
        <w:tabs>
          <w:tab w:leader="none" w:pos="6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Index to Exhibits.</w:t>
      </w:r>
    </w:p>
    <w:p>
      <w:pPr>
        <w:spacing w:after="0" w:line="13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940" w:type="dxa"/>
            <w:vAlign w:val="bottom"/>
            <w:gridSpan w:val="1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5"/>
        </w:trPr>
        <w:tc>
          <w:tcPr>
            <w:tcW w:w="1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940" w:type="dxa"/>
            <w:vAlign w:val="bottom"/>
            <w:tcBorders>
              <w:bottom w:val="single" w:sz="8" w:color="auto"/>
            </w:tcBorders>
            <w:gridSpan w:val="1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220" w:type="dxa"/>
            <w:vAlign w:val="bottom"/>
          </w:tcPr>
          <w:p>
            <w:pPr>
              <w:jc w:val="center"/>
              <w:ind w:right="75"/>
              <w:spacing w:after="0"/>
              <w:rPr>
                <w:sz w:val="20"/>
                <w:szCs w:val="20"/>
                <w:color w:val="auto"/>
              </w:rPr>
            </w:pPr>
            <w:r>
              <w:rPr>
                <w:rFonts w:ascii="Times New Roman" w:cs="Times New Roman" w:eastAsia="Times New Roman" w:hAnsi="Times New Roman"/>
                <w:sz w:val="18"/>
                <w:szCs w:val="18"/>
                <w:color w:val="auto"/>
                <w:w w:val="97"/>
              </w:rPr>
              <w:t>3.1</w:t>
            </w:r>
          </w:p>
        </w:tc>
        <w:tc>
          <w:tcPr>
            <w:tcW w:w="9940" w:type="dxa"/>
            <w:vAlign w:val="bottom"/>
            <w:gridSpan w:val="13"/>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Amended and Restated Articles of Incorporation of AMC Global Media Inc. (incorporated by reference to Exhibit 3.1 to the Company’s</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982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Current Report on Form 8-K filed with the SEC on April 8, 2026).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20" w:type="dxa"/>
            <w:vAlign w:val="bottom"/>
          </w:tcPr>
          <w:p>
            <w:pPr>
              <w:jc w:val="center"/>
              <w:ind w:right="75"/>
              <w:spacing w:after="0"/>
              <w:rPr>
                <w:sz w:val="20"/>
                <w:szCs w:val="20"/>
                <w:color w:val="auto"/>
              </w:rPr>
            </w:pPr>
            <w:r>
              <w:rPr>
                <w:rFonts w:ascii="Times New Roman" w:cs="Times New Roman" w:eastAsia="Times New Roman" w:hAnsi="Times New Roman"/>
                <w:sz w:val="18"/>
                <w:szCs w:val="18"/>
                <w:color w:val="auto"/>
                <w:w w:val="97"/>
              </w:rPr>
              <w:t>3.2</w:t>
            </w:r>
          </w:p>
        </w:tc>
        <w:tc>
          <w:tcPr>
            <w:tcW w:w="9940" w:type="dxa"/>
            <w:vAlign w:val="bottom"/>
            <w:gridSpan w:val="13"/>
          </w:tcPr>
          <w:p>
            <w:pPr>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Amended and Restated Bylaws of AMC Global Media Inc. (incorporated by reference to Exhibit 3.2 to the Company’s Current Report</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36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64">
              <w:r>
                <w:rPr>
                  <w:rFonts w:ascii="Times New Roman" w:cs="Times New Roman" w:eastAsia="Times New Roman" w:hAnsi="Times New Roman"/>
                  <w:sz w:val="18"/>
                  <w:szCs w:val="18"/>
                  <w:color w:val="0000FF"/>
                  <w:w w:val="99"/>
                </w:rPr>
                <w:t>on Form 8-K filed with the SEC on April 8, 2026).</w:t>
              </w:r>
            </w:hyperlink>
          </w:p>
        </w:tc>
        <w:tc>
          <w:tcPr>
            <w:tcW w:w="618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220" w:type="dxa"/>
            <w:vAlign w:val="bottom"/>
          </w:tcPr>
          <w:p>
            <w:pPr>
              <w:jc w:val="center"/>
              <w:ind w:right="75"/>
              <w:spacing w:after="0"/>
              <w:rPr>
                <w:sz w:val="20"/>
                <w:szCs w:val="20"/>
                <w:color w:val="auto"/>
              </w:rPr>
            </w:pPr>
            <w:r>
              <w:rPr>
                <w:rFonts w:ascii="Times New Roman" w:cs="Times New Roman" w:eastAsia="Times New Roman" w:hAnsi="Times New Roman"/>
                <w:sz w:val="18"/>
                <w:szCs w:val="18"/>
                <w:color w:val="auto"/>
                <w:w w:val="97"/>
              </w:rPr>
              <w:t>4.1</w:t>
            </w:r>
          </w:p>
        </w:tc>
        <w:tc>
          <w:tcPr>
            <w:tcW w:w="9940" w:type="dxa"/>
            <w:vAlign w:val="bottom"/>
            <w:gridSpan w:val="13"/>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Indenture, dated as of July 3, 2025, among the Company, as issuer, each of the guarantors party thereto and U.S. Bank Trust Company,</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990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National Association, as trustee (incorporated by reference to Exhibit 4.1 to the Company’s Current Report on Form 8-K filed with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9860" w:type="dxa"/>
            <w:vAlign w:val="bottom"/>
            <w:tcBorders>
              <w:top w:val="single" w:sz="8" w:color="0000FF"/>
            </w:tcBorders>
            <w:gridSpan w:val="9"/>
          </w:tcPr>
          <w:p>
            <w:pPr>
              <w:spacing w:after="0" w:line="169"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SEC on July 3, 2025).</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20" w:type="dxa"/>
            <w:vAlign w:val="bottom"/>
          </w:tcPr>
          <w:p>
            <w:pPr>
              <w:jc w:val="center"/>
              <w:ind w:right="75"/>
              <w:spacing w:after="0"/>
              <w:rPr>
                <w:sz w:val="20"/>
                <w:szCs w:val="20"/>
                <w:color w:val="auto"/>
              </w:rPr>
            </w:pPr>
            <w:r>
              <w:rPr>
                <w:rFonts w:ascii="Times New Roman" w:cs="Times New Roman" w:eastAsia="Times New Roman" w:hAnsi="Times New Roman"/>
                <w:sz w:val="18"/>
                <w:szCs w:val="18"/>
                <w:color w:val="auto"/>
                <w:w w:val="97"/>
              </w:rPr>
              <w:t>4.2</w:t>
            </w:r>
          </w:p>
        </w:tc>
        <w:tc>
          <w:tcPr>
            <w:tcW w:w="9940" w:type="dxa"/>
            <w:vAlign w:val="bottom"/>
            <w:gridSpan w:val="13"/>
          </w:tcPr>
          <w:p>
            <w:pPr>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First Supplemental Indenture, dated as of February 23, 2026, to the Indenture, dated as of July 3, 2025, among the Company, as issuer,</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980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each of the guarantors party thereto and U.S. Bank Trust Company, National Association, as trustee (incorporated by reference to</w:t>
              </w:r>
            </w:hyperlink>
          </w:p>
        </w:tc>
        <w:tc>
          <w:tcPr>
            <w:tcW w:w="80" w:type="dxa"/>
            <w:vAlign w:val="bottom"/>
            <w:tcBorders>
              <w:bottom w:val="single" w:sz="8" w:color="0000FF"/>
            </w:tcBorders>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9880" w:type="dxa"/>
            <w:vAlign w:val="bottom"/>
            <w:gridSpan w:val="10"/>
          </w:tcPr>
          <w:p>
            <w:pPr>
              <w:spacing w:after="0" w:line="169"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Exhibit 4.1 to the Company’s Current Report on Form 8-K filed with the SEC on February 23, 2026).</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640" w:type="dxa"/>
            <w:vAlign w:val="bottom"/>
            <w:gridSpan w:val="4"/>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20" w:type="dxa"/>
            <w:vAlign w:val="bottom"/>
          </w:tcPr>
          <w:p>
            <w:pPr>
              <w:jc w:val="center"/>
              <w:ind w:right="55"/>
              <w:spacing w:after="0"/>
              <w:rPr>
                <w:sz w:val="20"/>
                <w:szCs w:val="20"/>
                <w:color w:val="auto"/>
              </w:rPr>
            </w:pPr>
            <w:r>
              <w:rPr>
                <w:rFonts w:ascii="Times New Roman" w:cs="Times New Roman" w:eastAsia="Times New Roman" w:hAnsi="Times New Roman"/>
                <w:sz w:val="18"/>
                <w:szCs w:val="18"/>
                <w:color w:val="auto"/>
              </w:rPr>
              <w:t>10.1</w:t>
            </w:r>
          </w:p>
        </w:tc>
        <w:tc>
          <w:tcPr>
            <w:tcW w:w="9940" w:type="dxa"/>
            <w:vAlign w:val="bottom"/>
            <w:gridSpan w:val="13"/>
          </w:tcPr>
          <w:p>
            <w:pPr>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Employment Agreement, dated March 11, 2026, by and between the Company and Kim Kelleher (incorporated by reference to Exhibit</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664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the Company’s Current Report on Form 8-K filed with the SEC on March 13, 2026).</w:t>
              </w:r>
            </w:hyperlink>
          </w:p>
        </w:tc>
        <w:tc>
          <w:tcPr>
            <w:tcW w:w="328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300" w:hanging="775"/>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Guarantor Subsidiaries of the Registrant.</w:t>
      </w:r>
    </w:p>
    <w:p>
      <w:pPr>
        <w:spacing w:after="0" w:line="63"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31.1</w:t>
            </w:r>
          </w:p>
        </w:tc>
        <w:tc>
          <w:tcPr>
            <w:tcW w:w="98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7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31.2</w:t>
            </w:r>
          </w:p>
        </w:tc>
        <w:tc>
          <w:tcPr>
            <w:tcW w:w="98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Accounting Officer pursuant to Section 302 of the Sarbanes-Oxley Act of 2002.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820" w:type="dxa"/>
            <w:vAlign w:val="bottom"/>
            <w:gridSpan w:val="2"/>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3"/>
              </w:rPr>
              <w:t>32</w:t>
            </w:r>
            <w:r>
              <w:rPr>
                <w:rFonts w:ascii="Times New Roman" w:cs="Times New Roman" w:eastAsia="Times New Roman" w:hAnsi="Times New Roman"/>
                <w:sz w:val="23"/>
                <w:szCs w:val="23"/>
                <w:color w:val="auto"/>
                <w:w w:val="93"/>
                <w:vertAlign w:val="superscript"/>
              </w:rPr>
              <w:t>*</w:t>
            </w:r>
          </w:p>
        </w:tc>
        <w:tc>
          <w:tcPr>
            <w:tcW w:w="98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Certifications of Chief Executive Officer and Chief Accounting Officer pursuant to Section 906 of the Sarbanes-Oxley Act of 2002, 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520" w:type="dxa"/>
            <w:vAlign w:val="bottom"/>
            <w:tcBorders>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8"/>
              </w:rPr>
              <w:t>U.S.C. Section 1350.</w:t>
            </w:r>
          </w:p>
        </w:tc>
        <w:tc>
          <w:tcPr>
            <w:tcW w:w="82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2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101.INS</w:t>
            </w:r>
          </w:p>
        </w:tc>
        <w:tc>
          <w:tcPr>
            <w:tcW w:w="9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148"/>
        </w:trPr>
        <w:tc>
          <w:tcPr>
            <w:tcW w:w="1020" w:type="dxa"/>
            <w:vAlign w:val="bottom"/>
            <w:vMerge w:val="continue"/>
          </w:tcPr>
          <w:p>
            <w:pPr>
              <w:spacing w:after="0"/>
              <w:rPr>
                <w:sz w:val="12"/>
                <w:szCs w:val="12"/>
                <w:color w:val="auto"/>
              </w:rPr>
            </w:pPr>
          </w:p>
        </w:tc>
        <w:tc>
          <w:tcPr>
            <w:tcW w:w="98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within Inline XBRL document.</w:t>
            </w:r>
          </w:p>
        </w:tc>
        <w:tc>
          <w:tcPr>
            <w:tcW w:w="0" w:type="dxa"/>
            <w:vAlign w:val="bottom"/>
          </w:tcPr>
          <w:p>
            <w:pPr>
              <w:spacing w:after="0"/>
              <w:rPr>
                <w:sz w:val="1"/>
                <w:szCs w:val="1"/>
                <w:color w:val="auto"/>
              </w:rPr>
            </w:pPr>
          </w:p>
        </w:tc>
      </w:tr>
      <w:tr>
        <w:trPr>
          <w:trHeight w:val="86"/>
        </w:trPr>
        <w:tc>
          <w:tcPr>
            <w:tcW w:w="1020" w:type="dxa"/>
            <w:vAlign w:val="bottom"/>
          </w:tcPr>
          <w:p>
            <w:pPr>
              <w:spacing w:after="0"/>
              <w:rPr>
                <w:sz w:val="7"/>
                <w:szCs w:val="7"/>
                <w:color w:val="auto"/>
              </w:rPr>
            </w:pPr>
          </w:p>
        </w:tc>
        <w:tc>
          <w:tcPr>
            <w:tcW w:w="982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2"/>
        </w:trPr>
        <w:tc>
          <w:tcPr>
            <w:tcW w:w="10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101.SCH</w:t>
            </w:r>
          </w:p>
        </w:tc>
        <w:tc>
          <w:tcPr>
            <w:tcW w:w="9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83"/>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101.CAL</w:t>
            </w:r>
          </w:p>
        </w:tc>
        <w:tc>
          <w:tcPr>
            <w:tcW w:w="9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84"/>
        </w:trPr>
        <w:tc>
          <w:tcPr>
            <w:tcW w:w="10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101.DEF</w:t>
            </w:r>
          </w:p>
        </w:tc>
        <w:tc>
          <w:tcPr>
            <w:tcW w:w="9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0" w:type="dxa"/>
            <w:vAlign w:val="bottom"/>
          </w:tcPr>
          <w:p>
            <w:pPr>
              <w:spacing w:after="0"/>
              <w:rPr>
                <w:sz w:val="1"/>
                <w:szCs w:val="1"/>
                <w:color w:val="auto"/>
              </w:rPr>
            </w:pPr>
          </w:p>
        </w:tc>
      </w:tr>
      <w:tr>
        <w:trPr>
          <w:trHeight w:val="283"/>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101.LAB</w:t>
            </w:r>
          </w:p>
        </w:tc>
        <w:tc>
          <w:tcPr>
            <w:tcW w:w="9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83"/>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101.PRE</w:t>
            </w:r>
          </w:p>
        </w:tc>
        <w:tc>
          <w:tcPr>
            <w:tcW w:w="9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300" w:hanging="820"/>
        <w:spacing w:after="0"/>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11" w:lineRule="exact"/>
        <w:rPr>
          <w:rFonts w:ascii="Times New Roman" w:cs="Times New Roman" w:eastAsia="Times New Roman" w:hAnsi="Times New Roman"/>
          <w:sz w:val="18"/>
          <w:szCs w:val="18"/>
          <w:color w:val="auto"/>
        </w:rPr>
      </w:pPr>
    </w:p>
    <w:p>
      <w:pPr>
        <w:jc w:val="both"/>
        <w:ind w:left="8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 These exhibits shall not be deemed “filed” for purposes of Section 18 of the Securities Exchange Act of 1934, or otherwise subject to the liability of that Section. Such exhibits shall not be deemed incorporated into any filing under the Securities Act of 1933 or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95" w:right="43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AMC Global Media Inc.</w:t>
            </w:r>
          </w:p>
        </w:tc>
      </w:tr>
      <w:tr>
        <w:trPr>
          <w:trHeight w:val="378"/>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770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Michael J. Sherin III</w:t>
            </w:r>
          </w:p>
        </w:tc>
      </w:tr>
      <w:tr>
        <w:trPr>
          <w:trHeight w:val="218"/>
        </w:trPr>
        <w:tc>
          <w:tcPr>
            <w:tcW w:w="33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Michael J. Sherin III</w:t>
            </w:r>
          </w:p>
        </w:tc>
      </w:tr>
      <w:tr>
        <w:trPr>
          <w:trHeight w:val="234"/>
        </w:trPr>
        <w:tc>
          <w:tcPr>
            <w:tcW w:w="33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92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color w:val="auto"/>
        </w:rPr>
        <w:t>Exhibit 22</w:t>
      </w:r>
    </w:p>
    <w:p>
      <w:pPr>
        <w:spacing w:after="0" w:line="200" w:lineRule="exact"/>
        <w:rPr>
          <w:sz w:val="20"/>
          <w:szCs w:val="20"/>
          <w:color w:val="auto"/>
        </w:rPr>
      </w:pPr>
    </w:p>
    <w:p>
      <w:pPr>
        <w:spacing w:after="0" w:line="39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List of Guarantor Subsidiaries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following subsidiaries of AMC Global Media Inc. guarantee the notes issued by AMC Global Media Inc.</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20" w:type="dxa"/>
            <w:vAlign w:val="bottom"/>
            <w:gridSpan w:val="2"/>
          </w:tcPr>
          <w:p>
            <w:pPr>
              <w:ind w:left="418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20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Jurisdiction of Formation</w:t>
            </w:r>
          </w:p>
        </w:tc>
      </w:tr>
      <w:tr>
        <w:trPr>
          <w:trHeight w:val="212"/>
        </w:trPr>
        <w:tc>
          <w:tcPr>
            <w:tcW w:w="9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2nd Party LLC</w:t>
            </w:r>
          </w:p>
        </w:tc>
        <w:tc>
          <w:tcPr>
            <w:tcW w:w="1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61st Street Productions 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Across the River Productions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Aesir Media Group,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Texas</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AMC Content Distribution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AMC Film Holdings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AMC Games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AMC Network Entertainment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York</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AMC Networks Broadcasting &amp; Technology</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York</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AMC Networks International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AMC Networks Productions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AMC New Video Holdings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AMC Plus Holdings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AMC TV Studios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AMC/Sundance Channel Global Networks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AMCN Properties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American Movie Classics IV Holding Corp</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Animal Control Productions 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Anime Network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Texas</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Badlands Productions 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Louisiana</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Badlands Productions II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Cobalt Productions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Crossed Pens Development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Dark Winds Productions 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Digital Store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Expedition Productions 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Five Moons Productions 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Geese Productions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Ground Work Productions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HIDIVE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IFC Entertainment Holdings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IFC Entertainment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IFC Films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IFC In Theaters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IFC Productions 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IFC Television Holdings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IFC Theatres Concessions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IFC Theatres,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IFC TV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Japan Creative Contents Alliance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20" w:top="135" w:right="3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20" w:type="dxa"/>
            <w:vAlign w:val="bottom"/>
            <w:gridSpan w:val="2"/>
            <w:shd w:val="clear" w:color="auto" w:fill="CCEEFF"/>
          </w:tcPr>
          <w:p>
            <w:pPr>
              <w:ind w:left="418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2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Jurisdiction of Formation</w:t>
            </w:r>
          </w:p>
        </w:tc>
      </w:tr>
      <w:tr>
        <w:trPr>
          <w:trHeight w:val="207"/>
        </w:trPr>
        <w:tc>
          <w:tcPr>
            <w:tcW w:w="9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Making Waves Studio Productions LLC</w:t>
            </w:r>
          </w:p>
        </w:tc>
        <w:tc>
          <w:tcPr>
            <w:tcW w:w="120" w:type="dxa"/>
            <w:vAlign w:val="bottom"/>
          </w:tcPr>
          <w:p>
            <w:pPr>
              <w:spacing w:after="0"/>
              <w:rPr>
                <w:sz w:val="17"/>
                <w:szCs w:val="17"/>
                <w:color w:val="auto"/>
              </w:rPr>
            </w:pPr>
          </w:p>
        </w:tc>
        <w:tc>
          <w:tcPr>
            <w:tcW w:w="2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Mechanical Productions 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Monument Productions 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Moonhaven Productions 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Newfound Lake Productions 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Video Channel America,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NOS4A2 Productions 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Rhode Island</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Peach Pit Properties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Peachwood Productions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Racing Productions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Georgia</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Rainbow Media Enterprises, Inc.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Rainbow Media Holdings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Red Monday Programming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RNC Holding Corporation</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RNC II Holding Corporation</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Roughhouse Productions 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Selects VOD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Sentai Holdings,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Texas</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Sentai Filmworks,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Texas</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Shudder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Stalwart Productions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Sundance Film Holdings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SundanceTV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Tales Productions 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TWD Productions IV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TWD Productions IX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TWD Productions V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TWD Productions VI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TWD Productions VII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TWD Productions VIII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TWD Productions X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TWD Productions XI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Universe Productions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Vampire Chronicles Productions 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Louisiana</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Voom HD Holdings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 tv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 TV Studios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Woodbury Studios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20" w:top="869"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Kristin A. Dolan, certify that:</w:t>
      </w:r>
    </w:p>
    <w:p>
      <w:pPr>
        <w:spacing w:after="0" w:line="171" w:lineRule="exact"/>
        <w:rPr>
          <w:sz w:val="20"/>
          <w:szCs w:val="20"/>
          <w:color w:val="auto"/>
        </w:rPr>
      </w:pPr>
    </w:p>
    <w:p>
      <w:pPr>
        <w:ind w:left="180" w:hanging="172"/>
        <w:spacing w:after="0"/>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AMC Global Media Inc.;</w:t>
      </w:r>
    </w:p>
    <w:p>
      <w:pPr>
        <w:spacing w:after="0" w:line="171"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8"/>
        <w:spacing w:after="0" w:line="266" w:lineRule="auto"/>
        <w:tabs>
          <w:tab w:leader="none" w:pos="21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820" w:hanging="164"/>
        <w:spacing w:after="0" w:line="266" w:lineRule="auto"/>
        <w:tabs>
          <w:tab w:leader="none" w:pos="85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820" w:hanging="164"/>
        <w:spacing w:after="0" w:line="266" w:lineRule="auto"/>
        <w:tabs>
          <w:tab w:leader="none" w:pos="88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820" w:hanging="164"/>
        <w:spacing w:after="0" w:line="282" w:lineRule="auto"/>
        <w:tabs>
          <w:tab w:leader="none" w:pos="87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820" w:hanging="164"/>
        <w:spacing w:after="0" w:line="266" w:lineRule="auto"/>
        <w:tabs>
          <w:tab w:leader="none" w:pos="85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firstLine="8"/>
        <w:spacing w:after="0" w:line="282" w:lineRule="auto"/>
        <w:tabs>
          <w:tab w:leader="none" w:pos="19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820" w:hanging="164"/>
        <w:spacing w:after="0" w:line="282" w:lineRule="auto"/>
        <w:tabs>
          <w:tab w:leader="none" w:pos="85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820" w:hanging="164"/>
        <w:spacing w:after="0" w:line="282" w:lineRule="auto"/>
        <w:tabs>
          <w:tab w:leader="none" w:pos="85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6380" w:type="dxa"/>
            <w:vAlign w:val="bottom"/>
            <w:gridSpan w:val="2"/>
          </w:tcPr>
          <w:p>
            <w:pPr>
              <w:ind w:left="2520"/>
              <w:spacing w:after="0"/>
              <w:rPr>
                <w:sz w:val="20"/>
                <w:szCs w:val="20"/>
                <w:color w:val="auto"/>
              </w:rPr>
            </w:pPr>
            <w:r>
              <w:rPr>
                <w:rFonts w:ascii="Times New Roman" w:cs="Times New Roman" w:eastAsia="Times New Roman" w:hAnsi="Times New Roman"/>
                <w:sz w:val="18"/>
                <w:szCs w:val="18"/>
                <w:color w:val="auto"/>
              </w:rPr>
              <w:t>By:  /s/ Kristin A. Dolan</w:t>
            </w:r>
          </w:p>
        </w:tc>
      </w:tr>
      <w:tr>
        <w:trPr>
          <w:trHeight w:val="218"/>
        </w:trPr>
        <w:tc>
          <w:tcPr>
            <w:tcW w:w="40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Kristin A. Dolan</w:t>
            </w:r>
          </w:p>
        </w:tc>
      </w:tr>
      <w:tr>
        <w:trPr>
          <w:trHeight w:val="234"/>
        </w:trPr>
        <w:tc>
          <w:tcPr>
            <w:tcW w:w="40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21"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Sherin III, certify that:</w:t>
      </w:r>
    </w:p>
    <w:p>
      <w:pPr>
        <w:spacing w:after="0" w:line="171" w:lineRule="exact"/>
        <w:rPr>
          <w:sz w:val="20"/>
          <w:szCs w:val="20"/>
          <w:color w:val="auto"/>
        </w:rPr>
      </w:pPr>
    </w:p>
    <w:p>
      <w:pPr>
        <w:ind w:left="180" w:hanging="172"/>
        <w:spacing w:after="0"/>
        <w:tabs>
          <w:tab w:leader="none" w:pos="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AMC Global Media Inc.;</w:t>
      </w:r>
    </w:p>
    <w:p>
      <w:pPr>
        <w:spacing w:after="0" w:line="171"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8"/>
        <w:spacing w:after="0" w:line="266" w:lineRule="auto"/>
        <w:tabs>
          <w:tab w:leader="none" w:pos="21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820" w:hanging="164"/>
        <w:spacing w:after="0" w:line="266" w:lineRule="auto"/>
        <w:tabs>
          <w:tab w:leader="none" w:pos="85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820" w:hanging="164"/>
        <w:spacing w:after="0" w:line="266" w:lineRule="auto"/>
        <w:tabs>
          <w:tab w:leader="none" w:pos="88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820" w:hanging="164"/>
        <w:spacing w:after="0" w:line="282" w:lineRule="auto"/>
        <w:tabs>
          <w:tab w:leader="none" w:pos="87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820" w:hanging="164"/>
        <w:spacing w:after="0" w:line="266" w:lineRule="auto"/>
        <w:tabs>
          <w:tab w:leader="none" w:pos="85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firstLine="8"/>
        <w:spacing w:after="0" w:line="282" w:lineRule="auto"/>
        <w:tabs>
          <w:tab w:leader="none" w:pos="19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820" w:hanging="164"/>
        <w:spacing w:after="0" w:line="282" w:lineRule="auto"/>
        <w:tabs>
          <w:tab w:leader="none" w:pos="85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820" w:hanging="164"/>
        <w:spacing w:after="0" w:line="282" w:lineRule="auto"/>
        <w:tabs>
          <w:tab w:leader="none" w:pos="85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6380" w:type="dxa"/>
            <w:vAlign w:val="bottom"/>
            <w:gridSpan w:val="2"/>
          </w:tcPr>
          <w:p>
            <w:pPr>
              <w:ind w:left="2520"/>
              <w:spacing w:after="0"/>
              <w:rPr>
                <w:sz w:val="20"/>
                <w:szCs w:val="20"/>
                <w:color w:val="auto"/>
              </w:rPr>
            </w:pPr>
            <w:r>
              <w:rPr>
                <w:rFonts w:ascii="Times New Roman" w:cs="Times New Roman" w:eastAsia="Times New Roman" w:hAnsi="Times New Roman"/>
                <w:sz w:val="18"/>
                <w:szCs w:val="18"/>
                <w:color w:val="auto"/>
              </w:rPr>
              <w:t>By:  /s/ Michael J. Sherin III</w:t>
            </w:r>
          </w:p>
        </w:tc>
      </w:tr>
      <w:tr>
        <w:trPr>
          <w:trHeight w:val="218"/>
        </w:trPr>
        <w:tc>
          <w:tcPr>
            <w:tcW w:w="40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Michael J. Sherin III</w:t>
            </w:r>
          </w:p>
        </w:tc>
      </w:tr>
      <w:tr>
        <w:trPr>
          <w:trHeight w:val="180"/>
        </w:trPr>
        <w:tc>
          <w:tcPr>
            <w:tcW w:w="40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34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and Chief</w:t>
            </w:r>
          </w:p>
        </w:tc>
      </w:tr>
      <w:tr>
        <w:trPr>
          <w:trHeight w:val="234"/>
        </w:trPr>
        <w:tc>
          <w:tcPr>
            <w:tcW w:w="40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Officer</w:t>
            </w:r>
          </w:p>
        </w:tc>
      </w:tr>
    </w:tbl>
    <w:p>
      <w:pPr>
        <w:sectPr>
          <w:pgSz w:w="11900" w:h="16838" w:orient="portrait"/>
          <w:cols w:equalWidth="0" w:num="1">
            <w:col w:w="11240"/>
          </w:cols>
          <w:pgMar w:left="320" w:top="121"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Pursuant to 18 U.S.C. § 1350, each of the undersigned officers of AMC Global Media Inc. (“AMC Global Media”) hereby certifies, to such officer’s knowledge, that AMC Global Media's Quarterly Report on Form 10-Q for the quarter ended March 31, 2026 (the “Report”) fully complies with the requirements of Section 13(a) or 15(d), as applicable, of the Securities Exchange Act of 1934, and that the information contained in the Report fairly presents, in all material respects, the financial condition and results of operations of AMC Global Media.</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May 8, 2026</w:t>
            </w:r>
          </w:p>
        </w:tc>
        <w:tc>
          <w:tcPr>
            <w:tcW w:w="318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Kristin A. Dolan</w:t>
            </w:r>
          </w:p>
        </w:tc>
        <w:tc>
          <w:tcPr>
            <w:tcW w:w="20" w:type="dxa"/>
            <w:vAlign w:val="bottom"/>
          </w:tcPr>
          <w:p>
            <w:pPr>
              <w:spacing w:after="0"/>
              <w:rPr>
                <w:sz w:val="20"/>
                <w:szCs w:val="20"/>
                <w:color w:val="auto"/>
              </w:rPr>
            </w:pPr>
          </w:p>
        </w:tc>
      </w:tr>
      <w:tr>
        <w:trPr>
          <w:trHeight w:val="218"/>
        </w:trPr>
        <w:tc>
          <w:tcPr>
            <w:tcW w:w="5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Kristin A. Dolan</w:t>
            </w:r>
          </w:p>
        </w:tc>
        <w:tc>
          <w:tcPr>
            <w:tcW w:w="2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20" w:type="dxa"/>
            <w:vAlign w:val="bottom"/>
          </w:tcPr>
          <w:p>
            <w:pPr>
              <w:spacing w:after="0"/>
              <w:rPr>
                <w:sz w:val="20"/>
                <w:szCs w:val="20"/>
                <w:color w:val="auto"/>
              </w:rPr>
            </w:pPr>
          </w:p>
        </w:tc>
      </w:tr>
      <w:tr>
        <w:trPr>
          <w:trHeight w:val="62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May 8, 2026</w:t>
            </w:r>
          </w:p>
        </w:tc>
        <w:tc>
          <w:tcPr>
            <w:tcW w:w="318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J. Sherin III</w:t>
            </w:r>
          </w:p>
        </w:tc>
        <w:tc>
          <w:tcPr>
            <w:tcW w:w="20" w:type="dxa"/>
            <w:vAlign w:val="bottom"/>
            <w:tcBorders>
              <w:bottom w:val="single" w:sz="8" w:color="auto"/>
            </w:tcBorders>
          </w:tcPr>
          <w:p>
            <w:pPr>
              <w:spacing w:after="0"/>
              <w:rPr>
                <w:sz w:val="24"/>
                <w:szCs w:val="24"/>
                <w:color w:val="auto"/>
              </w:rPr>
            </w:pPr>
          </w:p>
        </w:tc>
      </w:tr>
      <w:tr>
        <w:trPr>
          <w:trHeight w:val="228"/>
        </w:trPr>
        <w:tc>
          <w:tcPr>
            <w:tcW w:w="5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J. Sherin III</w:t>
            </w:r>
          </w:p>
        </w:tc>
        <w:tc>
          <w:tcPr>
            <w:tcW w:w="20" w:type="dxa"/>
            <w:vAlign w:val="bottom"/>
          </w:tcPr>
          <w:p>
            <w:pPr>
              <w:spacing w:after="0"/>
              <w:rPr>
                <w:sz w:val="19"/>
                <w:szCs w:val="19"/>
                <w:color w:val="auto"/>
              </w:rPr>
            </w:pPr>
          </w:p>
        </w:tc>
      </w:tr>
    </w:tbl>
    <w:p>
      <w:pPr>
        <w:ind w:left="7500"/>
        <w:spacing w:after="0" w:line="215" w:lineRule="auto"/>
        <w:rPr>
          <w:sz w:val="20"/>
          <w:szCs w:val="20"/>
          <w:color w:val="auto"/>
        </w:rPr>
      </w:pPr>
      <w:r>
        <w:rPr>
          <w:rFonts w:ascii="Times New Roman" w:cs="Times New Roman" w:eastAsia="Times New Roman" w:hAnsi="Times New Roman"/>
          <w:sz w:val="18"/>
          <w:szCs w:val="18"/>
          <w:color w:val="auto"/>
        </w:rPr>
        <w:t>Executive Vice President and Chief Accounting</w:t>
      </w:r>
    </w:p>
    <w:p>
      <w:pPr>
        <w:ind w:left="7500"/>
        <w:spacing w:after="0"/>
        <w:rPr>
          <w:sz w:val="20"/>
          <w:szCs w:val="20"/>
          <w:color w:val="auto"/>
        </w:rPr>
      </w:pPr>
      <w:r>
        <w:rPr>
          <w:rFonts w:ascii="Times New Roman" w:cs="Times New Roman" w:eastAsia="Times New Roman" w:hAnsi="Times New Roman"/>
          <w:sz w:val="18"/>
          <w:szCs w:val="18"/>
          <w:color w:val="auto"/>
        </w:rPr>
        <w:t>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lowerLetter"/>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lowerLetter"/>
      <w:start w:val="1"/>
    </w:lvl>
  </w:abstractNum>
  <w:abstractNum w:abstractNumId="6">
    <w:nsid w:val="1190CDE7"/>
    <w:multiLevelType w:val="hybridMultilevel"/>
    <w:lvl w:ilvl="0">
      <w:lvlJc w:val="left"/>
      <w:lvlText w:val="(%1)"/>
      <w:numFmt w:val="lowerLetter"/>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bullet"/>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decimal"/>
      <w:start w:val="22"/>
    </w:lvl>
  </w:abstractNum>
  <w:abstractNum w:abstractNumId="13">
    <w:nsid w:val="1BEFD79F"/>
    <w:multiLevelType w:val="hybridMultilevel"/>
    <w:lvl w:ilvl="0">
      <w:lvlJc w:val="left"/>
      <w:lvlText w:val="*"/>
      <w:numFmt w:val="bullet"/>
      <w:start w:val="1"/>
    </w:lvl>
    <w:lvl w:ilvl="1">
      <w:lvlJc w:val="left"/>
      <w:lvlText w:val="%2"/>
      <w:numFmt w:val="decimal"/>
      <w:start w:val="104"/>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8" Type="http://schemas.openxmlformats.org/officeDocument/2006/relationships/image" Target="media/image56.png"/><Relationship Id="rId63" Type="http://schemas.openxmlformats.org/officeDocument/2006/relationships/hyperlink" Target="https://www.sec.gov/Archives/edgar/data/1514991/000151499126000054/exhibit31.htm" TargetMode="External"/><Relationship Id="rId64" Type="http://schemas.openxmlformats.org/officeDocument/2006/relationships/hyperlink" Target="https://www.sec.gov/Archives/edgar/data/1514991/000151499126000054/exhibit32.htm" TargetMode="External"/><Relationship Id="rId65" Type="http://schemas.openxmlformats.org/officeDocument/2006/relationships/hyperlink" Target="https://www.sec.gov/Archives/edgar/data/1514991/000151499125000024/ex-41amc2025securednotesxi.htm" TargetMode="External"/><Relationship Id="rId66" Type="http://schemas.openxmlformats.org/officeDocument/2006/relationships/hyperlink" Target="https://www.sec.gov/Archives/edgar/data/1514991/000151499126000020/ex-41xsupplementalindenture.htm" TargetMode="External"/><Relationship Id="rId67" Type="http://schemas.openxmlformats.org/officeDocument/2006/relationships/hyperlink" Target="https://www.sec.gov/Archives/edgar/data/1514991/000151499126000035/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2026-05-08T16:33:06Z</dcterms:created>
  <dcterms:modified xsi:type="dcterms:W3CDTF">2026-05-08T16:33:06Z</dcterms:modified>
</cp:coreProperties>
</file>