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90805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2180" w:hanging="588"/>
        <w:spacing w:after="0"/>
        <w:tabs>
          <w:tab w:leader="none" w:pos="2180" w:val="left"/>
        </w:tabs>
        <w:numPr>
          <w:ilvl w:val="0"/>
          <w:numId w:val="1"/>
        </w:numPr>
        <w:rPr>
          <w:rFonts w:ascii="MS PGothic" w:cs="MS PGothic" w:eastAsia="MS PGothic" w:hAnsi="MS PGothic"/>
          <w:sz w:val="43"/>
          <w:szCs w:val="43"/>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ind w:left="2180" w:hanging="588"/>
        <w:spacing w:after="0" w:line="193" w:lineRule="auto"/>
        <w:tabs>
          <w:tab w:leader="none" w:pos="2180" w:val="left"/>
        </w:tabs>
        <w:numPr>
          <w:ilvl w:val="0"/>
          <w:numId w:val="2"/>
        </w:numPr>
        <w:rPr>
          <w:rFonts w:ascii="MS PGothic" w:cs="MS PGothic" w:eastAsia="MS PGothic" w:hAnsi="MS PGothic"/>
          <w:sz w:val="43"/>
          <w:szCs w:val="43"/>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3"/>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r>
      <w:tr>
        <w:trPr>
          <w:trHeight w:val="257"/>
        </w:trPr>
        <w:tc>
          <w:tcPr>
            <w:tcW w:w="2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320" w:type="dxa"/>
            <w:vAlign w:val="bottom"/>
            <w:gridSpan w:val="3"/>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28"/>
        </w:trPr>
        <w:tc>
          <w:tcPr>
            <w:tcW w:w="3300" w:type="dxa"/>
            <w:vAlign w:val="bottom"/>
            <w:gridSpan w:val="2"/>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300" w:type="dxa"/>
            <w:vAlign w:val="bottom"/>
            <w:gridSpan w:val="2"/>
          </w:tcPr>
          <w:p>
            <w:pPr>
              <w:jc w:val="center"/>
              <w:ind w:left="12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gridSpan w:val="2"/>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300" w:type="dxa"/>
            <w:vAlign w:val="bottom"/>
            <w:gridSpan w:val="2"/>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33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5380" w:type="dxa"/>
            <w:vAlign w:val="bottom"/>
            <w:gridSpan w:val="3"/>
          </w:tcPr>
          <w:p>
            <w:pPr>
              <w:jc w:val="center"/>
              <w:ind w:right="71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40" w:type="dxa"/>
            <w:vAlign w:val="bottom"/>
            <w:gridSpan w:val="2"/>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920" w:type="dxa"/>
            <w:vAlign w:val="bottom"/>
          </w:tcPr>
          <w:p>
            <w:pPr>
              <w:spacing w:after="0"/>
              <w:rPr>
                <w:sz w:val="24"/>
                <w:szCs w:val="24"/>
                <w:color w:val="auto"/>
              </w:rPr>
            </w:pPr>
          </w:p>
        </w:tc>
      </w:tr>
      <w:tr>
        <w:trPr>
          <w:trHeight w:val="175"/>
        </w:trPr>
        <w:tc>
          <w:tcPr>
            <w:tcW w:w="2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90"/>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Pr>
          <w:p>
            <w:pPr>
              <w:jc w:val="center"/>
              <w:ind w:left="51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4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080" w:type="dxa"/>
            <w:vAlign w:val="bottom"/>
          </w:tcPr>
          <w:p>
            <w:pPr>
              <w:jc w:val="center"/>
              <w:ind w:left="511"/>
              <w:spacing w:after="0"/>
              <w:rPr>
                <w:sz w:val="20"/>
                <w:szCs w:val="20"/>
                <w:color w:val="auto"/>
              </w:rPr>
            </w:pPr>
            <w:r>
              <w:rPr>
                <w:rFonts w:ascii="Times New Roman" w:cs="Times New Roman" w:eastAsia="Times New Roman" w:hAnsi="Times New Roman"/>
                <w:sz w:val="16"/>
                <w:szCs w:val="16"/>
                <w:color w:val="auto"/>
                <w:w w:val="99"/>
              </w:rPr>
              <w:t>AMCX</w:t>
            </w:r>
          </w:p>
        </w:tc>
        <w:tc>
          <w:tcPr>
            <w:tcW w:w="42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28"/>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r>
    </w:tbl>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34"/>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0"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7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322"/>
        </w:trPr>
        <w:tc>
          <w:tcPr>
            <w:tcW w:w="7440" w:type="dxa"/>
            <w:vAlign w:val="bottom"/>
          </w:tcPr>
          <w:p>
            <w:pPr>
              <w:jc w:val="right"/>
              <w:ind w:right="2719"/>
              <w:spacing w:after="0"/>
              <w:rPr>
                <w:sz w:val="20"/>
                <w:szCs w:val="20"/>
                <w:color w:val="auto"/>
              </w:rPr>
            </w:pPr>
            <w:r>
              <w:rPr>
                <w:rFonts w:ascii="Times New Roman" w:cs="Times New Roman" w:eastAsia="Times New Roman" w:hAnsi="Times New Roman"/>
                <w:sz w:val="16"/>
                <w:szCs w:val="16"/>
                <w:color w:val="auto"/>
              </w:rPr>
              <w:t>The number of shares of common stock outstanding as of May 3, 2024:</w:t>
            </w:r>
          </w:p>
        </w:tc>
        <w:tc>
          <w:tcPr>
            <w:tcW w:w="3800" w:type="dxa"/>
            <w:vAlign w:val="bottom"/>
          </w:tcPr>
          <w:p>
            <w:pPr>
              <w:spacing w:after="0"/>
              <w:rPr>
                <w:sz w:val="24"/>
                <w:szCs w:val="24"/>
                <w:color w:val="auto"/>
              </w:rPr>
            </w:pPr>
          </w:p>
        </w:tc>
      </w:tr>
      <w:tr>
        <w:trPr>
          <w:trHeight w:val="243"/>
        </w:trPr>
        <w:tc>
          <w:tcPr>
            <w:tcW w:w="7440" w:type="dxa"/>
            <w:vAlign w:val="bottom"/>
          </w:tcPr>
          <w:p>
            <w:pPr>
              <w:jc w:val="right"/>
              <w:ind w:right="2719"/>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32,558,862</w:t>
            </w:r>
          </w:p>
        </w:tc>
      </w:tr>
      <w:tr>
        <w:trPr>
          <w:trHeight w:val="216"/>
        </w:trPr>
        <w:tc>
          <w:tcPr>
            <w:tcW w:w="7440" w:type="dxa"/>
            <w:vAlign w:val="bottom"/>
          </w:tcPr>
          <w:p>
            <w:pPr>
              <w:jc w:val="right"/>
              <w:ind w:right="2719"/>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7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38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tbl>
      <w:tblPr>
        <w:tblLayout w:type="fixed"/>
        <w:tblInd w:w="40" w:type="dxa"/>
        <w:tblCellMar>
          <w:top w:w="0" w:type="dxa"/>
          <w:left w:w="0" w:type="dxa"/>
          <w:bottom w:w="0" w:type="dxa"/>
          <w:right w:w="0" w:type="dxa"/>
        </w:tblCellMar>
      </w:tblPr>
      <w:tr>
        <w:trPr>
          <w:trHeight w:val="183"/>
        </w:trPr>
        <w:tc>
          <w:tcPr>
            <w:tcW w:w="7520" w:type="dxa"/>
            <w:vAlign w:val="bottom"/>
            <w:gridSpan w:val="2"/>
          </w:tcPr>
          <w:p>
            <w:pPr>
              <w:jc w:val="center"/>
              <w:ind w:left="3579"/>
              <w:spacing w:after="0" w:line="183" w:lineRule="exact"/>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gridSpan w:val="2"/>
          </w:tcPr>
          <w:p>
            <w:pPr>
              <w:jc w:val="center"/>
              <w:ind w:left="3579"/>
              <w:spacing w:after="0" w:line="175" w:lineRule="exact"/>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520" w:type="dxa"/>
            <w:vAlign w:val="bottom"/>
            <w:gridSpan w:val="2"/>
          </w:tcPr>
          <w:p>
            <w:pPr>
              <w:jc w:val="center"/>
              <w:ind w:left="3559"/>
              <w:spacing w:after="0" w:line="165" w:lineRule="exact"/>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520" w:type="dxa"/>
            <w:vAlign w:val="bottom"/>
            <w:gridSpan w:val="2"/>
          </w:tcPr>
          <w:p>
            <w:pPr>
              <w:jc w:val="center"/>
              <w:ind w:left="355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50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$9,627 and $9,488)</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664,396</w:t>
            </w:r>
          </w:p>
        </w:tc>
        <w:tc>
          <w:tcPr>
            <w:tcW w:w="0" w:type="dxa"/>
            <w:vAlign w:val="bottom"/>
          </w:tcPr>
          <w:p>
            <w:pPr>
              <w:spacing w:after="0"/>
              <w:rPr>
                <w:sz w:val="1"/>
                <w:szCs w:val="1"/>
                <w:color w:val="auto"/>
              </w:rPr>
            </w:pPr>
          </w:p>
        </w:tc>
      </w:tr>
      <w:tr>
        <w:trPr>
          <w:trHeight w:val="21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380,518</w:t>
            </w:r>
          </w:p>
        </w:tc>
        <w:tc>
          <w:tcPr>
            <w:tcW w:w="0" w:type="dxa"/>
            <w:vAlign w:val="bottom"/>
          </w:tcPr>
          <w:p>
            <w:pPr>
              <w:spacing w:after="0"/>
              <w:rPr>
                <w:sz w:val="1"/>
                <w:szCs w:val="1"/>
                <w:color w:val="auto"/>
              </w:rPr>
            </w:pPr>
          </w:p>
        </w:tc>
      </w:tr>
      <w:tr>
        <w:trPr>
          <w:trHeight w:val="207"/>
        </w:trPr>
        <w:tc>
          <w:tcPr>
            <w:tcW w:w="7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1,650,401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1,623,370</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$418,046 and $403,708</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159,237</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rights,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1,802,653</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268,558</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626,496</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406,854</w:t>
            </w:r>
          </w:p>
        </w:tc>
        <w:tc>
          <w:tcPr>
            <w:tcW w:w="0" w:type="dxa"/>
            <w:vAlign w:val="bottom"/>
          </w:tcPr>
          <w:p>
            <w:pPr>
              <w:spacing w:after="0"/>
              <w:rPr>
                <w:sz w:val="1"/>
                <w:szCs w:val="1"/>
                <w:color w:val="auto"/>
              </w:rPr>
            </w:pPr>
          </w:p>
        </w:tc>
      </w:tr>
      <w:tr>
        <w:trPr>
          <w:trHeight w:val="212"/>
        </w:trPr>
        <w:tc>
          <w:tcPr>
            <w:tcW w:w="75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4,911,556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4,969,787</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89,469</w:t>
            </w:r>
          </w:p>
        </w:tc>
        <w:tc>
          <w:tcPr>
            <w:tcW w:w="0" w:type="dxa"/>
            <w:vAlign w:val="bottom"/>
          </w:tcPr>
          <w:p>
            <w:pPr>
              <w:spacing w:after="0"/>
              <w:rPr>
                <w:sz w:val="1"/>
                <w:szCs w:val="1"/>
                <w:color w:val="auto"/>
              </w:rPr>
            </w:pPr>
          </w:p>
        </w:tc>
      </w:tr>
      <w:tr>
        <w:trPr>
          <w:trHeight w:val="21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385,838</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301,221</w:t>
            </w:r>
          </w:p>
        </w:tc>
        <w:tc>
          <w:tcPr>
            <w:tcW w:w="0" w:type="dxa"/>
            <w:vAlign w:val="bottom"/>
          </w:tcPr>
          <w:p>
            <w:pPr>
              <w:spacing w:after="0"/>
              <w:rPr>
                <w:sz w:val="1"/>
                <w:szCs w:val="1"/>
                <w:color w:val="auto"/>
              </w:rPr>
            </w:pPr>
          </w:p>
        </w:tc>
      </w:tr>
      <w:tr>
        <w:trPr>
          <w:trHeight w:val="21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65,736</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0" w:type="dxa"/>
            <w:vAlign w:val="bottom"/>
          </w:tcPr>
          <w:p>
            <w:pPr>
              <w:spacing w:after="0"/>
              <w:rPr>
                <w:sz w:val="1"/>
                <w:szCs w:val="1"/>
                <w:color w:val="auto"/>
              </w:rPr>
            </w:pPr>
          </w:p>
        </w:tc>
      </w:tr>
      <w:tr>
        <w:trPr>
          <w:trHeight w:val="213"/>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33,659</w:t>
            </w:r>
          </w:p>
        </w:tc>
        <w:tc>
          <w:tcPr>
            <w:tcW w:w="0" w:type="dxa"/>
            <w:vAlign w:val="bottom"/>
          </w:tcPr>
          <w:p>
            <w:pPr>
              <w:spacing w:after="0"/>
              <w:rPr>
                <w:sz w:val="1"/>
                <w:szCs w:val="1"/>
                <w:color w:val="auto"/>
              </w:rPr>
            </w:pPr>
          </w:p>
        </w:tc>
      </w:tr>
      <w:tr>
        <w:trPr>
          <w:trHeight w:val="212"/>
        </w:trPr>
        <w:tc>
          <w:tcPr>
            <w:tcW w:w="75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943,423</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150,943</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2,294,249</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obligations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87,240</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160,383</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74,306</w:t>
            </w:r>
          </w:p>
        </w:tc>
        <w:tc>
          <w:tcPr>
            <w:tcW w:w="0" w:type="dxa"/>
            <w:vAlign w:val="bottom"/>
          </w:tcPr>
          <w:p>
            <w:pPr>
              <w:spacing w:after="0"/>
              <w:rPr>
                <w:sz w:val="1"/>
                <w:szCs w:val="1"/>
                <w:color w:val="auto"/>
              </w:rPr>
            </w:pPr>
          </w:p>
        </w:tc>
      </w:tr>
      <w:tr>
        <w:trPr>
          <w:trHeight w:val="212"/>
        </w:trPr>
        <w:tc>
          <w:tcPr>
            <w:tcW w:w="75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3,607,281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3,710,544</w:t>
            </w:r>
          </w:p>
        </w:tc>
        <w:tc>
          <w:tcPr>
            <w:tcW w:w="0" w:type="dxa"/>
            <w:vAlign w:val="bottom"/>
          </w:tcPr>
          <w:p>
            <w:pPr>
              <w:spacing w:after="0"/>
              <w:rPr>
                <w:sz w:val="1"/>
                <w:szCs w:val="1"/>
                <w:color w:val="auto"/>
              </w:rPr>
            </w:pPr>
          </w:p>
        </w:tc>
      </w:tr>
      <w:tr>
        <w:trPr>
          <w:trHeight w:val="19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185,297</w:t>
            </w:r>
          </w:p>
        </w:tc>
        <w:tc>
          <w:tcPr>
            <w:tcW w:w="0" w:type="dxa"/>
            <w:vAlign w:val="bottom"/>
          </w:tcPr>
          <w:p>
            <w:pPr>
              <w:spacing w:after="0"/>
              <w:rPr>
                <w:sz w:val="1"/>
                <w:szCs w:val="1"/>
                <w:color w:val="auto"/>
              </w:rPr>
            </w:pPr>
          </w:p>
        </w:tc>
      </w:tr>
      <w:tr>
        <w:trPr>
          <w:trHeight w:val="19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5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360,000 shares authorized, 66,730 and 66,670 shares issued and 32,559</w:t>
            </w: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32,077 shares outstanding, respectively</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378,877</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earnings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2,321,105</w:t>
            </w:r>
          </w:p>
        </w:tc>
        <w:tc>
          <w:tcPr>
            <w:tcW w:w="0" w:type="dxa"/>
            <w:vAlign w:val="bottom"/>
          </w:tcPr>
          <w:p>
            <w:pPr>
              <w:spacing w:after="0"/>
              <w:rPr>
                <w:sz w:val="1"/>
                <w:szCs w:val="1"/>
                <w:color w:val="auto"/>
              </w:rPr>
            </w:pPr>
          </w:p>
        </w:tc>
      </w:tr>
      <w:tr>
        <w:trPr>
          <w:trHeight w:val="21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Treasury stock, at cost (34,172 and 34,593 shares Class A Common Stock, respectively)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(232,831)</w:t>
            </w:r>
          </w:p>
        </w:tc>
        <w:tc>
          <w:tcPr>
            <w:tcW w:w="0" w:type="dxa"/>
            <w:vAlign w:val="bottom"/>
          </w:tcPr>
          <w:p>
            <w:pPr>
              <w:spacing w:after="0"/>
              <w:rPr>
                <w:sz w:val="1"/>
                <w:szCs w:val="1"/>
                <w:color w:val="auto"/>
              </w:rPr>
            </w:pPr>
          </w:p>
        </w:tc>
      </w:tr>
      <w:tr>
        <w:trPr>
          <w:trHeight w:val="207"/>
        </w:trPr>
        <w:tc>
          <w:tcPr>
            <w:tcW w:w="7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AMC Networks stockholders' equity</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1,080,275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1,048,051</w:t>
            </w:r>
          </w:p>
        </w:tc>
        <w:tc>
          <w:tcPr>
            <w:tcW w:w="0" w:type="dxa"/>
            <w:vAlign w:val="bottom"/>
          </w:tcPr>
          <w:p>
            <w:pPr>
              <w:spacing w:after="0"/>
              <w:rPr>
                <w:sz w:val="1"/>
                <w:szCs w:val="1"/>
                <w:color w:val="auto"/>
              </w:rPr>
            </w:pPr>
          </w:p>
        </w:tc>
      </w:tr>
      <w:tr>
        <w:trPr>
          <w:trHeight w:val="21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1,106,905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1,073,946</w:t>
            </w:r>
          </w:p>
        </w:tc>
        <w:tc>
          <w:tcPr>
            <w:tcW w:w="0" w:type="dxa"/>
            <w:vAlign w:val="bottom"/>
          </w:tcPr>
          <w:p>
            <w:pPr>
              <w:spacing w:after="0"/>
              <w:rPr>
                <w:sz w:val="1"/>
                <w:szCs w:val="1"/>
                <w:color w:val="auto"/>
              </w:rPr>
            </w:pPr>
          </w:p>
        </w:tc>
      </w:tr>
      <w:tr>
        <w:trPr>
          <w:trHeight w:val="232"/>
        </w:trPr>
        <w:tc>
          <w:tcPr>
            <w:tcW w:w="75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4,911,556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4,969,787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717,447</w:t>
            </w:r>
          </w:p>
        </w:tc>
      </w:tr>
      <w:tr>
        <w:trPr>
          <w:trHeight w:val="20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326,729</w:t>
            </w:r>
          </w:p>
        </w:tc>
      </w:tr>
      <w:tr>
        <w:trPr>
          <w:trHeight w:val="229"/>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185,606</w:t>
            </w: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23"/>
        </w:trPr>
        <w:tc>
          <w:tcPr>
            <w:tcW w:w="79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544,143</w:t>
            </w:r>
          </w:p>
        </w:tc>
      </w:tr>
      <w:tr>
        <w:trPr>
          <w:trHeight w:val="223"/>
        </w:trPr>
        <w:tc>
          <w:tcPr>
            <w:tcW w:w="79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173,304</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(37,617)</w:t>
            </w: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r>
      <w:tr>
        <w:trPr>
          <w:trHeight w:val="229"/>
        </w:trPr>
        <w:tc>
          <w:tcPr>
            <w:tcW w:w="7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Miscellaneous, net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23"/>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148,192</w:t>
            </w: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AMC Networks'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7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AMC Networks' stockholders: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162"/>
        </w:trPr>
        <w:tc>
          <w:tcPr>
            <w:tcW w:w="7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43,628</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43,837</w:t>
            </w:r>
          </w:p>
        </w:tc>
      </w:tr>
    </w:tbl>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691"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6"/>
              </w:rPr>
              <w:t>57,383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111,293</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rPr>
              <w:t>(13,297)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9"/>
                <w:szCs w:val="19"/>
                <w:color w:val="auto"/>
              </w:rPr>
            </w:pPr>
          </w:p>
        </w:tc>
        <w:tc>
          <w:tcPr>
            <w:tcW w:w="124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6"/>
              </w:rPr>
              <w:t>44,086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AMC Networks'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w w:val="96"/>
              </w:rPr>
              <w:t>32,831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114,938</w:t>
            </w:r>
          </w:p>
        </w:tc>
      </w:tr>
      <w:tr>
        <w:trPr>
          <w:trHeight w:val="21"/>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12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Networks</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380" w:type="dxa"/>
            <w:vAlign w:val="bottom"/>
            <w:gridSpan w:val="8"/>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Common   Paid-in   Accumulated</w:t>
            </w:r>
          </w:p>
        </w:tc>
        <w:tc>
          <w:tcPr>
            <w:tcW w:w="90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$ 378,877</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2,321,105</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(1,419,882)</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(232,831)</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1,048,051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25,895</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1,073,946</w:t>
            </w:r>
          </w:p>
        </w:tc>
        <w:tc>
          <w:tcPr>
            <w:tcW w:w="0" w:type="dxa"/>
            <w:vAlign w:val="bottom"/>
          </w:tcPr>
          <w:p>
            <w:pPr>
              <w:spacing w:after="0"/>
              <w:rPr>
                <w:sz w:val="1"/>
                <w:szCs w:val="1"/>
                <w:color w:val="auto"/>
              </w:rPr>
            </w:pPr>
          </w:p>
        </w:tc>
      </w:tr>
      <w:tr>
        <w:trPr>
          <w:trHeight w:val="122"/>
        </w:trPr>
        <w:tc>
          <w:tcPr>
            <w:tcW w:w="3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45,803</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45,803</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 adjustment to</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fair value</w:t>
            </w: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(13,297)</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0" w:type="dxa"/>
            <w:vAlign w:val="bottom"/>
          </w:tcPr>
          <w:p>
            <w:pPr>
              <w:spacing w:after="0"/>
              <w:rPr>
                <w:sz w:val="1"/>
                <w:szCs w:val="1"/>
                <w:color w:val="auto"/>
              </w:rPr>
            </w:pPr>
          </w:p>
        </w:tc>
      </w:tr>
      <w:tr>
        <w:trPr>
          <w:trHeight w:val="19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$ 369,877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2,365,524</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(1,410,105)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(245,803)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1,080,275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12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Networks</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7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380" w:type="dxa"/>
            <w:vAlign w:val="bottom"/>
            <w:gridSpan w:val="8"/>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   Paid-in   Accumulated</w:t>
            </w:r>
          </w:p>
        </w:tc>
        <w:tc>
          <w:tcPr>
            <w:tcW w:w="88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$ 360,251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2,105,641</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(1,419,882)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(239,798)</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806,988</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46,825</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853,813</w:t>
            </w:r>
          </w:p>
        </w:tc>
        <w:tc>
          <w:tcPr>
            <w:tcW w:w="0" w:type="dxa"/>
            <w:vAlign w:val="bottom"/>
          </w:tcPr>
          <w:p>
            <w:pPr>
              <w:spacing w:after="0"/>
              <w:rPr>
                <w:sz w:val="1"/>
                <w:szCs w:val="1"/>
                <w:color w:val="auto"/>
              </w:rPr>
            </w:pPr>
          </w:p>
        </w:tc>
      </w:tr>
      <w:tr>
        <w:trPr>
          <w:trHeight w:val="126"/>
        </w:trPr>
        <w:tc>
          <w:tcPr>
            <w:tcW w:w="32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103,610</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103,610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103,610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member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5,882</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$ 360,117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2,209,251</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(1,419,882)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(228,470)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921,796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111,293</w:t>
            </w: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r>
      <w:tr>
        <w:trPr>
          <w:trHeight w:val="23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Share-based compensation expenses related to equity classified awards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29"/>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and write-off of program rights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187,073</w:t>
            </w:r>
          </w:p>
        </w:tc>
      </w:tr>
      <w:tr>
        <w:trPr>
          <w:trHeight w:val="22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carriage fees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Unrealized foreign currency transaction loss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costs and discounts on indebtedness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9"/>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3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trade (including amounts due from related parties,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w:t>
            </w:r>
          </w:p>
        </w:tc>
      </w:tr>
      <w:tr>
        <w:trPr>
          <w:trHeight w:val="229"/>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76,032</w:t>
            </w:r>
          </w:p>
        </w:tc>
      </w:tr>
      <w:tr>
        <w:trPr>
          <w:trHeight w:val="22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Program rights and obligations,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(370,304)</w:t>
            </w:r>
          </w:p>
        </w:tc>
      </w:tr>
      <w:tr>
        <w:trPr>
          <w:trHeight w:val="230"/>
        </w:trPr>
        <w:tc>
          <w:tcPr>
            <w:tcW w:w="7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(64,702)</w:t>
            </w:r>
          </w:p>
        </w:tc>
      </w:tr>
      <w:tr>
        <w:trPr>
          <w:trHeight w:val="229"/>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(121,822)</w:t>
            </w:r>
          </w:p>
        </w:tc>
      </w:tr>
      <w:tr>
        <w:trPr>
          <w:trHeight w:val="223"/>
        </w:trPr>
        <w:tc>
          <w:tcPr>
            <w:tcW w:w="77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(132,519)</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r>
      <w:tr>
        <w:trPr>
          <w:trHeight w:val="230"/>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Deemed repurchases of restricted stock units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29"/>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r>
      <w:tr>
        <w:trPr>
          <w:trHeight w:val="23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3"/>
        </w:trPr>
        <w:tc>
          <w:tcPr>
            <w:tcW w:w="77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(28,310)</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from operations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(167,834)</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930,002</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763,932</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3"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52"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Includes our five national programming networks, our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AMC Networks International ("AMCNI"), our international programming businesses consisting of a portfolio of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around the world.</w:t>
      </w:r>
    </w:p>
    <w:p>
      <w:pPr>
        <w:spacing w:after="0" w:line="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2024, the Company updated the name of its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Statements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2023 contained in the Company's Annual Report on Form 10-K (our "2023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the results that might be expected for future interim periods or for the full year ending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reclassifications were made to the prior period amounts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Company will incorporate the required disclosure updates for the 2024 annual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other than contracts for which the Company has applied the practical expedients, the aggregate amount of transaction price allocated to future performance obligations was not material to our consolidated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(including long-term receivables within Other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750,390</w:t>
            </w:r>
          </w:p>
        </w:tc>
      </w:tr>
      <w:tr>
        <w:trPr>
          <w:trHeight w:val="230"/>
        </w:trPr>
        <w:tc>
          <w:tcPr>
            <w:tcW w:w="7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assets, short-term (included in Prepaid expenses and other 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34"/>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Contract liabilities, short-term (Deferred revenue)</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65,736</w:t>
            </w:r>
          </w:p>
        </w:tc>
      </w:tr>
    </w:tbl>
    <w:p>
      <w:pPr>
        <w:spacing w:after="0" w:line="1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recognized for the three months ended March 31, 2024 and 2023 relating to the contract liabilities at December 31, 2023 and 2022 was $24.7 million and $82.6 million, respectively.</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March 31, 2024, the Company had not yet sold any customer receivables under this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between basic and diluted weighted average common shares outstanding:</w:t>
      </w:r>
    </w:p>
    <w:p>
      <w:pPr>
        <w:spacing w:after="0" w:line="25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21590</wp:posOffset>
            </wp:positionV>
            <wp:extent cx="2005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43,837</w:t>
            </w: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and March 31, 2023, 0.2 million and 0.8 million, respectively, of restricted stock units have been excluded from diluted weighted average common shares outstanding, as their impact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Board of Directors previously authorized a program to repurchase up to $1.5 billion of its outstanding shares of common stock (the "Stock Repurchase Program"). The Stock Repurchase Program has no pre-established closing date and may be suspended or discontinued at any time. For the three months ended March 31, 2024 and 2023, the Company did not repurchase any shares of its Class A Common Stock. As of March 31, 2024, the Company had $135.3 million of authorization remaining for repurchase under the Stock Repurchase Program.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Related Charges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restructuring and other related charges for the three months ended March 31, 2024.</w:t>
      </w:r>
    </w:p>
    <w:p>
      <w:pPr>
        <w:spacing w:after="0" w:line="11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Restructuring and other related charges were $5.9 million for the three months ended March 31, 2023, consisting primarily of severance and other personnel costs related to a restructuring plan (the "Plan") that commenced on November 28, 2022. The Plan was designed to achieve significant cost reductions in light of “cord cutting” and the related impacts being felt across the media industry as well as the broader economic outlook. The Plan encompassed initiatives that included, among other things, strategic programming assessments and organizational restructuring costs. The Plan was intended to improve the organizational design of the Company through the elimination of certain roles and centralization of certain functional areas of the Company. The programming assessments pertained to a broad mix of owned and licensed content, including legacy television series and films that will no longer be in active rotation on the Company’s linear or streaming platforms.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restructuring and other related charges recognized by operating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9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35"/>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0"/>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r>
      <w:tr>
        <w:trPr>
          <w:trHeight w:val="223"/>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and other related charges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0"/>
        </w:trPr>
        <w:tc>
          <w:tcPr>
            <w:tcW w:w="9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accrued restructuring and other related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 and Employee-</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Content Impairments and</w:t>
            </w:r>
          </w:p>
        </w:tc>
        <w:tc>
          <w:tcPr>
            <w:tcW w:w="420" w:type="dxa"/>
            <w:vAlign w:val="bottom"/>
          </w:tcPr>
          <w:p>
            <w:pPr>
              <w:spacing w:after="0"/>
              <w:rPr>
                <w:sz w:val="16"/>
                <w:szCs w:val="16"/>
                <w:color w:val="auto"/>
              </w:rPr>
            </w:pPr>
          </w:p>
        </w:tc>
        <w:tc>
          <w:tcPr>
            <w:tcW w:w="1420" w:type="dxa"/>
            <w:vAlign w:val="bottom"/>
            <w:vMerge w:val="restart"/>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Accrued restructuring and other related costs of $7.9 million are included in Accrued liabilities in the condensed consolidated balance sheet at March 31, 2024. Accrued restructuring and other related costs of $12.1 million and $1.6 million are included in Accrued liabilities and Other liabilities, respectively, in the condensed consolidated balance sheet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460" w:right="218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Program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200" w:type="dxa"/>
            <w:vAlign w:val="bottom"/>
          </w:tcPr>
          <w:p>
            <w:pPr>
              <w:spacing w:after="0"/>
              <w:rPr>
                <w:sz w:val="14"/>
                <w:szCs w:val="14"/>
                <w:color w:val="auto"/>
              </w:rPr>
            </w:pPr>
          </w:p>
        </w:tc>
        <w:tc>
          <w:tcPr>
            <w:tcW w:w="170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587,345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701,729</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246,276</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833,621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948,005</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573,329</w:t>
            </w: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83,230</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818,414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532,839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672,202</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284,455</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817,294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956,657</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600,580</w:t>
            </w: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171,044</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851,348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1,802,653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 w:name="page12"/>
    <w:bookmarkEnd w:id="11"/>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Amortization, including write-offs, of owned and licensed program rights, included in Technical and operating expenses in the condensed consolidated statements of income,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color w:val="auto"/>
              </w:rPr>
              <w:t>Predominantly</w:t>
            </w:r>
          </w:p>
        </w:tc>
        <w:tc>
          <w:tcPr>
            <w:tcW w:w="200" w:type="dxa"/>
            <w:vAlign w:val="bottom"/>
          </w:tcPr>
          <w:p>
            <w:pPr>
              <w:spacing w:after="0"/>
              <w:rPr>
                <w:sz w:val="13"/>
                <w:szCs w:val="13"/>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w w:val="99"/>
              </w:rPr>
              <w:t>Predominantly</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color w:val="auto"/>
                <w:w w:val="99"/>
              </w:rPr>
              <w:t>Monetized</w:t>
            </w: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Individually</w:t>
            </w:r>
          </w:p>
        </w:tc>
        <w:tc>
          <w:tcPr>
            <w:tcW w:w="17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Monetized as a Group</w:t>
            </w:r>
          </w:p>
        </w:tc>
        <w:tc>
          <w:tcPr>
            <w:tcW w:w="4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3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Owned original program rights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24,852</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60,106</w:t>
            </w:r>
          </w:p>
        </w:tc>
        <w:tc>
          <w:tcPr>
            <w:tcW w:w="16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84,958</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115,963</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117,594</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 rights amortization</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26,483</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176,069</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202,552</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color w:val="auto"/>
              </w:rPr>
              <w:t>Predominantly</w:t>
            </w:r>
          </w:p>
        </w:tc>
        <w:tc>
          <w:tcPr>
            <w:tcW w:w="200" w:type="dxa"/>
            <w:vAlign w:val="bottom"/>
          </w:tcPr>
          <w:p>
            <w:pPr>
              <w:spacing w:after="0"/>
              <w:rPr>
                <w:sz w:val="13"/>
                <w:szCs w:val="13"/>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w w:val="99"/>
              </w:rPr>
              <w:t>Predominantly</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color w:val="auto"/>
                <w:w w:val="99"/>
              </w:rPr>
              <w:t>Monetized</w:t>
            </w: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Individually</w:t>
            </w:r>
          </w:p>
        </w:tc>
        <w:tc>
          <w:tcPr>
            <w:tcW w:w="17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Monetized as a Group</w:t>
            </w:r>
          </w:p>
        </w:tc>
        <w:tc>
          <w:tcPr>
            <w:tcW w:w="4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3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Owned original program rights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21,303</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44,936</w:t>
            </w:r>
          </w:p>
        </w:tc>
        <w:tc>
          <w:tcPr>
            <w:tcW w:w="16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66,239</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119,170</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120,834</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 rights amortization</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22,967</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164,106</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187,073</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 There were no significant program rights write-offs included in technical and operating expenses for the three months ended March 31, 2024 or 2023.</w:t>
      </w:r>
    </w:p>
    <w:p>
      <w:pPr>
        <w:spacing w:after="0" w:line="7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may qualify for tax incentives through eligible investments in productions. Receivables related to tax incentives earned on production spend as of March 31, 2024 consisted of $235.9 million recorded in Prepaid expenses and other current assets and $45.9 million recorded in Other assets. Receivables related to tax incentives earned on production spend as of December 31, 2023 consisted of $230.3 million recorded in Prepaid expenses and other current assets and $49.9 million recorded in Other assets.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holds several investments in and loans to non-consolidated entities which are included in Other assets in the condensed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Equity method investments were $83.6 million and $83.1 million at March 31, 2024 and December 31,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Securities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Investments in non-marketable equity securities were $42.6 million and $41.6 million at March 31, 2024 and December 31, 2023, respectively. No gains or losses were recorded on non-marketable equity securities for the three months ended March 31, 2024. During the three months ended March 31, 2023, the Company recognized an impairment charge of $1.2 million on an investment, which is included in Miscellaneous,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20" w:type="dxa"/>
            <w:vAlign w:val="bottom"/>
          </w:tcPr>
          <w:p>
            <w:pPr>
              <w:spacing w:after="0"/>
              <w:rPr>
                <w:sz w:val="18"/>
                <w:szCs w:val="18"/>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626,496</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622,190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and December 31, 2023, accumulated impairment charges in the International segment totaled $185.5 million.</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information relating to the Company's identifiable intangible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0" w:type="dxa"/>
            <w:vAlign w:val="bottom"/>
          </w:tcPr>
          <w:p>
            <w:pPr>
              <w:spacing w:after="0"/>
              <w:rPr>
                <w:sz w:val="1"/>
                <w:szCs w:val="1"/>
                <w:color w:val="auto"/>
              </w:rPr>
            </w:pP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Lives</w:t>
            </w:r>
          </w:p>
        </w:tc>
        <w:tc>
          <w:tcPr>
            <w:tcW w:w="0" w:type="dxa"/>
            <w:vAlign w:val="bottom"/>
          </w:tcPr>
          <w:p>
            <w:pPr>
              <w:spacing w:after="0"/>
              <w:rPr>
                <w:sz w:val="1"/>
                <w:szCs w:val="1"/>
                <w:color w:val="auto"/>
              </w:rPr>
            </w:pPr>
          </w:p>
        </w:tc>
      </w:tr>
      <w:tr>
        <w:trPr>
          <w:trHeight w:val="225"/>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772,111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(513,198)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776,094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(507,536)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amortizable intangible assets for the three months ended March 31, 2024 and 2023 was $8.6 million and $10.4 million, respectively. Estimated aggregate amortization expense for intangible assets subject to amortization for each of the following five years is: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36,332</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32,539</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93,866</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83,699</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385,838</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long-term debt included in the condensed consolidated balance sheet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0"/>
        </w:trPr>
        <w:tc>
          <w:tcPr>
            <w:tcW w:w="7320" w:type="dxa"/>
            <w:vAlign w:val="bottom"/>
            <w:tcBorders>
              <w:top w:val="single" w:sz="8" w:color="auto"/>
            </w:tcBorders>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Senior Secured Credit Facility: </w:t>
            </w:r>
            <w:r>
              <w:rPr>
                <w:rFonts w:ascii="Times New Roman" w:cs="Times New Roman" w:eastAsia="Times New Roman" w:hAnsi="Times New Roman"/>
                <w:sz w:val="25"/>
                <w:szCs w:val="25"/>
                <w:color w:val="auto"/>
                <w:vertAlign w:val="superscript"/>
              </w:rPr>
              <w:t>(a)</w:t>
            </w:r>
          </w:p>
        </w:tc>
        <w:tc>
          <w:tcPr>
            <w:tcW w:w="2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607,500</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4.75% Notes due August 2025</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774,729</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4.25% Notes due February 2029</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2,382,229</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2,361,749</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2,294,249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140" w:right="320" w:hanging="484"/>
        <w:spacing w:after="0" w:line="282" w:lineRule="auto"/>
        <w:tabs>
          <w:tab w:leader="none" w:pos="11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revolving credit facility remained undrawn at March 31, 2024. Total undrawn revolver commitments are available to be drawn for general corporate purposes of the Company.</w:t>
      </w:r>
    </w:p>
    <w:p>
      <w:pPr>
        <w:spacing w:after="0" w:line="5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repaid a total of $16.9 million of the principal amount of the Term Loan A Facility in accordance with the terms of the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9, 2024, AMC Networks entered into Amendment No. 3 ("Amendment No. 3") to the Second Amended and Restated Credit Agreement, dated as of July 28, 2017 (as amended to date and by Amendment No. 3,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Amendment No. 3, AMC Networks made a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addition, pursuant to Amendment No. 3, the maturity date of $325 million principal amount of loans under the Term Loan A Facility as well as all of the commitments under the Revolving Credit Facility has been extended to April 9, 2028. The maturity date of the remaining $100 million principal amount of loans under the Term Loan A Facility continues to be February 8, 2026. Amendment No. 3 also includes certain other modifications to covenants and other provisions of the Credit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 Offering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9, 2024, AMC Networks issued $875 million aggregate principal amount of 10.25% Senior Secured Notes due January 15, 2029 (the “Secured Notes”). AMC Networks received net proceeds of $863 million, after deducting underwriting discounts. The Secured Notes are guaranteed by AMC Network Entertainment and AMC Networks' subsidiaries that guarantee the Credit Agreement (the "Guarantors").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Secured Notes were issued pursuant to an Indenture, dated as of April 9, 2024 (the “Indenture”), among AMC Networks, the Guarantors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Trust Company, National Association, as Trustee.</w:t>
      </w:r>
    </w:p>
    <w:p>
      <w:pPr>
        <w:spacing w:after="0" w:line="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Secured Notes accrue interest at a rate of 10.25% per annum and mature on January 15, 2029. Interest is payable semiannually on January 15 and July 15 of each year, commencing on July 15, 2024. The Secured Notes are AMC Networks’ general senior secured obligations, secured on a first-priority basis by substantially all of AMC Networks’ and the Guarantors’ assets and property, subject to certain liens permitted under the Indenture, and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Notes, in each case, to the extent of the value of the collateral.</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or after January 15, 2026, AMC Networks may redeem the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January 15 of the years indicated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105.125%</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102.563%</w:t>
            </w: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optional redemption of the Secured Notes described above, at any time prior to January 15, 2026, AMC Networks may redeem up to 40% of the aggregate principal amount of the Secured Notes at a redemption price equal to 110.250% of the principal amount thereof, plus accrued and unpaid interest and additional interest, if any, using the net proceeds of certain equity offerings. At any time prior to January 15, 2026, AMC Networks may also redeem up to 10% of the aggregate principal amount of the Secured Notes during any twelve month period at a redemption price equal to 103.000% of the aggregate principal amount thereof, plus accrued and unpaid interest thereon to, but excluding, the redemption date.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at any time prior to January 15, 2026, AMC Networks may redeem the Secured Notes, at its option in whole or in part, at any time, at a redemption price equal to 100% of the principal amount thereof to be redeemed plus the “Applicable Premium” calculated as described in the Indenture at the Treasury rate + 50 basis points, and accrued and unpaid interest thereon, if any, to, but excluding, the redemption date.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 and Redemption of Senior Notes due August 2025</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leases included in the condensed consolidated balance sheets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2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6"/>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71,163</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28,971</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w:t>
            </w:r>
          </w:p>
        </w:tc>
      </w:tr>
      <w:tr>
        <w:trPr>
          <w:trHeight w:val="209"/>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72,797</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87,240</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March 31, 2024 and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At March 31, 2024:</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r>
      <w:tr>
        <w:trPr>
          <w:trHeight w:val="184"/>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61,894</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tcBorders>
            <w:shd w:val="clear" w:color="auto" w:fill="CCEEFF"/>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51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bl>
    <w:p>
      <w:pPr>
        <w:spacing w:after="0" w:line="18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cash equivalents (comprised of money market mutual funds) are classified within Level I of the fair value hierarchy because they are valued using quoted market prices.</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 Company did not have any material assets or liabilities measured at fair value on a recurring basis that would be considered Level III.</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36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540" w:type="dxa"/>
            <w:vAlign w:val="bottom"/>
          </w:tcPr>
          <w:p>
            <w:pPr>
              <w:spacing w:after="0"/>
              <w:rPr>
                <w:sz w:val="16"/>
                <w:szCs w:val="16"/>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5"/>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586,259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574,383</w:t>
            </w:r>
          </w:p>
        </w:tc>
      </w:tr>
      <w:tr>
        <w:trPr>
          <w:trHeight w:val="230"/>
        </w:trPr>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4.75%</w:t>
            </w:r>
          </w:p>
        </w:tc>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August 2025</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770,855</w:t>
            </w:r>
          </w:p>
        </w:tc>
      </w:tr>
      <w:tr>
        <w:trPr>
          <w:trHeight w:val="230"/>
        </w:trPr>
        <w:tc>
          <w:tcPr>
            <w:tcW w:w="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Notes due February 2029</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988,710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60" w:type="dxa"/>
            <w:vAlign w:val="bottom"/>
          </w:tcPr>
          <w:p>
            <w:pPr>
              <w:spacing w:after="0"/>
              <w:rPr>
                <w:sz w:val="18"/>
                <w:szCs w:val="18"/>
                <w:color w:val="auto"/>
              </w:rPr>
            </w:pPr>
          </w:p>
        </w:tc>
        <w:tc>
          <w:tcPr>
            <w:tcW w:w="15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5"/>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577,884</w:t>
            </w:r>
          </w:p>
        </w:tc>
      </w:tr>
      <w:tr>
        <w:trPr>
          <w:trHeight w:val="229"/>
        </w:trPr>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4.75%</w:t>
            </w:r>
          </w:p>
        </w:tc>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August 2025</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745,677</w:t>
            </w:r>
          </w:p>
        </w:tc>
      </w:tr>
      <w:tr>
        <w:trPr>
          <w:trHeight w:val="230"/>
        </w:trPr>
        <w:tc>
          <w:tcPr>
            <w:tcW w:w="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Notes due February 2029</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condensed consolidated balance sheets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80" w:type="dxa"/>
            <w:vAlign w:val="bottom"/>
            <w:gridSpan w:val="2"/>
          </w:tcPr>
          <w:p>
            <w:pPr>
              <w:ind w:left="14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2"/>
        </w:trPr>
        <w:tc>
          <w:tcPr>
            <w:tcW w:w="33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4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4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Current portion of program rights obligations</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bl>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of gains and losses related to the Company's derivative financial instruments not designated as hedging instruments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4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 Earnings on Derivatives</w:t>
            </w:r>
          </w:p>
        </w:tc>
        <w:tc>
          <w:tcPr>
            <w:tcW w:w="36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(Loss) Recognized in Earnings on</w:t>
            </w:r>
          </w:p>
        </w:tc>
        <w:tc>
          <w:tcPr>
            <w:tcW w:w="0" w:type="dxa"/>
            <w:vAlign w:val="bottom"/>
          </w:tcPr>
          <w:p>
            <w:pPr>
              <w:spacing w:after="0"/>
              <w:rPr>
                <w:sz w:val="1"/>
                <w:szCs w:val="1"/>
                <w:color w:val="auto"/>
              </w:rPr>
            </w:pPr>
          </w:p>
        </w:tc>
      </w:tr>
      <w:tr>
        <w:trPr>
          <w:trHeight w:val="214"/>
        </w:trPr>
        <w:tc>
          <w:tcPr>
            <w:tcW w:w="3040" w:type="dxa"/>
            <w:vAlign w:val="bottom"/>
          </w:tcPr>
          <w:p>
            <w:pPr>
              <w:spacing w:after="0"/>
              <w:rPr>
                <w:sz w:val="18"/>
                <w:szCs w:val="18"/>
                <w:color w:val="auto"/>
              </w:rPr>
            </w:pPr>
          </w:p>
        </w:tc>
        <w:tc>
          <w:tcPr>
            <w:tcW w:w="45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center"/>
              <w:ind w:left="757"/>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4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3220" w:type="dxa"/>
            <w:vAlign w:val="bottom"/>
            <w:tcBorders>
              <w:top w:val="single" w:sz="8" w:color="auto"/>
              <w:bottom w:val="single" w:sz="8" w:color="auto"/>
            </w:tcBorders>
            <w:gridSpan w:val="4"/>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Miscellaneous, net</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income tax expense was $23.6 million, representing an effective rate of 29%, as compared to the federal statutory rate of 21%. The effective rate differs from the federal statutory rate due primarily to state and local income tax expense, tax expense related to non-deductible compensation, tax expense for shortfalls related to share-based compensation and tax expense for an increase in the valuation allowance for foreign taxes.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income tax expense was $36.9 million, representing an effective rate of 25%, as compared to the federal statutory rate of 21%. The effective rate differs from the federal statutory rate due primarily to state and local income tax expense and tax expense for shortfalls related to share-based compensation.</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March 31, 2024, the Company had foreign tax credit carry forwards of approximately $50.3 million, expiring on various dates from 2024 through 2034. These carryforwards have been reduced to zero by a valuation allowance of $50.3 million as it is more likely than not that these carry forwards will not be realized.</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the Company's consolidated cash and cash equivalents balance of $690.5 million included approximately $132.1 million held by foreign subsidiaries. Of this amount, approximately $20.0 million is expected to be repatriated to the United States with the remaining amount continuing to be reinvested in foreign operations. Tax expense related to the expected repatriation amount has been accrued in prior periods and the Company does not expect to incur any significant, additional taxes related to the remaining balance.</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the first quarter of 2024 and as of March 31, 2024, the Pillar Two minimum tax requirement is not expected to have a material impact upon the Company's full year results of operations or financial position.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the Company's contractual obligations not reflected on the Company's condensed consolidated balance sheet increased $6.9 million, as compared to December 31, 2023, to $880.5 million. The increase was primarily driven by additional program rights commitments, partially offset by payments for program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the sum of approximately $7.8 million. The arbitral panel's decision did not have a material impact on the Company's financial condition or results of operations.</w:t>
      </w:r>
    </w:p>
    <w:p>
      <w:pPr>
        <w:spacing w:after="0" w:line="9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and the matter is proceeding to discovery. The trial for this matter, previously scheduled for September 17, 2024, has been rescheduled to May 6, 2025</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8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party to actions and claims arising from alleged violations of the federal Video Privacy Protection Act (the “VPPA”) and analogous state laws. In addition to certain putative class actions currently pending, the Company is facing a series of arbitration claims managed by multiple plaintiffs’ law firms. The class action complaints and the arbitration claims all allege that the Company’s use of a Meta Platforms, Inc. pixel on the websites for certain of its subscription video services, including AMC+ and Shudder, violated the privacy protection provisions of the VPPA and its state law analogues. On October 27, 2023, the Company reached a settlement with multiple plaintiffs relating to their pending class actions alleging violations of the VPPA and analogous state laws. On January 10, 2024, the class action settlement was preliminarily approved by the United States District Court for the Southern District of New York. The Company has also reached settlements to resolve the arbitration claims. All of the settlements reached by the Company in connection with these matters are expected to be reimbursed by the Company’s insurance carriers.</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Equity Plans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AMC Networks granted 2,016,192 restricted stock units ("RSUs") to certain executive officers and employees under the AMC Networks Inc. Amended and Restated 2016 Employee Stock Plan, which vest ratably over a three-year period.</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813,111 RSUs of AMC Networks Class A Common Stock previously issued to employees of the Company vested. On the vesting date, 331,383 RSUs were surrendered to AMC Networks to cover the required statutory tax withholding obligations and 481,728 shares of AMC Networks Class A Common Stock were issued. Units are surrendered to satisfy the employees' statutory minimum tax withholding obligations for the applicable income and other employment tax. The units surrendered during the three months ended March 31, 2024 had an aggregate value of $4.0 million, which has been reflected as a financing activity in the condensed consolidated statement of cash flows for the three months ended March 31, 2024.</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recorded share-based compensation expenses of $6.1 million and $5.9 million (including $0.3 million recorded as part of Restructuring and other related charges) for the three months ended March 31, 2024 and 2023, respectively. Share-based compensation expenses are recognized in the condensed consolidated statements of income as part of Selling, general and administrative expenses.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there was $41.9 million of total unrecognized share-based compensation cost related to outstanding unvested share-based awards. The unrecognized compensation cost is expected to be recognized over a weighted average remaining period of approximately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Redeemable Noncontrolling Interests</w:t>
      </w:r>
    </w:p>
    <w:p>
      <w:pPr>
        <w:spacing w:after="0" w:line="121"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Company's previous acquisitions of New Video Channel America L.L.C (owner of the cable channel BBC America) and RLJ Entertainment, the terms of the acquisition agreements provide the noncontrolling members with a right to put all of their noncontrolling interest to subsidiaries of the Company at a future time. Since the exercise of these put rights is outside the Company's control, the noncontrolling interest in each entity is presented as a redeemable noncontrolling interest outside of stockholders' equity on the Company's condensed consolidated balance sheet.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activity related to redeemable noncontrolling interest for the three months ended March 31,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14"/>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31, 2024</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185,297</w:t>
            </w: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29"/>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5"/>
        </w:trPr>
        <w:tc>
          <w:tcPr>
            <w:tcW w:w="92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14"/>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31, 2023</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253,669</w:t>
            </w: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29"/>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r>
      <w:tr>
        <w:trPr>
          <w:trHeight w:val="22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249,919</w:t>
            </w:r>
          </w:p>
        </w:tc>
      </w:tr>
      <w:tr>
        <w:trPr>
          <w:trHeight w:val="20"/>
        </w:trPr>
        <w:tc>
          <w:tcPr>
            <w:tcW w:w="9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and its related parties enter into transactions with each other in the ordinary course of business. Revenues, net from related parties amounted to $1.3 million and $1.3 million for the three months ended March 31, 2024 and 2023, respectively. Amounts charged to the Company, included in Selling, general and administrative expenses, pursuant to transactions with its related parties amounted to $0.4 million and $3.3 million for the three months ended March 31,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the Company's non-cash investing and financing activities and other supplemental data:</w:t>
      </w:r>
    </w:p>
    <w:p>
      <w:pPr>
        <w:spacing w:after="0" w:line="14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21590</wp:posOffset>
            </wp:positionV>
            <wp:extent cx="2177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additions</w:t>
            </w: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50,791</w:t>
            </w:r>
          </w:p>
        </w:tc>
      </w:tr>
      <w:tr>
        <w:trPr>
          <w:trHeight w:val="234"/>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(refunds) payments, net</w:t>
            </w:r>
          </w:p>
        </w:tc>
        <w:tc>
          <w:tcPr>
            <w:tcW w:w="2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Domestic Operations and International. These operating segments represent strategic business units that are managed separately.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2024, the Company updated the name of its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596,461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110,178</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7"/>
        </w:trPr>
        <w:tc>
          <w:tcPr>
            <w:tcW w:w="4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404,220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133,644</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537,864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717,447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Subscription revenues in the Domestic Operations segment include revenues related to the Company's streaming services of $145.1 million and $140.9 million for the three months ended March 31, 2024 and 2023.</w:t>
      </w:r>
    </w:p>
    <w:p>
      <w:pPr>
        <w:spacing w:after="0" w:line="5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Corporate overhead costs not allocated to the segments include costs such as executive salaries and benefits and costs of maintaining corporate headquarters, facilities and common support functions.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Inter-segment eliminations are primarily licensing revenues recognized between the Domestic Operations and International segments.</w:t>
      </w:r>
    </w:p>
    <w:p>
      <w:pPr>
        <w:spacing w:after="0" w:line="20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21590</wp:posOffset>
            </wp:positionV>
            <wp:extent cx="2057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3"/>
        </w:trPr>
        <w:tc>
          <w:tcPr>
            <w:tcW w:w="80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revenues based on customer location:</w:t>
      </w:r>
    </w:p>
    <w:p>
      <w:pPr>
        <w:spacing w:after="0" w:line="20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21590</wp:posOffset>
            </wp:positionV>
            <wp:extent cx="2057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606,228</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73,767</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37,452</w:t>
            </w:r>
          </w:p>
        </w:tc>
      </w:tr>
      <w:tr>
        <w:trPr>
          <w:trHeight w:val="248"/>
        </w:trPr>
        <w:tc>
          <w:tcPr>
            <w:tcW w:w="8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717,447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One customer within the Domestic Operations segment accounted for approximately 15% and 13% of consolidated revenues, net for the three months ended March 31, 2024 and 2023, respectively.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146,314</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30"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63" w:lineRule="exact"/>
        <w:rPr>
          <w:rFonts w:ascii="Times New Roman" w:cs="Times New Roman" w:eastAsia="Times New Roman" w:hAnsi="Times New Roman"/>
          <w:sz w:val="18"/>
          <w:szCs w:val="18"/>
          <w:color w:val="auto"/>
        </w:rPr>
      </w:pPr>
    </w:p>
    <w:p>
      <w:pPr>
        <w:ind w:left="820" w:hanging="326"/>
        <w:spacing w:after="0" w:line="261"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including changes in viewer consumption patterns, for our programming networks, our subscription streaming services, our programming, and our production services;</w:t>
      </w: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streaming and programming industries;</w:t>
      </w:r>
    </w:p>
    <w:p>
      <w:pPr>
        <w:spacing w:after="0" w:line="27" w:lineRule="exact"/>
        <w:rPr>
          <w:rFonts w:ascii="Times New Roman" w:cs="Times New Roman" w:eastAsia="Times New Roman" w:hAnsi="Times New Roman"/>
          <w:sz w:val="18"/>
          <w:szCs w:val="18"/>
          <w:color w:val="auto"/>
        </w:rPr>
      </w:pPr>
    </w:p>
    <w:p>
      <w:pPr>
        <w:ind w:left="820" w:right="20" w:hanging="326"/>
        <w:spacing w:after="0" w:line="258"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our owned original programming and our film content;</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and artistic talent;</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strikes, including those related to the Writers, Directors, and Screen Actors guilds;</w:t>
      </w:r>
    </w:p>
    <w:p>
      <w:pPr>
        <w:spacing w:after="0" w:line="2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distributors;</w:t>
      </w:r>
    </w:p>
    <w:p>
      <w:pPr>
        <w:spacing w:after="0" w:line="27" w:lineRule="exact"/>
        <w:rPr>
          <w:rFonts w:ascii="Times New Roman" w:cs="Times New Roman" w:eastAsia="Times New Roman" w:hAnsi="Times New Roman"/>
          <w:sz w:val="18"/>
          <w:szCs w:val="18"/>
          <w:color w:val="auto"/>
        </w:rPr>
      </w:pPr>
    </w:p>
    <w:p>
      <w:pPr>
        <w:ind w:left="820" w:hanging="326"/>
        <w:spacing w:after="0" w:line="258"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 including increases in inflation rates and recession risk;</w:t>
      </w: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United States or in the countries in which we operate;</w:t>
      </w:r>
    </w:p>
    <w:p>
      <w:pPr>
        <w:spacing w:after="0" w:line="22" w:lineRule="exact"/>
        <w:rPr>
          <w:rFonts w:ascii="Times New Roman" w:cs="Times New Roman" w:eastAsia="Times New Roman" w:hAnsi="Times New Roman"/>
          <w:sz w:val="18"/>
          <w:szCs w:val="18"/>
          <w:color w:val="auto"/>
        </w:rPr>
      </w:pPr>
    </w:p>
    <w:p>
      <w:pPr>
        <w:ind w:left="820" w:right="480" w:hanging="326"/>
        <w:spacing w:after="0" w:line="259"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proposed federal, state and international laws and regulations relating to data protection, privacy and security, including the European Union's General Data Protection Regulation ("GDPR"), the California Consumer Privacy Act ("CCPA") and other similar comprehensive privacy and security laws that have been or may be enacted in other states;</w:t>
      </w: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or inability to access, capital or credit markets, or significant increases in costs to borrow;</w:t>
      </w:r>
    </w:p>
    <w:p>
      <w:pPr>
        <w:spacing w:after="0" w:line="2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22" w:lineRule="exact"/>
        <w:rPr>
          <w:rFonts w:ascii="Times New Roman" w:cs="Times New Roman" w:eastAsia="Times New Roman" w:hAnsi="Times New Roman"/>
          <w:sz w:val="18"/>
          <w:szCs w:val="18"/>
          <w:color w:val="auto"/>
        </w:rPr>
      </w:pPr>
    </w:p>
    <w:p>
      <w:pPr>
        <w:ind w:left="820" w:right="320" w:hanging="326"/>
        <w:spacing w:after="0" w:line="263"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ind w:left="820" w:right="440" w:hanging="326"/>
        <w:spacing w:after="0" w:line="261"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and other proceedings;</w:t>
      </w:r>
    </w:p>
    <w:p>
      <w:pPr>
        <w:spacing w:after="0" w:line="2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health emergencies on the economy and our business;</w:t>
      </w:r>
    </w:p>
    <w:p>
      <w:pPr>
        <w:spacing w:after="0" w:line="22" w:lineRule="exact"/>
        <w:rPr>
          <w:rFonts w:ascii="Times New Roman" w:cs="Times New Roman" w:eastAsia="Times New Roman" w:hAnsi="Times New Roman"/>
          <w:sz w:val="18"/>
          <w:szCs w:val="18"/>
          <w:color w:val="auto"/>
        </w:rPr>
      </w:pPr>
    </w:p>
    <w:p>
      <w:pPr>
        <w:ind w:left="820" w:right="220" w:hanging="326"/>
        <w:spacing w:after="0" w:line="263"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our control, such as political unrest in international markets, terrorist attacks, natural disasters and other similar events; and</w:t>
      </w:r>
    </w:p>
    <w:p>
      <w:pPr>
        <w:ind w:left="820" w:right="620" w:hanging="326"/>
        <w:spacing w:after="0" w:line="281"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our 2023 Annual Report on Form 10-K (the "2023 Form 10-K"), as filed with the Securities and Exchange Commission ("SEC").</w:t>
      </w:r>
    </w:p>
    <w:p>
      <w:pPr>
        <w:spacing w:after="0" w:line="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2023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spacing w:after="0" w:line="73"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This section provides a general description of our business and our operating segments, as well as other matters that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important in understanding our results of operations and financial condition and in anticipating future trends.</w:t>
      </w:r>
    </w:p>
    <w:p>
      <w:pPr>
        <w:spacing w:after="0" w:line="50"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provides an analysis of our results of operations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2023. Our discussion is presented on both a consolidated and segment basis. Our two segments are: (i) Domestic Operations and (ii) International.</w:t>
      </w:r>
    </w:p>
    <w:p>
      <w:pPr>
        <w:spacing w:after="0" w:line="65"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 discussion of our financial condition as of March 31, 2024, as well as an analysis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for the three months ended March 31, 2024 and 2023. The discussion of our financial condition and liquidity also includes summaries of (i) our primary sources of liquidity and (ii) our contractual obligations that existed at March 31, 2024 as compared to December 31, 2023.</w:t>
      </w:r>
    </w:p>
    <w:p>
      <w:pPr>
        <w:spacing w:after="0" w:line="65"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an update, if any, to our significant accounting policies or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since December 31, 2023.</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18" w:lineRule="exact"/>
        <w:rPr>
          <w:sz w:val="20"/>
          <w:szCs w:val="20"/>
          <w:color w:val="auto"/>
        </w:rPr>
      </w:pPr>
    </w:p>
    <w:p>
      <w:pPr>
        <w:jc w:val="both"/>
        <w:ind w:right="20" w:firstLine="445"/>
        <w:spacing w:after="0" w:line="230"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(loss) and adjusted operating income (loss) ("AOI")</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for the periods indicated.</w:t>
      </w:r>
    </w:p>
    <w:p>
      <w:pPr>
        <w:spacing w:after="0" w:line="17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21590</wp:posOffset>
            </wp:positionV>
            <wp:extent cx="2091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92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524,226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717,447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92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92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5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162,319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219,388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215,763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76" w:lineRule="exact"/>
        <w:rPr>
          <w:sz w:val="20"/>
          <w:szCs w:val="20"/>
          <w:color w:val="auto"/>
        </w:rPr>
      </w:pPr>
    </w:p>
    <w:p>
      <w:pPr>
        <w:ind w:right="80" w:firstLine="8"/>
        <w:spacing w:after="0" w:line="205" w:lineRule="auto"/>
        <w:tabs>
          <w:tab w:leader="none" w:pos="10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Adjusted Operating Income (Loss), is a non-GAAP financial measure. See the "Non-GAAP Financial Measures" section on page 33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15" w:lineRule="exact"/>
        <w:rPr>
          <w:sz w:val="20"/>
          <w:szCs w:val="20"/>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Includes our five programming networks, our streaming services,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programming networks are AMC, WE tv, BBC AMERICA,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AMC Networks International ("AMCNI"), our international programming businesses consisting of a portfolio of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around the world.</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2024, we updated the name of our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Domestic Operations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Subscription revenue includes fees paid by distributors and consumers for our programming networks and streaming services. Subscription fees paid by distributors represent the largest component of distribution revenue. Substantially all of our subscription revenues for our programming networks are based on a per subscriber fee, commonly referred to as "affiliation agreements". The subscription revenues we earn vary from period to period, distributor to distributor and also vary among our programming services, but are generally based on the impact of renewals of affiliation agreements and upon the number of each distributor's subscribers who receive our programming, referred to as viewing subscribers. Subscription fees for our streaming services are typically based on a per subscriber fee and are generally paid by distributors and consumers on a monthly basis.</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Most of our advertising revenues vary based on the timing of our original programming series and the popularity of our programming as measured by Nielsen.</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Programming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predominantly monetized individually are amortized based on the individual-film-forecast-computation method.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w:t>
      </w: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International segment consists of the operations of AMCNI, which earns revenue principally from the international distribution of programming and, to a lesser extent, the sale of advertising from our AMCNI programming networks. For the three months ended March 31, 2024, distribution revenues represented 72% of the revenues of the International segment. Distribution revenue primarily includes subscription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w:t>
      </w:r>
    </w:p>
    <w:p>
      <w:pPr>
        <w:spacing w:after="0" w:line="7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Programming expenses and program operating costs are included in technical and operating expenses, and represent the largest expense of the International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Corporate / Inter-segment Eliminations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factors and circumstances, particularly high inflation and interest rates, may adversely impact our results of operations, cash flows and financial position or our ability to refinance our indebtedness on terms favorable to us, or at all.</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0"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condensed consolidated statements of income notwithstanding that a third-party owns an interest, which may be significant, in such entity. The noncontrolling owner's interest in the operating results of consolidated subsidiaries are reflected in net income or loss attributable to noncontrolling interests in our condensed consolidated statements of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404,220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3"/>
        </w:trPr>
        <w:tc>
          <w:tcPr>
            <w:tcW w:w="6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Distribution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537,864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717,447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486,283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544,143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AMC Networks' stockholders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Subscription revenues decreased primarily due to a 7.2% decrease in our Domestic Operations segment due to a decline in affiliate revenues, partially offset by an increase in streaming revenues, as well as a 10.3% decrease in our International segment primarily due to the non-renewal of an AMCNI distribution agreement in the U.K. in the fourth quarter of 2023. We expect linear subscriber declines to continue, consistent with the declines across the cable ecosystem.</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Content licensing and other revenues decreased 40.1% in our Domestic Operations segment primarily due to the availability of deliveries in the period, including $56.1 million of revenue associated with the first quarter 2023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an AMC Studios produced series, as well as a 90.2% decrease in our International segment due to the divestiture of the 25/7 Media business on December 29, 2023. We expect content licensing revenues in our Domestic Operations segment to face continued pressure in 2024 due to reduced availability of original programming.</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Advertising revenues decreased 13.2% in our Domestic Operations segment primarily due to linear ratings declines and continued softness in the advertising market, partially offset by digital and advanced advertising revenue growth. The decrease in our Domestic Operations segment was partially offset by an increase of 16.2% in our International segment, primarily due to increased ratings and growth across Central and Northern Europe advertising markets, as well as digital and advanced advertising growth in the U.K. We expect advertising revenue in our Domestic Operations segment to continue to decline as the advertising market gravitates toward other distribution platforms.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components of technical and operating expenses primarily include the amortization of program rights, such as those for original programming, feature films and licensed series, and other direct programming costs, such as participation and residual costs, distribution and production related costs and program delivery costs, such as transmission, encryption, hosting, and formatting.</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spacing w:after="0" w:line="4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decreased 11.0% in our Domestic Operations segment primarily due to the first quarter 2023 impact associated with the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an AMC Studios produced series, partially offset by an increase in program rights amortization, as well as a 44.5% decrease in our International segment primarily due to the divestiture of the 25/7 Media business on December 29,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selling, general and administrative expenses primarily include sales, marketing and advertising expenses, administrative costs and costs of non-production facilities.</w:t>
      </w:r>
    </w:p>
    <w:p>
      <w:pPr>
        <w:spacing w:after="0" w:line="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in the level of our selling, general and administrative expenses due to the timing of promotions and marketing of original programming series.</w:t>
      </w:r>
    </w:p>
    <w:p>
      <w:pPr>
        <w:spacing w:after="0" w:line="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(including share-based compensation expenses) increased 1.5% in our Domestic Operations segment primarily due to higher marketing and subscriber acquisition expenses in support of a larger content slate, partially offset by lower employee related costs and increased 7.8% in our International segment primarily due to an increase in corporate overhead costs allocated to AMCNI.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and other related charges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restructuring and other related charges for the three months ended March 31, 2024.</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restructuring and other related charges of $5.9 million consisted primarily of severance and other employee-related costs, with $0.8 million related to Domestic Operations, $1.4 million related to AMCNI and $3.7 million related to Corporate.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operating income was primarily attributable to a decrease in revenues, net of $121.0 million, partially offset by a decrease in technical and operating expenses of $55.2 million and restructuring and other related charges of $5.9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net was primarily due to an overall lower outstanding debt balance. Interest expense will increase through the remainder of 2024 as a result of the refinancing transactions described under “Liquidity and Capital Resources,” including the issuance of the 10.25% Senior Secured Notes due 2029.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Miscellaneous, net</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miscellaneous, net was primarily related to the impact of foreign currency fluctuations.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income tax expense was $23.6 million, representing an effective tax rate of 29%. The effective tax rate differs from the federal statutory rate of 21% primarily due to state and local income tax expense, tax expense related to non-deductible compensation, tax expense for shortfalls related to share-based compensation and tax expense for an increase in the valuation allowance for foreign taxes.</w:t>
      </w:r>
    </w:p>
    <w:p>
      <w:pPr>
        <w:spacing w:after="0" w:line="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income tax expense was $36.9 million, representing an effective tax rate of 25%. The effective tax rate differs from the federal statutory rate of 21% primarily due to state and local income tax expense and tax expense for shortfalls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Domestic Operations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322,558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3"/>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450,793</w:t>
            </w:r>
          </w:p>
        </w:tc>
        <w:tc>
          <w:tcPr>
            <w:tcW w:w="1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6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611,854</w:t>
            </w:r>
          </w:p>
        </w:tc>
        <w:tc>
          <w:tcPr>
            <w:tcW w:w="1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126,232</w:t>
            </w:r>
          </w:p>
        </w:tc>
        <w:tc>
          <w:tcPr>
            <w:tcW w:w="1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00" w:hanging="188"/>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 cloud computing amortization</w:t>
      </w:r>
    </w:p>
    <w:p>
      <w:pPr>
        <w:spacing w:after="0" w:line="41" w:lineRule="exact"/>
        <w:rPr>
          <w:rFonts w:ascii="Times New Roman" w:cs="Times New Roman" w:eastAsia="Times New Roman" w:hAnsi="Times New Roman"/>
          <w:sz w:val="14"/>
          <w:szCs w:val="14"/>
          <w:color w:val="auto"/>
        </w:rPr>
      </w:pPr>
    </w:p>
    <w:p>
      <w:pPr>
        <w:ind w:left="720" w:hanging="208"/>
        <w:spacing w:after="0"/>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9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Subscription revenues decreased primarily due to a 14.1% decline in affiliate revenues, partially offset by a 3.0% increase in streaming revenues. Affiliate revenues decreased primarily due to basic subscriber declines. Streaming revenues increased due to year-over-year subscriber growth and price increases. Subscription revenues include revenues related to the Company's streaming services of $145.1 million and $140.9 million for the three months ended March 31, 2024 and 2023, respectively. Aggregate paid subscribers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to our streaming services increased 2.4% to 11.5 million at March 31, 2024 compared to 11.2 million at March 31, 2023.</w:t>
      </w:r>
    </w:p>
    <w:p>
      <w:pPr>
        <w:spacing w:after="0" w:line="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Content licensing and other revenues decreased primarily due to the availability of deliveries in the period, including $56.1 million of revenue associated with the first quarter 2023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an AMC Studios produced series, partially offset by the sale of our rights and interests to </w:t>
      </w:r>
      <w:r>
        <w:rPr>
          <w:rFonts w:ascii="Times New Roman" w:cs="Times New Roman" w:eastAsia="Times New Roman" w:hAnsi="Times New Roman"/>
          <w:sz w:val="18"/>
          <w:szCs w:val="18"/>
          <w:i w:val="1"/>
          <w:iCs w:val="1"/>
          <w:color w:val="auto"/>
        </w:rPr>
        <w:t>Killing Eve</w:t>
      </w:r>
      <w:r>
        <w:rPr>
          <w:rFonts w:ascii="Times New Roman" w:cs="Times New Roman" w:eastAsia="Times New Roman" w:hAnsi="Times New Roman"/>
          <w:sz w:val="18"/>
          <w:szCs w:val="18"/>
          <w:color w:val="auto"/>
        </w:rPr>
        <w:t xml:space="preserve"> in the first quarter of 2024.</w:t>
      </w:r>
    </w:p>
    <w:p>
      <w:pPr>
        <w:spacing w:after="0" w:line="8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Advertising revenues decreased due to linear ratings declines and continued softness in the advertising market, partially offset by digital and advanced advertising revenue growth.</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decreased primarily due to the first quarter 2023 impact associated with the delivery of the remaining episodes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an AMC Studios produced series, partially offset by an increase in program rights amortization driven by the slate of AMC Originals premiering throughout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higher marketing and subscriber acquisition expenses in support of a larger content slate, partially offset by lower employee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the revenue headwinds in our linear businesses. Our continued cost measures and prudent investments, including disciplined acquisition marketing efforts, have mitigated the impact of such headwinds and limited the resulting margin decline from prior year to mid-single digits.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4" w:lineRule="exact"/>
        <w:rPr>
          <w:sz w:val="20"/>
          <w:szCs w:val="20"/>
          <w:color w:val="auto"/>
        </w:rPr>
      </w:pPr>
    </w:p>
    <w:p>
      <w:pPr>
        <w:ind w:right="120" w:firstLine="8"/>
        <w:spacing w:after="0" w:line="205" w:lineRule="auto"/>
        <w:tabs>
          <w:tab w:leader="none" w:pos="94"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 paid subscription is defined as a subscription to a direct-to-consumer service or a subscription received through distributor arrangements, in which we receive a fee for the distribution of our streaming services.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International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56,690</w:t>
            </w:r>
          </w:p>
        </w:tc>
        <w:tc>
          <w:tcPr>
            <w:tcW w:w="10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3"/>
        </w:trPr>
        <w:tc>
          <w:tcPr>
            <w:tcW w:w="6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Distribution and other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10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6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108,072</w:t>
            </w:r>
          </w:p>
        </w:tc>
        <w:tc>
          <w:tcPr>
            <w:tcW w:w="10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(36.6)%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(a) Selling, general and administrative expenses exclude share-based compensation expenses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8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Subscription revenues decreased primarily due to the non-renewal of an AMCNI distribution agreement in the U.K. in the fourth quarter of 2023.</w:t>
      </w:r>
    </w:p>
    <w:p>
      <w:pPr>
        <w:spacing w:after="0" w:line="1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Content licensing and other revenues decreased due to the divestiture of the 25/7 Media business on December 29, 2023. 25/7 Media generated $30.1 million of content licensing and other revenue in the first quarter of 2023.</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Advertising revenues increased primarily due to increased ratings and growth across Central and Northern Europe advertising markets, as well as digital and advanced advertising growth in the U.K.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primarily due to the divestiture of the 25/7 Media business on December 29, 2023. 25/7 Media incurred $23.9 million of technical and operating expenses in the first quarter of 2023. The remaining decrease was primarily attributable to content cost savings associated with the non-renewal of an AMCNI distribution agreement in the U.K. in the fourth quarter of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an increase in corporate overhead costs allocated to AMCNI, partially offset by the divestiture of the 25/7 Media business on December 29, 2023. 25/7 Media incurred $4.4 million of selling, general and administrative expenses in the first quarter of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an increase in corporate overhead costs allocated to AMCNI, the impact of the non-renewal of an AMCNI distribution agreement in the U.K., and the divestiture of the 25/7 Media business on December 29, 2023. 25/7 Media generated $1.8 million of adjusted operating income in the first quarter of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Inter-segment Elimination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Corporate and Inter-segment Eliminations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00" w:hanging="188"/>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 cloud computing amortization</w:t>
      </w:r>
    </w:p>
    <w:p>
      <w:pPr>
        <w:spacing w:after="0" w:line="41" w:lineRule="exact"/>
        <w:rPr>
          <w:rFonts w:ascii="Times New Roman" w:cs="Times New Roman" w:eastAsia="Times New Roman" w:hAnsi="Times New Roman"/>
          <w:sz w:val="14"/>
          <w:szCs w:val="14"/>
          <w:color w:val="auto"/>
        </w:rPr>
      </w:pPr>
    </w:p>
    <w:p>
      <w:pPr>
        <w:ind w:left="720" w:hanging="208"/>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net</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eliminations are primarily related to inter-segment licensing revenues recognized between the Domestic Operations and International segments.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Technical and operating expense eliminations are primarily related to inter-segment programming amortization recognized between the Domestic Operations and International segments.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Corporate overhead costs not allocated to the segments include such costs as executive salaries and benefits, costs of maintaining corporate headquarters, facilities and common support functions.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decreased primarily due to lower employee related costs.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April 9, 2024, AMC Networks entered into Amendment No. 3 ("Amendment No. 3") to the Second Amended and Restated Credit Agreement, dated as of July 28, 2017 (as amended to date and by Amendment No. 3,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connection with Amendment No. 3, AMC Networks made a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addition, pursuant to Amendment No. 3, the maturity date of $325 million principal amount of loans under the Term Loan A Facility as well as all of the commitments under the Revolving Credit Facility has been extended to April 9, 2028. The maturity date of the remaining $100 million principal amount of loans under the Term Loan A Facility continues to be February 8, 2026. Amendment No. 3 also includes certain other modifications to covenants and other provisions of the Credit Agreement.</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April 9, 2024, AMC Networks issued $875 million aggregate principal amount of 10.25% Senior Secured Notes due January 15, 2029 (the “Secured Notes”). AMC Networks received net proceeds of $863.0 million, after deducting underwriting discounts. The Secured Notes are guaranteed by AMC Network Entertainment and AMC Networks' subsidiaries that guarantee the Credit Agreement (the "Guarantors").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the Company's consolidated cash and cash equivalents balance of $690.5 million included approximately $132.1 million held by foreign subsidiaries. Of this amount, approximately $20.0 million is expected to be repatriated to the United States with the remaining amount continuing to be reinvested in foreign operations. Tax expense related to the expected repatriation amount has been accrued in prior periods and the Company does not expect to incur any significant, additional taxes related to the remaining balance.</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availability under our revolving credit facility and our accounts receivable monetization program, borrowings under additional financing facilities and proceeds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from the issuance of the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2023 Form 10-K. In addition, economic or market disruptions could lead to lower demand for our services, such as loss of subscribers and lower levels of advertising. These events would adversely impact our results of operations, cash flows and financial position.</w:t>
      </w:r>
    </w:p>
    <w:p>
      <w:pPr>
        <w:spacing w:after="0" w:line="7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revolving credit facility was not drawn upon at March 31, 2024. The total undrawn revolver commitment is available to be drawn for our general corporate purposes.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AMC Networks was in compliance with all of its debt covenants as of March 31, 2024.</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operating, investing and financing activities for the periods indicated:</w:t>
      </w:r>
    </w:p>
    <w:p>
      <w:pPr>
        <w:spacing w:after="0" w:line="201"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21590</wp:posOffset>
            </wp:positionV>
            <wp:extent cx="2297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(132,519)</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from operations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(167,834)</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activities for the three months ended March 31, 2024 and 2023 amounted to $150.9 million and $(132.5) million, respectively.</w:t>
      </w:r>
    </w:p>
    <w:p>
      <w:pPr>
        <w:spacing w:after="0" w:line="6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operating activities primarily resulted from $294.8 million of net income before amortization of program rights, depreciation and amortization, and other non-cash items, partially offset by payments for program rights of $193.0 million. Changes in all other assets and liabilities resulted in a net cash inflow of $49.1 million.</w:t>
      </w:r>
    </w:p>
    <w:p>
      <w:pPr>
        <w:spacing w:after="0" w:line="8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2023, net cash used in operating activities primarily resulted from payments for program rights of $370.3 million and restructuring initiatives of $56.9 million, partially offset by $332.4 million of net income before amortization of program rights, depreciation and amortization, and other non-cash items. Changes in all other assets and liabilities during the quarter resulted in a net cash outflow of $37.7 million.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and 2023 amounted to $2.8 million and $7.0 million, respectively.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consisted primarily of capital expenditures.</w:t>
      </w:r>
    </w:p>
    <w:p>
      <w:pPr>
        <w:spacing w:after="0" w:line="11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used in investing activities consisted of capital expenditures of $11.5 million, partially offset by proceeds from the sale of investments of $4.5 million.</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and 2023 amounted to $23.1 million and $28.3 million, respectively.</w:t>
      </w:r>
    </w:p>
    <w:p>
      <w:pPr>
        <w:spacing w:after="0" w:line="117"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financing activities primarily consisted of principal payments on the Term Loan A Facility of $16.9 million and taxes paid in lieu of shares issued for equity-based compensation of $4.0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primarily consisted of distributions to noncontrolling interests of $11.5 million, principal payments on the Term Loan A Facility of $8.4 million, and taxes paid in lieu of shares issued for equity-based compensation of $6.0 million.</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23"/>
          <w:szCs w:val="23"/>
          <w:i w:val="1"/>
          <w:iCs w:val="1"/>
          <w:color w:val="auto"/>
          <w:vertAlign w:val="superscript"/>
        </w:rPr>
        <w:t>3</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Free Cash Flow for the periods indicated:</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150,869</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(132,519)</w:t>
            </w:r>
          </w:p>
        </w:tc>
      </w:tr>
      <w:tr>
        <w:trPr>
          <w:trHeight w:val="234"/>
        </w:trPr>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50"/>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144,149</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(144,017)</w:t>
            </w:r>
          </w:p>
        </w:tc>
      </w:tr>
      <w:tr>
        <w:trPr>
          <w:trHeight w:val="40"/>
        </w:trPr>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240" w:space="720"/>
            <w:col w:w="3280"/>
          </w:cols>
          <w:pgMar w:left="320" w:top="999" w:right="339" w:bottom="1440" w:gutter="0" w:footer="0" w:header="0"/>
          <w:type w:val="continuous"/>
        </w:sect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free cash flow is reflective of our cost management measures, including remaining prudent with our investments in programming, and due to the timing of payments made in connection with our restructuring initiatives.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Pr>
          <w:p>
            <w:pPr>
              <w:spacing w:after="0"/>
              <w:rPr>
                <w:sz w:val="17"/>
                <w:szCs w:val="17"/>
                <w:color w:val="auto"/>
              </w:rPr>
            </w:pPr>
          </w:p>
        </w:tc>
        <w:tc>
          <w:tcPr>
            <w:tcW w:w="2960" w:type="dxa"/>
            <w:vAlign w:val="bottom"/>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(56,886)</w:t>
            </w:r>
          </w:p>
        </w:tc>
      </w:tr>
      <w:tr>
        <w:trPr>
          <w:trHeight w:val="234"/>
        </w:trPr>
        <w:tc>
          <w:tcPr>
            <w:tcW w:w="20" w:type="dxa"/>
            <w:vAlign w:val="bottom"/>
          </w:tcPr>
          <w:p>
            <w:pPr>
              <w:spacing w:after="0"/>
              <w:rPr>
                <w:sz w:val="20"/>
                <w:szCs w:val="20"/>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r>
    </w:tbl>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our contractual obligations not reflected on the condensed consolidated balance sheet increased $6.9 million, as compared to December 31, 2023, to $880.5 million. The increase was primarily driven by additional program rights commitments, partially offset by payments for program rights.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terms and conditions of the guarantees with respect to the notes outstanding as of March 31, 2024 for which AMC Networks is the issuer.</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 Guarantees</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Debt of AMC Networks as of March 31, 2024 included $774.7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subsidiaries of AMC Networks do not and will not guarantee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9" w:lineRule="exact"/>
        <w:rPr>
          <w:sz w:val="20"/>
          <w:szCs w:val="20"/>
          <w:color w:val="auto"/>
        </w:rPr>
      </w:pPr>
    </w:p>
    <w:p>
      <w:pPr>
        <w:ind w:right="280" w:firstLine="8"/>
        <w:spacing w:after="0" w:line="205" w:lineRule="auto"/>
        <w:tabs>
          <w:tab w:leader="none" w:pos="10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Free Cash Flow is a non-GAAP financial measure. See the "Non-GAAP Financial Measures" section on page 33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4" w:name="page35"/>
    <w:bookmarkEnd w:id="34"/>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0" w:type="dxa"/>
            <w:vAlign w:val="bottom"/>
          </w:tcPr>
          <w:p>
            <w:pPr>
              <w:spacing w:after="0"/>
              <w:rPr>
                <w:sz w:val="1"/>
                <w:szCs w:val="1"/>
                <w:color w:val="auto"/>
              </w:rPr>
            </w:pPr>
          </w:p>
        </w:tc>
      </w:tr>
      <w:tr>
        <w:trPr>
          <w:trHeight w:val="399"/>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524,867</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377,264</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63,503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135,480</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175,035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172,608</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40" w:type="dxa"/>
            <w:vAlign w:val="bottom"/>
          </w:tcPr>
          <w:p>
            <w:pPr>
              <w:spacing w:after="0"/>
              <w:rPr>
                <w:sz w:val="24"/>
                <w:szCs w:val="24"/>
                <w:color w:val="auto"/>
              </w:rPr>
            </w:pPr>
          </w:p>
        </w:tc>
        <w:tc>
          <w:tcPr>
            <w:tcW w:w="3720" w:type="dxa"/>
            <w:vAlign w:val="bottom"/>
            <w:gridSpan w:val="4"/>
          </w:tcPr>
          <w:p>
            <w:pPr>
              <w:jc w:val="right"/>
              <w:ind w:right="12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1,156,533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3,301,046</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666,783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2,516,977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describe our significant accounting policies in Note 2 to the Company's Consolidated Financial Statements included in our 2023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significant accounting policies since December 31, 2023.</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discuss our critical accounting estimates in Item 7, "Management's Discussion and Analysis of Financial Condition and Results of Operations," in our 2023 Form 10-K. There have been no significant changes in our critical accounting estimates since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Internally, we use AOI and Free Cash Flow as the most important indicators of our business performance, and evaluate management's effectiveness with specific reference to these indicators.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operating income (loss) to AOI for the periods indicated: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Domestic Operations</w:t>
            </w:r>
          </w:p>
        </w:tc>
        <w:tc>
          <w:tcPr>
            <w:tcW w:w="240" w:type="dxa"/>
            <w:vAlign w:val="bottom"/>
          </w:tcPr>
          <w:p>
            <w:pPr>
              <w:spacing w:after="0"/>
              <w:rPr>
                <w:sz w:val="13"/>
                <w:szCs w:val="13"/>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40" w:type="dxa"/>
            <w:vAlign w:val="bottom"/>
          </w:tcPr>
          <w:p>
            <w:pPr>
              <w:spacing w:after="0"/>
              <w:rPr>
                <w:sz w:val="13"/>
                <w:szCs w:val="13"/>
                <w:color w:val="auto"/>
              </w:rPr>
            </w:pPr>
          </w:p>
        </w:tc>
        <w:tc>
          <w:tcPr>
            <w:tcW w:w="13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110,178</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149,124</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Domestic Operations</w:t>
            </w:r>
          </w:p>
        </w:tc>
        <w:tc>
          <w:tcPr>
            <w:tcW w:w="240" w:type="dxa"/>
            <w:vAlign w:val="bottom"/>
          </w:tcPr>
          <w:p>
            <w:pPr>
              <w:spacing w:after="0"/>
              <w:rPr>
                <w:sz w:val="13"/>
                <w:szCs w:val="13"/>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40" w:type="dxa"/>
            <w:vAlign w:val="bottom"/>
          </w:tcPr>
          <w:p>
            <w:pPr>
              <w:spacing w:after="0"/>
              <w:rPr>
                <w:sz w:val="13"/>
                <w:szCs w:val="13"/>
                <w:color w:val="auto"/>
              </w:rPr>
            </w:pPr>
          </w:p>
        </w:tc>
        <w:tc>
          <w:tcPr>
            <w:tcW w:w="13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173,304</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Majority owned equity investees AOI</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operating activities less capital expenditures, all of which are reported in our Consolidated Statement of Cash Flows. 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its liquidity with other companies in our industry, although our measure of Free Cash Flow may not be directly comparable to similar measures reported by other companies.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9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(132,519)</w:t>
            </w: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315"/>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Based on the level of interest rates prevailing at March 31, 2024, the carrying value of our fixed rate debt of $1.76 billion was more than its fair value of $1.48 billion by approximately $282.0 million. The fair value of these financial instruments is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estimated based on reference to quoted market prices for these or comparable securities. A hypothetical 100 basis point decrease in interest rates prevailing at March 31, 2024 would increase the estimated fair value of our fixed rate debt by approximately $38.8 million to approximately $1.52 billion.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three months ended March 31, 2024, we did not have any interest rate swap contracts outstanding.</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had $2.4 billion of debt outstanding (excluding finance leases), of which $590.6 million is outstanding under our loan facility and is subject to variable interest rates. A hypothetical 100 basis point increase in interest rates prevailing at March 31, 2024 would increase our annual interest expense by approximately $5.9 million. The interest rate paid on approximately 75% of our debt (excluding finance leases) as of March 31, 2024 is fixed.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losses of $2.7 million and $0.6 million for the three months ended March 31, 2024 and 2023, respectively, related to foreign currency transactions. Such amounts are included in miscellaneous, net in the condensed consolidated statements of income.</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March 31, 2024, the Company's principal executive officer (our Chief Executive Officer) and principal financial officer (our Chief Financial Officer) concluded that the Company's disclosure controls and procedures are effective.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to the condensed consolidated financial statements included in this Quarterly Report on Form 10-Q for a description of our legal proceedings.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repurchase any of its Class A common stock. As of March 31, 2024, the Company had $135.3 million of authorization remaining for repurchase under the Stock Repurchase Program.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Index to Exhibits.</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10.1</w:t>
            </w:r>
          </w:p>
        </w:tc>
        <w:tc>
          <w:tcPr>
            <w:tcW w:w="7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Employment Agreement, dated March 16, 2020, between AMC Networks Inc. and Dan McDermott</w:t>
            </w:r>
          </w:p>
        </w:tc>
        <w:tc>
          <w:tcPr>
            <w:tcW w:w="30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10.2</w:t>
            </w:r>
          </w:p>
        </w:tc>
        <w:tc>
          <w:tcPr>
            <w:tcW w:w="8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Amendment to Employment Agreement, dated October 20, 2021, between AMC Networks Inc. and Dan McDermott</w:t>
            </w:r>
          </w:p>
        </w:tc>
        <w:tc>
          <w:tcPr>
            <w:tcW w:w="18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w w:val="95"/>
              </w:rPr>
              <w:t>10.3</w:t>
            </w:r>
          </w:p>
        </w:tc>
        <w:tc>
          <w:tcPr>
            <w:tcW w:w="102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Indenture, dated as of April 9, 2024, among AMC Networks, as issuer, the Guarantors and U.S. Bank Trust Company, National Association,</w:t>
              </w:r>
            </w:hyperlink>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920" w:type="dxa"/>
            <w:vAlign w:val="bottom"/>
            <w:vMerge w:val="continue"/>
          </w:tcPr>
          <w:p>
            <w:pPr>
              <w:spacing w:after="0"/>
              <w:rPr>
                <w:sz w:val="10"/>
                <w:szCs w:val="10"/>
                <w:color w:val="auto"/>
              </w:rPr>
            </w:pPr>
          </w:p>
        </w:tc>
        <w:tc>
          <w:tcPr>
            <w:tcW w:w="10280" w:type="dxa"/>
            <w:vAlign w:val="bottom"/>
            <w:gridSpan w:val="9"/>
            <w:vMerge w:val="restart"/>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as Trustee (incorporated by reference to Exhibit 4.1 to the Company’s Current Report on Form 8-K filed on April 10, 2024)</w:t>
              </w:r>
            </w:hyperlink>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1028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42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10280" w:type="dxa"/>
            <w:vAlign w:val="bottom"/>
            <w:gridSpan w:val="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No. 3, dated as of April 9, 2024, to Second Amended and Restated Credit Agreement, dated as of July 28, 2017, among AMC</w:t>
              </w:r>
            </w:hyperlink>
          </w:p>
        </w:tc>
        <w:tc>
          <w:tcPr>
            <w:tcW w:w="0" w:type="dxa"/>
            <w:vAlign w:val="bottom"/>
          </w:tcPr>
          <w:p>
            <w:pPr>
              <w:spacing w:after="0"/>
              <w:rPr>
                <w:sz w:val="1"/>
                <w:szCs w:val="1"/>
                <w:color w:val="auto"/>
              </w:rPr>
            </w:pPr>
          </w:p>
        </w:tc>
      </w:tr>
      <w:tr>
        <w:trPr>
          <w:trHeight w:val="155"/>
        </w:trPr>
        <w:tc>
          <w:tcPr>
            <w:tcW w:w="9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w w:val="95"/>
              </w:rPr>
              <w:t>10.4</w:t>
            </w:r>
          </w:p>
        </w:tc>
        <w:tc>
          <w:tcPr>
            <w:tcW w:w="102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Networks and its subsidiary, AMC Network Entertainment LLC, as the initial borrowers, certain of AMC Networks’ subsidiaries,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024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restricted subsidiaries, Bank of America, N.A., as an L/C Issuer, the lenders party thereto, and JPMorgan Chase Bank, N.A., 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22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Administrative Agent, Collateral Agent and an L/C Issuer. (incorporated by reference to Exhibit 10.1 to the Company’s Current Report on</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Form 8-K filed on April 10, 2024)</w:t>
              </w:r>
            </w:hyperlink>
          </w:p>
        </w:tc>
        <w:tc>
          <w:tcPr>
            <w:tcW w:w="772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hanging="91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 of the Registrant</w:t>
      </w:r>
    </w:p>
    <w:p>
      <w:pPr>
        <w:spacing w:after="0" w:line="6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31.1</w:t>
            </w:r>
          </w:p>
        </w:tc>
        <w:tc>
          <w:tcPr>
            <w:tcW w:w="7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r>
      <w:tr>
        <w:trPr>
          <w:trHeight w:val="26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31.2</w:t>
            </w: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left="1020" w:right="40" w:hanging="913"/>
        <w:spacing w:after="0"/>
        <w:tabs>
          <w:tab w:leader="none" w:pos="1020" w:val="left"/>
        </w:tabs>
        <w:numPr>
          <w:ilvl w:val="0"/>
          <w:numId w:val="1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u w:val="single" w:color="auto"/>
          <w:color w:val="0000FF"/>
        </w:rPr>
        <w:t>Certifications of Chief Executive Officer and Chief Financial Officer pursuant to Section 906 of the Sarbanes-Oxley Act of 2002, 18 U.S.C. Section 1350.</w:t>
      </w:r>
    </w:p>
    <w:p>
      <w:pPr>
        <w:spacing w:after="0" w:line="7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10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20" w:hanging="91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37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3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234"/>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Michael J. Sherin III</w:t>
            </w:r>
          </w:p>
        </w:tc>
      </w:tr>
      <w:tr>
        <w:trPr>
          <w:trHeight w:val="218"/>
        </w:trPr>
        <w:tc>
          <w:tcPr>
            <w:tcW w:w="3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r>
      <w:tr>
        <w:trPr>
          <w:trHeight w:val="234"/>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927"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March 16, 2020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McDermott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Carlos Goodman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Goodman, Genow, Schenkman,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Smelkinson &amp; Christopher, LLP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9665 Wilshire Blvd.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Beverly Hills, California 90212</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 Employment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Dan:</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am pleased to forward this letter (this “Agreement”) setting forth the details of your employment by AMC Network Entertainment LLC which, together with its parent, subsidiaries, and affiliates, is referred to herein as the “Company.” Upon execution, this Agreement will become effective as of your first day of employment with the Company (the “Effective Date”), which is anticipated to be April 1, 2020.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OF EMPLOYMENT</w:t>
      </w:r>
    </w:p>
    <w:p>
      <w:pPr>
        <w:spacing w:after="0" w:line="224" w:lineRule="exact"/>
        <w:rPr>
          <w:sz w:val="20"/>
          <w:szCs w:val="20"/>
          <w:color w:val="auto"/>
        </w:rPr>
      </w:pPr>
    </w:p>
    <w:p>
      <w:pPr>
        <w:jc w:val="both"/>
        <w:ind w:left="340" w:hanging="107"/>
        <w:spacing w:after="0" w:line="284" w:lineRule="auto"/>
        <w:rPr>
          <w:sz w:val="20"/>
          <w:szCs w:val="20"/>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You will provide services to the Company as President – Original Programming, AMC Entertainment Networks, a regular full-time, exempt position, and will be based in the Company’s offices in Los Angeles, California.</w:t>
      </w:r>
    </w:p>
    <w:p>
      <w:pPr>
        <w:spacing w:after="0" w:line="144" w:lineRule="exact"/>
        <w:rPr>
          <w:sz w:val="20"/>
          <w:szCs w:val="20"/>
          <w:color w:val="auto"/>
        </w:rPr>
      </w:pPr>
    </w:p>
    <w:p>
      <w:pPr>
        <w:jc w:val="both"/>
        <w:ind w:left="340" w:hanging="107"/>
        <w:spacing w:after="0" w:line="251" w:lineRule="auto"/>
        <w:rPr>
          <w:sz w:val="20"/>
          <w:szCs w:val="20"/>
          <w:color w:val="auto"/>
        </w:rPr>
      </w:pPr>
      <w:r>
        <w:rPr>
          <w:rFonts w:ascii="Times New Roman" w:cs="Times New Roman" w:eastAsia="Times New Roman" w:hAnsi="Times New Roman"/>
          <w:sz w:val="22"/>
          <w:szCs w:val="22"/>
          <w:u w:val="single" w:color="auto"/>
          <w:color w:val="auto"/>
        </w:rPr>
        <w:t>Duties &amp; Responsibilities.</w:t>
      </w:r>
      <w:r>
        <w:rPr>
          <w:rFonts w:ascii="Times New Roman" w:cs="Times New Roman" w:eastAsia="Times New Roman" w:hAnsi="Times New Roman"/>
          <w:sz w:val="22"/>
          <w:szCs w:val="22"/>
          <w:color w:val="auto"/>
        </w:rPr>
        <w:t xml:space="preserve"> You agree to devote substantially all of your business time and attention to the business and affairs of the Company and to perform your duties in a diligent, competent, professional and skillful manner in accordance with applicable law. Without limitation to the foregoing, the Company acknowledges that you are entitled to receive credit as an “Executive Producer,” passive fees and potential passive profit participation in connection with the following projects: 1) </w:t>
      </w:r>
      <w:r>
        <w:rPr>
          <w:rFonts w:ascii="Times New Roman" w:cs="Times New Roman" w:eastAsia="Times New Roman" w:hAnsi="Times New Roman"/>
          <w:sz w:val="22"/>
          <w:szCs w:val="22"/>
          <w:i w:val="1"/>
          <w:iCs w:val="1"/>
          <w:color w:val="auto"/>
        </w:rPr>
        <w:t>Jupiter’s Legacy</w:t>
      </w:r>
      <w:r>
        <w:rPr>
          <w:rFonts w:ascii="Times New Roman" w:cs="Times New Roman" w:eastAsia="Times New Roman" w:hAnsi="Times New Roman"/>
          <w:sz w:val="22"/>
          <w:szCs w:val="22"/>
          <w:color w:val="auto"/>
        </w:rPr>
        <w:t>; 2)</w:t>
      </w:r>
      <w:r>
        <w:rPr>
          <w:rFonts w:ascii="Times New Roman" w:cs="Times New Roman" w:eastAsia="Times New Roman" w:hAnsi="Times New Roman"/>
          <w:sz w:val="22"/>
          <w:szCs w:val="22"/>
          <w:i w:val="1"/>
          <w:iCs w:val="1"/>
          <w:color w:val="auto"/>
        </w:rPr>
        <w:t xml:space="preserve"> Crusaders</w:t>
      </w:r>
      <w:r>
        <w:rPr>
          <w:rFonts w:ascii="Times New Roman" w:cs="Times New Roman" w:eastAsia="Times New Roman" w:hAnsi="Times New Roman"/>
          <w:sz w:val="22"/>
          <w:szCs w:val="22"/>
          <w:color w:val="auto"/>
        </w:rPr>
        <w:t>; and 3)</w:t>
      </w:r>
      <w:r>
        <w:rPr>
          <w:rFonts w:ascii="Times New Roman" w:cs="Times New Roman" w:eastAsia="Times New Roman" w:hAnsi="Times New Roman"/>
          <w:sz w:val="22"/>
          <w:szCs w:val="22"/>
          <w:i w:val="1"/>
          <w:iCs w:val="1"/>
          <w:color w:val="auto"/>
        </w:rPr>
        <w:t xml:space="preserve"> The List</w:t>
      </w:r>
      <w:r>
        <w:rPr>
          <w:rFonts w:ascii="Times New Roman" w:cs="Times New Roman" w:eastAsia="Times New Roman" w:hAnsi="Times New Roman"/>
          <w:sz w:val="22"/>
          <w:szCs w:val="22"/>
          <w:color w:val="auto"/>
        </w:rPr>
        <w:t>, and agrees that your receipt of such credit, fees and/or profit participation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constitute a violation of this provision.</w:t>
      </w:r>
    </w:p>
    <w:p>
      <w:pPr>
        <w:sectPr>
          <w:pgSz w:w="11900" w:h="16838" w:orient="portrait"/>
          <w:cols w:equalWidth="0" w:num="1">
            <w:col w:w="11240"/>
          </w:cols>
          <w:pgMar w:left="320" w:top="1440" w:right="339" w:bottom="1440" w:gutter="0" w:footer="0" w:header="0"/>
        </w:sectPr>
      </w:pPr>
    </w:p>
    <w:bookmarkStart w:id="40" w:name="page41"/>
    <w:bookmarkEnd w:id="40"/>
    <w:p>
      <w:pPr>
        <w:jc w:val="both"/>
        <w:ind w:left="34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term of this Agreement, subject to provisions herein relating to termination, shall begin on the Effective Date and continue through the four-year anniversary of the Effective Date (the “Term”).</w:t>
      </w:r>
    </w:p>
    <w:p>
      <w:pPr>
        <w:spacing w:after="0" w:line="158" w:lineRule="exact"/>
        <w:rPr>
          <w:sz w:val="20"/>
          <w:szCs w:val="20"/>
          <w:color w:val="auto"/>
        </w:rPr>
      </w:pPr>
    </w:p>
    <w:p>
      <w:pPr>
        <w:jc w:val="both"/>
        <w:ind w:left="340" w:hanging="107"/>
        <w:spacing w:after="0" w:line="263" w:lineRule="auto"/>
        <w:rPr>
          <w:sz w:val="20"/>
          <w:szCs w:val="20"/>
          <w:color w:val="auto"/>
        </w:rPr>
      </w:pPr>
      <w:r>
        <w:rPr>
          <w:rFonts w:ascii="Times New Roman" w:cs="Times New Roman" w:eastAsia="Times New Roman" w:hAnsi="Times New Roman"/>
          <w:sz w:val="22"/>
          <w:szCs w:val="22"/>
          <w:u w:val="single" w:color="auto"/>
          <w:color w:val="auto"/>
        </w:rPr>
        <w:t>Compliance with Company Policies and Law</w:t>
      </w:r>
      <w:r>
        <w:rPr>
          <w:rFonts w:ascii="Times New Roman" w:cs="Times New Roman" w:eastAsia="Times New Roman" w:hAnsi="Times New Roman"/>
          <w:sz w:val="22"/>
          <w:szCs w:val="22"/>
          <w:color w:val="auto"/>
        </w:rPr>
        <w:t>. You shall comply with the Company’s personnel and other policies including, but not limited to, the Company’s policies prohibiting discrimination, unlawful harassment, conflicts of interest and violation of applicable laws, in the course of performing services to the Company.</w:t>
      </w:r>
    </w:p>
    <w:p>
      <w:pPr>
        <w:spacing w:after="0" w:line="167" w:lineRule="exact"/>
        <w:rPr>
          <w:sz w:val="20"/>
          <w:szCs w:val="20"/>
          <w:color w:val="auto"/>
        </w:rPr>
      </w:pPr>
    </w:p>
    <w:p>
      <w:pPr>
        <w:jc w:val="both"/>
        <w:ind w:left="340" w:hanging="107"/>
        <w:spacing w:after="0" w:line="256" w:lineRule="auto"/>
        <w:rPr>
          <w:sz w:val="20"/>
          <w:szCs w:val="20"/>
          <w:color w:val="auto"/>
        </w:rPr>
      </w:pPr>
      <w:r>
        <w:rPr>
          <w:rFonts w:ascii="Times New Roman" w:cs="Times New Roman" w:eastAsia="Times New Roman" w:hAnsi="Times New Roman"/>
          <w:sz w:val="22"/>
          <w:szCs w:val="22"/>
          <w:u w:val="single" w:color="auto"/>
          <w:color w:val="auto"/>
        </w:rPr>
        <w:t>No-Conflict</w:t>
      </w:r>
      <w:r>
        <w:rPr>
          <w:rFonts w:ascii="Times New Roman" w:cs="Times New Roman" w:eastAsia="Times New Roman" w:hAnsi="Times New Roman"/>
          <w:sz w:val="22"/>
          <w:szCs w:val="22"/>
          <w:color w:val="auto"/>
        </w:rPr>
        <w:t>. You represent and warrant that there are no obligations, contractual, or otherwise, relating to a current or prior employer, or any other entity for which you rendered services or with which you are affiliated which would prevent or prohibit you from signing this Agreement, accepting employment with the Company, commencing such employment as of the Effective Date and/or performing fully your job responsibilities now or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224" w:lineRule="exact"/>
        <w:rPr>
          <w:sz w:val="20"/>
          <w:szCs w:val="20"/>
          <w:color w:val="auto"/>
        </w:rPr>
      </w:pPr>
    </w:p>
    <w:p>
      <w:pPr>
        <w:jc w:val="both"/>
        <w:ind w:left="34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Beginning on the Effective Date, your base salary will be, and throughout the Term will not be less than $1,000,000 annually, paid bi-weekly. You will be eligible to be considered for discretionary annual salary increases in accordance with Company practice in effect from time to time.</w:t>
      </w:r>
    </w:p>
    <w:p>
      <w:pPr>
        <w:spacing w:after="0" w:line="173" w:lineRule="exact"/>
        <w:rPr>
          <w:sz w:val="20"/>
          <w:szCs w:val="20"/>
          <w:color w:val="auto"/>
        </w:rPr>
      </w:pPr>
    </w:p>
    <w:p>
      <w:pPr>
        <w:jc w:val="both"/>
        <w:ind w:left="340" w:hanging="107"/>
        <w:spacing w:after="0" w:line="252" w:lineRule="auto"/>
        <w:rPr>
          <w:sz w:val="20"/>
          <w:szCs w:val="20"/>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You will be eligible to participate in the Company’s discretionary annual discretionary bonus program (“AIP”) with an annual target bonus opportunity equal to sixty percent (60%) of salary. Bonus payments are based on actual salary dollars paid during each fiscal year and depend on a number of factors, including Company, unit, and individual performance. However, the decision of whether or not to pay a bonus, and the amount of that bonus, if any, is made by the Company in its sole discretion. Bonuses are typically paid early in the subsequent calendar year. In order to receive a bonus, you must be employed by the Company at the time bonuses are paid. Such bonus shall be earned, only if and when actually paid to, and received by, you.</w:t>
      </w:r>
    </w:p>
    <w:p>
      <w:pPr>
        <w:spacing w:after="0" w:line="179" w:lineRule="exact"/>
        <w:rPr>
          <w:sz w:val="20"/>
          <w:szCs w:val="20"/>
          <w:color w:val="auto"/>
        </w:rPr>
      </w:pPr>
    </w:p>
    <w:p>
      <w:pPr>
        <w:jc w:val="both"/>
        <w:ind w:left="340" w:hanging="107"/>
        <w:spacing w:after="0" w:line="262" w:lineRule="auto"/>
        <w:rPr>
          <w:sz w:val="20"/>
          <w:szCs w:val="20"/>
          <w:color w:val="auto"/>
        </w:rPr>
      </w:pPr>
      <w:r>
        <w:rPr>
          <w:rFonts w:ascii="Times New Roman" w:cs="Times New Roman" w:eastAsia="Times New Roman" w:hAnsi="Times New Roman"/>
          <w:sz w:val="21"/>
          <w:szCs w:val="21"/>
          <w:u w:val="single" w:color="auto"/>
          <w:color w:val="auto"/>
        </w:rPr>
        <w:t>Equity and Long-Term Incentive Programs</w:t>
      </w:r>
      <w:r>
        <w:rPr>
          <w:rFonts w:ascii="Times New Roman" w:cs="Times New Roman" w:eastAsia="Times New Roman" w:hAnsi="Times New Roman"/>
          <w:sz w:val="21"/>
          <w:szCs w:val="21"/>
          <w:color w:val="auto"/>
        </w:rPr>
        <w:t>. You will also be eligible, subject to your continued employment by the Company and actual grant by the Compensation Committee of the Board of Directors of AMC Networks Inc. (the “Compensation Committee”), in its sole discretion, to participate in such equity and other long-term incentive programs that are made available in the future to similarly situated employees at the Company. It is expected that such awards will consist of annual grants of cash and/or equity awards with an annual target value of $600,000, as determined by the Compensation Committee. Any such awards would be subject to actual grant by the Compensation Committee, would be made pursuant to the applicable plan document and would be subject to terms and conditions established by the Compensation Committee in its sole discretion that would be detailed in separate agreements you will receive after any award is actually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u w:val="single" w:color="auto"/>
          <w:color w:val="auto"/>
        </w:rPr>
        <w:t>BENEFITS</w:t>
      </w:r>
    </w:p>
    <w:p>
      <w:pPr>
        <w:spacing w:after="0" w:line="237" w:lineRule="exact"/>
        <w:rPr>
          <w:sz w:val="20"/>
          <w:szCs w:val="20"/>
          <w:color w:val="auto"/>
        </w:rPr>
      </w:pPr>
    </w:p>
    <w:p>
      <w:pPr>
        <w:jc w:val="both"/>
        <w:ind w:left="340" w:hanging="107"/>
        <w:spacing w:after="0" w:line="256" w:lineRule="auto"/>
        <w:rPr>
          <w:sz w:val="20"/>
          <w:szCs w:val="20"/>
          <w:color w:val="auto"/>
        </w:rPr>
      </w:pPr>
      <w:r>
        <w:rPr>
          <w:rFonts w:ascii="Times New Roman" w:cs="Times New Roman" w:eastAsia="Times New Roman" w:hAnsi="Times New Roman"/>
          <w:sz w:val="22"/>
          <w:szCs w:val="22"/>
          <w:u w:val="single" w:color="auto"/>
          <w:color w:val="auto"/>
        </w:rPr>
        <w:t>Employee/Fringe Benefits</w:t>
      </w:r>
      <w:r>
        <w:rPr>
          <w:rFonts w:ascii="Times New Roman" w:cs="Times New Roman" w:eastAsia="Times New Roman" w:hAnsi="Times New Roman"/>
          <w:sz w:val="22"/>
          <w:szCs w:val="22"/>
          <w:color w:val="auto"/>
        </w:rPr>
        <w:t>. You will be eligible to participate in the Company’s standard benefits programs. Participation in the Company’s benefits programs is subject to meeting the relevant eligibility requirements, payment of the required premiums, and the terms of the plans themselves. The Company currently offers medical, dental, vision and life insurance, short- and long-term disability insurance, a savings and retirement program, and ten paid holidays.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You be eligible to accrue and use vacation in accordance with Company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AND PROPRIETARY INFORMATION/RESTRICTIVE COVENANTS</w:t>
      </w:r>
    </w:p>
    <w:p>
      <w:pPr>
        <w:spacing w:after="0" w:line="224" w:lineRule="exact"/>
        <w:rPr>
          <w:sz w:val="20"/>
          <w:szCs w:val="20"/>
          <w:color w:val="auto"/>
        </w:rPr>
      </w:pPr>
    </w:p>
    <w:p>
      <w:pPr>
        <w:jc w:val="both"/>
        <w:ind w:left="340" w:hanging="107"/>
        <w:spacing w:after="0" w:line="256" w:lineRule="auto"/>
        <w:rPr>
          <w:sz w:val="20"/>
          <w:szCs w:val="20"/>
          <w:color w:val="auto"/>
        </w:rPr>
      </w:pPr>
      <w:r>
        <w:rPr>
          <w:rFonts w:ascii="Times New Roman" w:cs="Times New Roman" w:eastAsia="Times New Roman" w:hAnsi="Times New Roman"/>
          <w:sz w:val="22"/>
          <w:szCs w:val="22"/>
          <w:u w:val="single" w:color="auto"/>
          <w:color w:val="auto"/>
        </w:rPr>
        <w:t>Proprietary Information &amp; Inventions.</w:t>
      </w:r>
      <w:r>
        <w:rPr>
          <w:rFonts w:ascii="Times New Roman" w:cs="Times New Roman" w:eastAsia="Times New Roman" w:hAnsi="Times New Roman"/>
          <w:sz w:val="22"/>
          <w:szCs w:val="22"/>
          <w:color w:val="auto"/>
        </w:rPr>
        <w:t xml:space="preserve"> Concurrently with your execution of this Agreement, you will execute and return to the Company the enclosed </w:t>
      </w:r>
      <w:r>
        <w:rPr>
          <w:rFonts w:ascii="Times New Roman" w:cs="Times New Roman" w:eastAsia="Times New Roman" w:hAnsi="Times New Roman"/>
          <w:sz w:val="22"/>
          <w:szCs w:val="22"/>
          <w:i w:val="1"/>
          <w:iCs w:val="1"/>
          <w:color w:val="auto"/>
        </w:rPr>
        <w:t>Proprietary Information and Inventions Agreement</w:t>
      </w:r>
      <w:r>
        <w:rPr>
          <w:rFonts w:ascii="Times New Roman" w:cs="Times New Roman" w:eastAsia="Times New Roman" w:hAnsi="Times New Roman"/>
          <w:sz w:val="22"/>
          <w:szCs w:val="22"/>
          <w:color w:val="auto"/>
        </w:rPr>
        <w:t xml:space="preserve"> (“PIIA”) and will comply with the PIIA’s terms and conditions at all times. This offer is contingent on your executing and returning the PIIA to the Company, including your completion of Exhibit A to the PIIA to the satisfaction of the Company.</w:t>
      </w:r>
    </w:p>
    <w:p>
      <w:pPr>
        <w:spacing w:after="0" w:line="176" w:lineRule="exact"/>
        <w:rPr>
          <w:sz w:val="20"/>
          <w:szCs w:val="20"/>
          <w:color w:val="auto"/>
        </w:rPr>
      </w:pPr>
    </w:p>
    <w:p>
      <w:pPr>
        <w:jc w:val="both"/>
        <w:ind w:left="340" w:hanging="107"/>
        <w:spacing w:after="0" w:line="262" w:lineRule="auto"/>
        <w:rPr>
          <w:sz w:val="20"/>
          <w:szCs w:val="20"/>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During the period commencing on the Effective Date of this Agreement and continuing until the first anniversary of the date when your employment is terminated for any reason, you agree not to hire, solicit, contact or persuade, directly or indirectly (whether for your own interest or any other person or entity’s interest) any employee, or any exclusive or substantially full-time consultant or vendor of the Company to cease or reduce working for and/or doing business with the Company. This restriction does not apply to: i) the hiring or recruiting of any employee, consultant or vendor after one year has elapsed after the date on which such person’s relationship with the Company was terminated; or ii) your executive assistant provided such executive assistant provides services exclusively to you. You acknowledge that this Non-Solicitation provision is reasonable and necessary for the Company’s legitimate protection of its business interests.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OF EMPLOYMENT/SEPARATION PAYMENT</w:t>
      </w:r>
    </w:p>
    <w:p>
      <w:pPr>
        <w:spacing w:after="0" w:line="237" w:lineRule="exact"/>
        <w:rPr>
          <w:sz w:val="20"/>
          <w:szCs w:val="20"/>
          <w:color w:val="auto"/>
        </w:rPr>
      </w:pPr>
    </w:p>
    <w:p>
      <w:pPr>
        <w:jc w:val="both"/>
        <w:ind w:left="34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If, at any time prior to the expiration of the Term (the “Reference Date”), your employment is terminated by the Company for any reason other than for “Cause” (defined below), you shall be eligible for the Separation Payment described in this Section.</w:t>
      </w:r>
    </w:p>
    <w:p>
      <w:pPr>
        <w:spacing w:after="0" w:line="173" w:lineRule="exact"/>
        <w:rPr>
          <w:sz w:val="20"/>
          <w:szCs w:val="20"/>
          <w:color w:val="auto"/>
        </w:rPr>
      </w:pPr>
    </w:p>
    <w:p>
      <w:pPr>
        <w:jc w:val="both"/>
        <w:ind w:left="340" w:hanging="107"/>
        <w:spacing w:after="0" w:line="263" w:lineRule="auto"/>
        <w:rPr>
          <w:sz w:val="20"/>
          <w:szCs w:val="20"/>
          <w:color w:val="auto"/>
        </w:rPr>
      </w:pPr>
      <w:r>
        <w:rPr>
          <w:rFonts w:ascii="Times New Roman" w:cs="Times New Roman" w:eastAsia="Times New Roman" w:hAnsi="Times New Roman"/>
          <w:sz w:val="22"/>
          <w:szCs w:val="22"/>
          <w:u w:val="single" w:color="auto"/>
          <w:color w:val="auto"/>
        </w:rPr>
        <w:t>Termination by the Company With “Cause” or Because of Death.</w:t>
      </w:r>
      <w:r>
        <w:rPr>
          <w:rFonts w:ascii="Times New Roman" w:cs="Times New Roman" w:eastAsia="Times New Roman" w:hAnsi="Times New Roman"/>
          <w:sz w:val="22"/>
          <w:szCs w:val="22"/>
          <w:color w:val="auto"/>
        </w:rPr>
        <w:t xml:space="preserve"> If the Company terminates your employment prior to the Reference Date because of your death or for “Cause” (defined below), you </w:t>
      </w:r>
      <w:r>
        <w:rPr>
          <w:rFonts w:ascii="Times New Roman" w:cs="Times New Roman" w:eastAsia="Times New Roman" w:hAnsi="Times New Roman"/>
          <w:sz w:val="22"/>
          <w:szCs w:val="22"/>
          <w:i w:val="1"/>
          <w:iCs w:val="1"/>
          <w:color w:val="auto"/>
        </w:rPr>
        <w:t>shall not be</w:t>
      </w:r>
      <w:r>
        <w:rPr>
          <w:rFonts w:ascii="Times New Roman" w:cs="Times New Roman" w:eastAsia="Times New Roman" w:hAnsi="Times New Roman"/>
          <w:sz w:val="22"/>
          <w:szCs w:val="22"/>
          <w:color w:val="auto"/>
        </w:rPr>
        <w:t xml:space="preserve"> eligible for the Separation Payment described in this Section.</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The definition of “Cause” for termination is as follows:</w:t>
      </w:r>
    </w:p>
    <w:p>
      <w:pPr>
        <w:spacing w:after="0" w:line="220" w:lineRule="exact"/>
        <w:rPr>
          <w:sz w:val="20"/>
          <w:szCs w:val="20"/>
          <w:color w:val="auto"/>
        </w:rPr>
      </w:pPr>
    </w:p>
    <w:p>
      <w:pPr>
        <w:ind w:left="980" w:hanging="324"/>
        <w:spacing w:after="0" w:line="279" w:lineRule="auto"/>
        <w:tabs>
          <w:tab w:leader="none" w:pos="975" w:val="left"/>
        </w:tabs>
        <w:numPr>
          <w:ilvl w:val="0"/>
          <w:numId w:val="1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Your commission of an act of fraud, embezzlement, misappropriation, willful misconduct, gross negligence or breach of fiduciary duty against the Company or an affiliate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42" w:name="page43"/>
    <w:bookmarkEnd w:id="42"/>
    <w:p>
      <w:pPr>
        <w:ind w:left="760" w:hanging="324"/>
        <w:spacing w:after="0" w:line="279" w:lineRule="auto"/>
        <w:tabs>
          <w:tab w:leader="none" w:pos="755" w:val="left"/>
        </w:tabs>
        <w:numPr>
          <w:ilvl w:val="0"/>
          <w:numId w:val="1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Your commission of any act or omission that results in a conviction, plea of no contest, plea of nolo contendere, or imposition of unadjudicated probation for any crime involving moral turpitude or any felony,</w:t>
      </w:r>
    </w:p>
    <w:p>
      <w:pPr>
        <w:spacing w:after="0" w:line="146" w:lineRule="exact"/>
        <w:rPr>
          <w:rFonts w:ascii="Courier New" w:cs="Courier New" w:eastAsia="Courier New" w:hAnsi="Courier New"/>
          <w:sz w:val="22"/>
          <w:szCs w:val="22"/>
          <w:color w:val="auto"/>
        </w:rPr>
      </w:pPr>
    </w:p>
    <w:p>
      <w:pPr>
        <w:ind w:left="760" w:hanging="324"/>
        <w:spacing w:after="0" w:line="292" w:lineRule="auto"/>
        <w:tabs>
          <w:tab w:leader="none" w:pos="755" w:val="left"/>
        </w:tabs>
        <w:numPr>
          <w:ilvl w:val="0"/>
          <w:numId w:val="1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Your material violation of Company policies, including without limitation, Company policies prohibiting unlawful harassment and/or discrimination, or</w:t>
      </w:r>
    </w:p>
    <w:p>
      <w:pPr>
        <w:spacing w:after="0" w:line="131" w:lineRule="exact"/>
        <w:rPr>
          <w:rFonts w:ascii="Courier New" w:cs="Courier New" w:eastAsia="Courier New" w:hAnsi="Courier New"/>
          <w:sz w:val="22"/>
          <w:szCs w:val="22"/>
          <w:color w:val="auto"/>
        </w:rPr>
      </w:pPr>
    </w:p>
    <w:p>
      <w:pPr>
        <w:jc w:val="both"/>
        <w:ind w:left="760" w:hanging="324"/>
        <w:spacing w:after="0" w:line="252" w:lineRule="auto"/>
        <w:tabs>
          <w:tab w:leader="none" w:pos="755" w:val="left"/>
        </w:tabs>
        <w:numPr>
          <w:ilvl w:val="0"/>
          <w:numId w:val="1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Immediately upon written notice from the Company that it has determined that, due to a physical or mental health condition, you are not able to perform the essential functions of your position with reasonable accommodation. Such notice shall not be effective until you have exhausted all entitlements, if any, to leave under the Family and Medical Leave Act, other applicable statutes, and Company programs. Your execution of this Agreement does not waive your right to any relief or cause of action available at law if your employment with the Company is terminated in accordance with this paragraph.</w:t>
      </w:r>
    </w:p>
    <w:p>
      <w:pPr>
        <w:spacing w:after="0" w:line="182" w:lineRule="exact"/>
        <w:rPr>
          <w:sz w:val="20"/>
          <w:szCs w:val="20"/>
          <w:color w:val="auto"/>
        </w:rPr>
      </w:pPr>
    </w:p>
    <w:p>
      <w:pPr>
        <w:ind w:left="12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Form &amp; Amount of Separation Payment</w:t>
      </w:r>
      <w:r>
        <w:rPr>
          <w:rFonts w:ascii="Times New Roman" w:cs="Times New Roman" w:eastAsia="Times New Roman" w:hAnsi="Times New Roman"/>
          <w:sz w:val="22"/>
          <w:szCs w:val="22"/>
          <w:color w:val="auto"/>
        </w:rPr>
        <w:t>. Subject to the terms and conditions in this Agreement, the Company will provide you with a Separation Payment (the “Separation Payment”) in an amount equal to:</w:t>
      </w:r>
    </w:p>
    <w:p>
      <w:pPr>
        <w:spacing w:after="0" w:line="158" w:lineRule="exact"/>
        <w:rPr>
          <w:sz w:val="20"/>
          <w:szCs w:val="20"/>
          <w:color w:val="auto"/>
        </w:rPr>
      </w:pPr>
    </w:p>
    <w:p>
      <w:pPr>
        <w:jc w:val="both"/>
        <w:ind w:left="760" w:hanging="324"/>
        <w:spacing w:after="0" w:line="253" w:lineRule="auto"/>
        <w:tabs>
          <w:tab w:leader="none" w:pos="755" w:val="left"/>
        </w:tabs>
        <w:numPr>
          <w:ilvl w:val="0"/>
          <w:numId w:val="1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 xml:space="preserve">The sum of: 1) eighteen (18) months’ base salary, as in effect on the effective date of the termination of your employment (the “Termination Date”); and 2) your annual target bonus opportunity, as in effect on the Termination Date. An amount equal to sixty percent (60%) of the payment provided for in this paragraph (the “First Payment”) will be payable to you, less lawful withholdings and deductions, on the six-month anniversary of the Termination Date and the remainder, less lawful withholdings and deductions, will be payable to you over the six-month period following such anniversary in accordance with the Company’s then prevailing payroll policies;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maximum portion of the First Payment that is exempt from Section 409A of the Code (as defined below) will be payable to you on or before the seventy-fifth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Termination Date; </w:t>
      </w:r>
      <w:r>
        <w:rPr>
          <w:rFonts w:ascii="Times New Roman" w:cs="Times New Roman" w:eastAsia="Times New Roman" w:hAnsi="Times New Roman"/>
          <w:sz w:val="22"/>
          <w:szCs w:val="22"/>
          <w:i w:val="1"/>
          <w:iCs w:val="1"/>
          <w:u w:val="single" w:color="auto"/>
          <w:color w:val="auto"/>
        </w:rPr>
        <w:t>plus</w:t>
      </w:r>
    </w:p>
    <w:p>
      <w:pPr>
        <w:spacing w:after="0" w:line="96" w:lineRule="exact"/>
        <w:rPr>
          <w:rFonts w:ascii="Courier New" w:cs="Courier New" w:eastAsia="Courier New" w:hAnsi="Courier New"/>
          <w:sz w:val="22"/>
          <w:szCs w:val="22"/>
          <w:color w:val="auto"/>
        </w:rPr>
      </w:pPr>
    </w:p>
    <w:p>
      <w:pPr>
        <w:jc w:val="both"/>
        <w:ind w:left="760" w:hanging="324"/>
        <w:spacing w:after="0" w:line="252" w:lineRule="auto"/>
        <w:tabs>
          <w:tab w:leader="none" w:pos="755" w:val="left"/>
        </w:tabs>
        <w:numPr>
          <w:ilvl w:val="0"/>
          <w:numId w:val="1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 xml:space="preserve">If, as of the Termination Date, AIP bonuses had not yet generally been paid to similarly situated employees with respect to the prior fiscal year, a bonus based on the amount of your base salary actually paid to you during such prior fiscal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bonus, if any, will be payable to you if and when such bonuses are paid to similarly situated employees and will be based on your annual bonus target that was in effect with respect to such prior fiscal year as well as Company and your business unit performance, as determined by the Company, but without adjustment for your individual performance; </w:t>
      </w:r>
      <w:r>
        <w:rPr>
          <w:rFonts w:ascii="Times New Roman" w:cs="Times New Roman" w:eastAsia="Times New Roman" w:hAnsi="Times New Roman"/>
          <w:sz w:val="22"/>
          <w:szCs w:val="22"/>
          <w:i w:val="1"/>
          <w:iCs w:val="1"/>
          <w:u w:val="single" w:color="auto"/>
          <w:color w:val="auto"/>
        </w:rPr>
        <w:t>and</w:t>
      </w:r>
    </w:p>
    <w:p>
      <w:pPr>
        <w:spacing w:after="0" w:line="182" w:lineRule="exact"/>
        <w:rPr>
          <w:rFonts w:ascii="Courier New" w:cs="Courier New" w:eastAsia="Courier New" w:hAnsi="Courier New"/>
          <w:sz w:val="22"/>
          <w:szCs w:val="22"/>
          <w:color w:val="auto"/>
        </w:rPr>
      </w:pPr>
    </w:p>
    <w:p>
      <w:pPr>
        <w:jc w:val="both"/>
        <w:ind w:left="760" w:hanging="324"/>
        <w:spacing w:after="0" w:line="255" w:lineRule="auto"/>
        <w:tabs>
          <w:tab w:leader="none" w:pos="755" w:val="left"/>
        </w:tabs>
        <w:numPr>
          <w:ilvl w:val="0"/>
          <w:numId w:val="1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 xml:space="preserve">A prorated AIP bonus based on the amount of base salary actually earned by you during the fiscal year through the Termination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bonus, if any, will be payable to you if and when such bonuses are paid to similarly situated employees and will be based on your then current annual target bonus opportunity as well as Company and your business unit performance, as determined by the Company, but without adjustment for your individual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22" w:right="339" w:bottom="1440" w:gutter="0" w:footer="0" w:header="0"/>
        </w:sectPr>
      </w:pPr>
    </w:p>
    <w:bookmarkStart w:id="43" w:name="page44"/>
    <w:bookmarkEnd w:id="43"/>
    <w:p>
      <w:pPr>
        <w:jc w:val="both"/>
        <w:ind w:left="340" w:hanging="107"/>
        <w:spacing w:after="0" w:line="250" w:lineRule="auto"/>
        <w:rPr>
          <w:sz w:val="20"/>
          <w:szCs w:val="20"/>
          <w:color w:val="auto"/>
        </w:rPr>
      </w:pPr>
      <w:r>
        <w:rPr>
          <w:rFonts w:ascii="Times New Roman" w:cs="Times New Roman" w:eastAsia="Times New Roman" w:hAnsi="Times New Roman"/>
          <w:sz w:val="22"/>
          <w:szCs w:val="22"/>
          <w:u w:val="single" w:color="auto"/>
          <w:color w:val="auto"/>
        </w:rPr>
        <w:t>Release Agreement</w:t>
      </w:r>
      <w:r>
        <w:rPr>
          <w:rFonts w:ascii="Times New Roman" w:cs="Times New Roman" w:eastAsia="Times New Roman" w:hAnsi="Times New Roman"/>
          <w:sz w:val="22"/>
          <w:szCs w:val="22"/>
          <w:color w:val="auto"/>
        </w:rPr>
        <w:t>. You will not be entitled to any Separation Payment unless you execute and do not revoke a separation and release agreement acceptable to the Company that includes a full and complete release of all known and unknown claims. You will be required to sign and return the separation and release agreement within the time period stated in that agreement. The separation and release agreement will include, but will not be limited to, provisions acceptable to the Company relating to your full release of known and unknown claims against the Company; non-disparagement; non-solicitation; confidentiality of the separation and release agreement and of the Company’s confidential information; ownership rights in intellectual property; a choice-of-law and choice-of-venue provision; and other provisions and acknowledgements acceptable to the Company. No Separation Payment will be paid until such executed separation and release agreement has been received by the Company and any applicable revocation period has expired without revocation.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TAX ISSUES</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Company may withhold from any payment due to you any taxes required to be withheld under any law, rule or regulation.</w:t>
      </w:r>
    </w:p>
    <w:p>
      <w:pPr>
        <w:spacing w:after="0" w:line="231" w:lineRule="exact"/>
        <w:rPr>
          <w:sz w:val="20"/>
          <w:szCs w:val="20"/>
          <w:color w:val="auto"/>
        </w:rPr>
      </w:pPr>
    </w:p>
    <w:p>
      <w:pPr>
        <w:jc w:val="both"/>
        <w:ind w:left="340" w:hanging="107"/>
        <w:spacing w:after="0" w:line="248" w:lineRule="auto"/>
        <w:rPr>
          <w:sz w:val="20"/>
          <w:szCs w:val="20"/>
          <w:color w:val="auto"/>
        </w:rPr>
      </w:pPr>
      <w:r>
        <w:rPr>
          <w:rFonts w:ascii="Times New Roman" w:cs="Times New Roman" w:eastAsia="Times New Roman" w:hAnsi="Times New Roman"/>
          <w:sz w:val="22"/>
          <w:szCs w:val="22"/>
          <w:color w:val="auto"/>
        </w:rPr>
        <w:t>If and to the extent that any payment or benefit under this Agreement, or any plan or arrangement of the Company or its affiliates, is determined by the Company to constitute “non-qualified deferred compensation” subject to Section 409A of the Internal Revenue Code of 1986 (the “Internal Revenue Code”) (“Section 409A”) and is payable to you by reason of your termination of employment, then (a) such payment or benefit shall be made or provided to you only upon a “separation from service” as defined for purposes of Section 409A under applicable regulations (a “Separation from Service”) and (b) if you are a “specified employee” (within the meaning of Section 409A and as determined by the Company), such payment or benefit, including without limitation the Separation Payment Amount, shall not be made or provided before the date that is six months after the date of your separation from service (or your earlier death) and in such event shall be payable to you in two lump sums: (a) sixty percent (60%) of such amount will be payable to you on the six month anniversary of your Separation from Service, and (b) the remaining forty percent (40%) of such amount will be payable to you on the twelve month anniversary of your Separation from Service. Any such payment or benefit shall be treated as a separate payment for purposes of Section 409A to the extent Section 409A applies to such payments.</w:t>
      </w:r>
    </w:p>
    <w:p>
      <w:pPr>
        <w:spacing w:after="0" w:line="184" w:lineRule="exact"/>
        <w:rPr>
          <w:sz w:val="20"/>
          <w:szCs w:val="20"/>
          <w:color w:val="auto"/>
        </w:rPr>
      </w:pPr>
    </w:p>
    <w:p>
      <w:pPr>
        <w:jc w:val="both"/>
        <w:ind w:left="340" w:hanging="107"/>
        <w:spacing w:after="0" w:line="263" w:lineRule="auto"/>
        <w:rPr>
          <w:sz w:val="20"/>
          <w:szCs w:val="20"/>
          <w:color w:val="auto"/>
        </w:rPr>
      </w:pPr>
      <w:r>
        <w:rPr>
          <w:rFonts w:ascii="Times New Roman" w:cs="Times New Roman" w:eastAsia="Times New Roman" w:hAnsi="Times New Roman"/>
          <w:sz w:val="22"/>
          <w:szCs w:val="22"/>
          <w:color w:val="auto"/>
        </w:rPr>
        <w:t>To the extent you would otherwise be entitled to any payment (including the Separation Payment) or benefit that would be subject to additional tax under Section 409A, such payment or benefit will be delayed and will begin being provided as soon as permissible in a manner and at a time that does not trigger the imposition of additional tax under Section 409A.</w:t>
      </w:r>
    </w:p>
    <w:p>
      <w:pPr>
        <w:spacing w:after="0" w:line="167" w:lineRule="exact"/>
        <w:rPr>
          <w:sz w:val="20"/>
          <w:szCs w:val="20"/>
          <w:color w:val="auto"/>
        </w:rPr>
      </w:pPr>
    </w:p>
    <w:p>
      <w:pPr>
        <w:jc w:val="both"/>
        <w:ind w:left="340" w:hanging="107"/>
        <w:spacing w:after="0" w:line="252" w:lineRule="auto"/>
        <w:rPr>
          <w:sz w:val="20"/>
          <w:szCs w:val="20"/>
          <w:color w:val="auto"/>
        </w:rPr>
      </w:pPr>
      <w:r>
        <w:rPr>
          <w:rFonts w:ascii="Times New Roman" w:cs="Times New Roman" w:eastAsia="Times New Roman" w:hAnsi="Times New Roman"/>
          <w:sz w:val="22"/>
          <w:szCs w:val="22"/>
          <w:color w:val="auto"/>
        </w:rPr>
        <w:t>To the extent any expense reimbursement is determined to be subject to Section 409A, the amount of any such expenses eligible for reimbursement in one calendar year shall not affect the expenses eligible for reimbursement in any other taxable year (except under any lifetime limit applicable to expenses for medical care), in no event shall any expenses be reimbursed after the last day of the calendar year following the calendar year in which you incurred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22"/>
          <w:szCs w:val="22"/>
          <w:color w:val="auto"/>
        </w:rPr>
        <w:t>expenses, and in no event shall any right to reimbursement be subject to liquidation or exchange for another benefit.</w:t>
      </w:r>
    </w:p>
    <w:p>
      <w:pPr>
        <w:spacing w:after="0" w:line="220" w:lineRule="exact"/>
        <w:rPr>
          <w:sz w:val="20"/>
          <w:szCs w:val="20"/>
          <w:color w:val="auto"/>
        </w:rPr>
      </w:pPr>
    </w:p>
    <w:p>
      <w:pPr>
        <w:jc w:val="both"/>
        <w:ind w:left="340" w:hanging="107"/>
        <w:spacing w:after="0" w:line="250" w:lineRule="auto"/>
        <w:rPr>
          <w:sz w:val="20"/>
          <w:szCs w:val="20"/>
          <w:color w:val="auto"/>
        </w:rPr>
      </w:pPr>
      <w:r>
        <w:rPr>
          <w:rFonts w:ascii="Times New Roman" w:cs="Times New Roman" w:eastAsia="Times New Roman" w:hAnsi="Times New Roman"/>
          <w:sz w:val="22"/>
          <w:szCs w:val="22"/>
          <w:color w:val="auto"/>
        </w:rPr>
        <w:t>If any payment otherwise due to you hereunder would result in the imposition of the excise tax imposed by Section 4999 of the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TERMS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w:t>
      </w:r>
    </w:p>
    <w:p>
      <w:pPr>
        <w:spacing w:after="0" w:line="216" w:lineRule="exact"/>
        <w:rPr>
          <w:sz w:val="20"/>
          <w:szCs w:val="20"/>
          <w:color w:val="auto"/>
        </w:rPr>
      </w:pPr>
    </w:p>
    <w:p>
      <w:pPr>
        <w:jc w:val="both"/>
        <w:ind w:left="340" w:hanging="107"/>
        <w:spacing w:after="0" w:line="275" w:lineRule="auto"/>
        <w:rPr>
          <w:sz w:val="20"/>
          <w:szCs w:val="20"/>
          <w:color w:val="auto"/>
        </w:rPr>
      </w:pPr>
      <w:r>
        <w:rPr>
          <w:rFonts w:ascii="Times New Roman" w:cs="Times New Roman" w:eastAsia="Times New Roman" w:hAnsi="Times New Roman"/>
          <w:sz w:val="22"/>
          <w:szCs w:val="22"/>
          <w:b w:val="1"/>
          <w:bCs w:val="1"/>
          <w:color w:val="auto"/>
        </w:rPr>
        <w:t>To the extent permitted by law, you hereby waive any and all rights to a jury trial with respect to any matter relating to this Agreement.</w:t>
      </w:r>
    </w:p>
    <w:p>
      <w:pPr>
        <w:spacing w:after="0" w:line="149" w:lineRule="exact"/>
        <w:rPr>
          <w:sz w:val="20"/>
          <w:szCs w:val="20"/>
          <w:color w:val="auto"/>
        </w:rPr>
      </w:pPr>
    </w:p>
    <w:p>
      <w:pPr>
        <w:jc w:val="both"/>
        <w:ind w:left="340" w:right="20" w:hanging="107"/>
        <w:spacing w:after="0" w:line="287" w:lineRule="auto"/>
        <w:rPr>
          <w:sz w:val="20"/>
          <w:szCs w:val="20"/>
          <w:color w:val="auto"/>
        </w:rPr>
      </w:pPr>
      <w:r>
        <w:rPr>
          <w:rFonts w:ascii="Times New Roman" w:cs="Times New Roman" w:eastAsia="Times New Roman" w:hAnsi="Times New Roman"/>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41" w:lineRule="exact"/>
        <w:rPr>
          <w:sz w:val="20"/>
          <w:szCs w:val="20"/>
          <w:color w:val="auto"/>
        </w:rPr>
      </w:pPr>
    </w:p>
    <w:p>
      <w:pPr>
        <w:jc w:val="both"/>
        <w:ind w:left="340" w:hanging="107"/>
        <w:spacing w:after="0" w:line="253" w:lineRule="auto"/>
        <w:rPr>
          <w:sz w:val="20"/>
          <w:szCs w:val="20"/>
          <w:color w:val="auto"/>
        </w:rPr>
      </w:pPr>
      <w:r>
        <w:rPr>
          <w:rFonts w:ascii="Times New Roman" w:cs="Times New Roman" w:eastAsia="Times New Roman" w:hAnsi="Times New Roman"/>
          <w:sz w:val="22"/>
          <w:szCs w:val="22"/>
          <w:color w:val="auto"/>
        </w:rPr>
        <w:t>You hereby irrevocably submit to the jurisdiction of the courts of the State of New York and the federal courts of the United States of America located in the State of New York solely in respect of the interpretation and enforcement of the provisions of this Agreement, and you hereby waive, and agree not to assert, as a defense that you are not subject thereto or that the venue thereof may not be appropriate. You hereby agree that mailing of process or other papers in connection with any such action or proceeding in any manner as may be permitted by law shall be valid and sufficient service thereof.</w:t>
      </w:r>
    </w:p>
    <w:p>
      <w:pPr>
        <w:spacing w:after="0" w:line="179" w:lineRule="exact"/>
        <w:rPr>
          <w:sz w:val="20"/>
          <w:szCs w:val="20"/>
          <w:color w:val="auto"/>
        </w:rPr>
      </w:pPr>
    </w:p>
    <w:p>
      <w:pPr>
        <w:jc w:val="both"/>
        <w:ind w:left="340" w:hanging="107"/>
        <w:spacing w:after="0" w:line="268" w:lineRule="auto"/>
        <w:rPr>
          <w:sz w:val="20"/>
          <w:szCs w:val="20"/>
          <w:color w:val="auto"/>
        </w:rPr>
      </w:pPr>
      <w:r>
        <w:rPr>
          <w:rFonts w:ascii="Times New Roman" w:cs="Times New Roman" w:eastAsia="Times New Roman" w:hAnsi="Times New Roman"/>
          <w:sz w:val="21"/>
          <w:szCs w:val="21"/>
          <w:color w:val="auto"/>
        </w:rPr>
        <w:t>Following the termination of your employment, you agree to cooperate fully with the Company in connection with any matter with which you were involved prior to the termination or in any litigation or administrative proceedings or appeals (including any preparation therefor) where the Company believes that your personal knowledge, attendance, and participation could be necessary. Such cooperation shall include, but is not limited to, your providing truthful testimony by affidavit, deposition, testimony or otherwise in connection with a trial, arbitration or similar proceeding, upon the Company’s request.</w:t>
      </w:r>
    </w:p>
    <w:p>
      <w:pPr>
        <w:spacing w:after="0" w:line="164" w:lineRule="exact"/>
        <w:rPr>
          <w:sz w:val="20"/>
          <w:szCs w:val="20"/>
          <w:color w:val="auto"/>
        </w:rPr>
      </w:pPr>
    </w:p>
    <w:p>
      <w:pPr>
        <w:jc w:val="both"/>
        <w:ind w:left="340" w:hanging="107"/>
        <w:spacing w:after="0" w:line="271" w:lineRule="auto"/>
        <w:rPr>
          <w:sz w:val="20"/>
          <w:szCs w:val="20"/>
          <w:color w:val="auto"/>
        </w:rPr>
      </w:pPr>
      <w:r>
        <w:rPr>
          <w:rFonts w:ascii="Times New Roman" w:cs="Times New Roman" w:eastAsia="Times New Roman" w:hAnsi="Times New Roman"/>
          <w:sz w:val="22"/>
          <w:szCs w:val="22"/>
          <w:color w:val="auto"/>
        </w:rPr>
        <w:t>The terms and conditions of this Agreement may be amended or modified only by a written instrument executed by both the Company and you or the parties’ respective successors or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340" w:hanging="107"/>
        <w:spacing w:after="0" w:line="256" w:lineRule="auto"/>
        <w:rPr>
          <w:sz w:val="20"/>
          <w:szCs w:val="20"/>
          <w:color w:val="auto"/>
        </w:rPr>
      </w:pPr>
      <w:r>
        <w:rPr>
          <w:rFonts w:ascii="Times New Roman" w:cs="Times New Roman" w:eastAsia="Times New Roman" w:hAnsi="Times New Roman"/>
          <w:sz w:val="22"/>
          <w:szCs w:val="22"/>
          <w:color w:val="auto"/>
        </w:rPr>
        <w:t>If any provision of this Agreement is held to be invalid, illegal or unenforceable in any respect under applicable law, such invalidity, illegality or unenforceability will not affect any other provision of this Agreement and such invalid, illegal or unenforceable provision, to the extent possible and consistent with the intent of the parties, will be reformed, construed and enforced in such a manner to render it valid, legal, and enforceable under applicable law.</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It is the parties’ intention that this Agreement not be construed more strictly with regard to you or the Company.</w:t>
      </w:r>
    </w:p>
    <w:p>
      <w:pPr>
        <w:spacing w:after="0" w:line="220" w:lineRule="exact"/>
        <w:rPr>
          <w:sz w:val="20"/>
          <w:szCs w:val="20"/>
          <w:color w:val="auto"/>
        </w:rPr>
      </w:pPr>
    </w:p>
    <w:p>
      <w:pPr>
        <w:jc w:val="both"/>
        <w:ind w:left="340" w:hanging="107"/>
        <w:spacing w:after="0" w:line="256" w:lineRule="auto"/>
        <w:rPr>
          <w:sz w:val="20"/>
          <w:szCs w:val="20"/>
          <w:color w:val="auto"/>
        </w:rPr>
      </w:pPr>
      <w:r>
        <w:rPr>
          <w:rFonts w:ascii="Times New Roman" w:cs="Times New Roman" w:eastAsia="Times New Roman" w:hAnsi="Times New Roman"/>
          <w:sz w:val="22"/>
          <w:szCs w:val="22"/>
          <w:color w:val="auto"/>
        </w:rPr>
        <w:t>This Agreement and the PIIA constitute the full, complete and final agreement between you and the Company with respect to any subject arising from or relating to the employment relationship, and cancel, replace and supersede any and all other promises, agreements, representations and negotiations between you and the Company (oral, written or implied-in-fact) with respect to such subjects.</w:t>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accept this offer, please sign this Agreement indicating your agreement and acceptance of the terms and conditions of employment and return the original to my attention. A duplicate copy of this Agreement is included for your records.</w:t>
      </w:r>
    </w:p>
    <w:p>
      <w:pPr>
        <w:spacing w:after="0" w:line="1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Sincerely,</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AMC NETWORK ENTERTAINMENT LLC</w:t>
      </w:r>
    </w:p>
    <w:p>
      <w:pPr>
        <w:spacing w:after="0" w:line="24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Sarah Barnett</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Sarah Barnett</w:t>
      </w:r>
    </w:p>
    <w:p>
      <w:pPr>
        <w:spacing w:after="0" w:line="28" w:lineRule="exact"/>
        <w:rPr>
          <w:sz w:val="20"/>
          <w:szCs w:val="20"/>
          <w:color w:val="auto"/>
        </w:rPr>
      </w:pPr>
    </w:p>
    <w:p>
      <w:pPr>
        <w:ind w:left="4540"/>
        <w:spacing w:after="0"/>
        <w:tabs>
          <w:tab w:leader="none" w:pos="5260" w:val="left"/>
        </w:tabs>
        <w:rPr>
          <w:sz w:val="20"/>
          <w:szCs w:val="20"/>
          <w:color w:val="auto"/>
        </w:rPr>
      </w:pPr>
      <w:r>
        <w:rPr>
          <w:rFonts w:ascii="Times New Roman" w:cs="Times New Roman" w:eastAsia="Times New Roman" w:hAnsi="Times New Roman"/>
          <w:sz w:val="22"/>
          <w:szCs w:val="22"/>
          <w:color w:val="auto"/>
        </w:rPr>
        <w:t>Title:</w:t>
        <w:tab/>
        <w:t>President - AMC Networks Entertainment Group &amp; AMC Studios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Dan McDermott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McDermott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1066165</wp:posOffset>
            </wp:positionV>
            <wp:extent cx="4088765" cy="857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0887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October 20,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E-MAIL &amp; DOCUSIGN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McDermott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Carlos Goodman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Goodman Genow Schenkman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Smelkinson + Christopher,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9665 Wilshire Blvd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Beverly Hills, CA 90212</w:t>
      </w:r>
    </w:p>
    <w:p>
      <w:pPr>
        <w:spacing w:after="0" w:line="200" w:lineRule="exact"/>
        <w:rPr>
          <w:sz w:val="20"/>
          <w:szCs w:val="20"/>
          <w:color w:val="auto"/>
        </w:rPr>
      </w:pPr>
    </w:p>
    <w:p>
      <w:pPr>
        <w:spacing w:after="0" w:line="23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Amendment to Employment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Dan:</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amendment (the “Amendment”) will amend and modify the March 16, 2020 employment agreement (the “Employment Agreement”) between you and AMC Network Entertainment LLC. All defined terms used in this Amendment and not otherwise defined shall have the meaning ascribed thereto in the Employment Agreement. Additionally, except as modified by this Amendment, the Employment Agreement remains in full force and effect in accordance with its terms. This Amendment will be effective as of date of your execution (the “Amendment Effective Date”).</w:t>
      </w:r>
    </w:p>
    <w:p>
      <w:pPr>
        <w:spacing w:after="0" w:line="217" w:lineRule="exact"/>
        <w:rPr>
          <w:sz w:val="20"/>
          <w:szCs w:val="20"/>
          <w:color w:val="auto"/>
        </w:rPr>
      </w:pPr>
    </w:p>
    <w:p>
      <w:pPr>
        <w:ind w:firstLine="8"/>
        <w:spacing w:after="0" w:line="275" w:lineRule="auto"/>
        <w:tabs>
          <w:tab w:leader="none" w:pos="6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Position</w:t>
      </w:r>
      <w:r>
        <w:rPr>
          <w:rFonts w:ascii="Times New Roman" w:cs="Times New Roman" w:eastAsia="Times New Roman" w:hAnsi="Times New Roman"/>
          <w:sz w:val="22"/>
          <w:szCs w:val="22"/>
          <w:color w:val="auto"/>
        </w:rPr>
        <w:t>. Beginning on the Amendment Effective Date, you will be employed by the Company as President –</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Programming, AMC Networks and President – AMC Studios.</w:t>
      </w:r>
    </w:p>
    <w:p>
      <w:pPr>
        <w:spacing w:after="0" w:line="176" w:lineRule="exact"/>
        <w:rPr>
          <w:rFonts w:ascii="Times New Roman" w:cs="Times New Roman" w:eastAsia="Times New Roman" w:hAnsi="Times New Roman"/>
          <w:sz w:val="22"/>
          <w:szCs w:val="22"/>
          <w:color w:val="auto"/>
        </w:rPr>
      </w:pPr>
    </w:p>
    <w:p>
      <w:pPr>
        <w:ind w:right="20" w:firstLine="8"/>
        <w:spacing w:after="0" w:line="275" w:lineRule="auto"/>
        <w:tabs>
          <w:tab w:leader="none" w:pos="6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term of the Employment Agreement (the “Term”) shall be extended through the four-year anniversary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Effective Date.</w:t>
      </w:r>
    </w:p>
    <w:p>
      <w:pPr>
        <w:spacing w:after="0" w:line="176" w:lineRule="exact"/>
        <w:rPr>
          <w:rFonts w:ascii="Times New Roman" w:cs="Times New Roman" w:eastAsia="Times New Roman" w:hAnsi="Times New Roman"/>
          <w:sz w:val="22"/>
          <w:szCs w:val="22"/>
          <w:color w:val="auto"/>
        </w:rPr>
      </w:pPr>
    </w:p>
    <w:p>
      <w:pPr>
        <w:jc w:val="both"/>
        <w:ind w:firstLine="8"/>
        <w:spacing w:after="0" w:line="265" w:lineRule="auto"/>
        <w:tabs>
          <w:tab w:leader="none" w:pos="6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Salary</w:t>
      </w:r>
      <w:r>
        <w:rPr>
          <w:rFonts w:ascii="Times New Roman" w:cs="Times New Roman" w:eastAsia="Times New Roman" w:hAnsi="Times New Roman"/>
          <w:sz w:val="22"/>
          <w:szCs w:val="22"/>
          <w:color w:val="auto"/>
        </w:rPr>
        <w:t>. Effective as of October 1, 2021, your base salary will be, and throughout the Term will not be less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$1,500,000 annually, paid bi-weekly. You will be eligible to be considered for discretionary annual salary increases in accordance with Company practice in effect from time to time.</w:t>
      </w:r>
    </w:p>
    <w:p>
      <w:pPr>
        <w:spacing w:after="0" w:line="188" w:lineRule="exact"/>
        <w:rPr>
          <w:rFonts w:ascii="Times New Roman" w:cs="Times New Roman" w:eastAsia="Times New Roman" w:hAnsi="Times New Roman"/>
          <w:sz w:val="22"/>
          <w:szCs w:val="22"/>
          <w:color w:val="auto"/>
        </w:rPr>
      </w:pPr>
    </w:p>
    <w:p>
      <w:pPr>
        <w:ind w:right="20" w:firstLine="8"/>
        <w:spacing w:after="0" w:line="275" w:lineRule="auto"/>
        <w:tabs>
          <w:tab w:leader="none" w:pos="6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Bonus</w:t>
      </w:r>
      <w:r>
        <w:rPr>
          <w:rFonts w:ascii="Times New Roman" w:cs="Times New Roman" w:eastAsia="Times New Roman" w:hAnsi="Times New Roman"/>
          <w:sz w:val="22"/>
          <w:szCs w:val="22"/>
          <w:color w:val="auto"/>
        </w:rPr>
        <w:t>. Subject to the terms and conditions set forth in the provision of the Employment Agreement entitled</w:t>
      </w:r>
      <w:r>
        <w:rPr>
          <w:rFonts w:ascii="Times New Roman" w:cs="Times New Roman" w:eastAsia="Times New Roman" w:hAnsi="Times New Roman"/>
          <w:sz w:val="22"/>
          <w:szCs w:val="22"/>
          <w:i w:val="1"/>
          <w:iCs w:val="1"/>
          <w:color w:val="auto"/>
        </w:rPr>
        <w:t xml:space="preserve"> Bonus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as of October 1, 2021, your annual target bonus opportunity</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71" w:lineRule="auto"/>
        <w:rPr>
          <w:sz w:val="20"/>
          <w:szCs w:val="20"/>
          <w:color w:val="auto"/>
        </w:rPr>
      </w:pPr>
      <w:r>
        <w:rPr>
          <w:rFonts w:ascii="Times New Roman" w:cs="Times New Roman" w:eastAsia="Times New Roman" w:hAnsi="Times New Roman"/>
          <w:sz w:val="22"/>
          <w:szCs w:val="22"/>
          <w:color w:val="auto"/>
        </w:rPr>
        <w:t>under the terms of the Company’s discretionary annual bonus program (“AIP”) will be equal to one hundred percent (100%) of salary.</w:t>
      </w:r>
    </w:p>
    <w:p>
      <w:pPr>
        <w:spacing w:after="0" w:line="181" w:lineRule="exact"/>
        <w:rPr>
          <w:sz w:val="20"/>
          <w:szCs w:val="20"/>
          <w:color w:val="auto"/>
        </w:rPr>
      </w:pPr>
    </w:p>
    <w:p>
      <w:pPr>
        <w:jc w:val="both"/>
        <w:ind w:firstLine="8"/>
        <w:spacing w:after="0" w:line="251" w:lineRule="auto"/>
        <w:tabs>
          <w:tab w:leader="none" w:pos="64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and Long-Term Incentive Programs</w:t>
      </w:r>
      <w:r>
        <w:rPr>
          <w:rFonts w:ascii="Times New Roman" w:cs="Times New Roman" w:eastAsia="Times New Roman" w:hAnsi="Times New Roman"/>
          <w:sz w:val="22"/>
          <w:szCs w:val="22"/>
          <w:color w:val="auto"/>
        </w:rPr>
        <w:t>. You will continue to be eligible, subject to your continued employment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actual grant by the Compensation Committee in its sole discretion, to participate in such equity and other long-term incentive programs that are made available in the future to similarly situated employees at the Company. Beginning in calendar year 2022, it is expected that such awards will consist of annual grants of cash and/or equity awards with an annual target value of $1,000,000, as determined by the Compensation Committee. Any such awards would be subject to actual grant by the Compensation Committee, would be made pursuant to the applicable plan document and would be subject to terms and conditions established by the Compensation Committee in its sole discretion that would be detailed in separate agreements you will receive after any award is actually made.</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Please acknowledge receipt of this Amendment and acceptance of its terms by countersigning in the space indicated below and returning a signed copy to Cliff Bail, Executive Vice President and Deputy General Counsel, at </w:t>
      </w:r>
      <w:r>
        <w:rPr>
          <w:rFonts w:ascii="Times New Roman" w:cs="Times New Roman" w:eastAsia="Times New Roman" w:hAnsi="Times New Roman"/>
          <w:sz w:val="22"/>
          <w:szCs w:val="22"/>
          <w:u w:val="single" w:color="auto"/>
          <w:color w:val="0563C1"/>
        </w:rPr>
        <w:t>Cliff.Bail@amcnetworks.com</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We continue to appreciate your ongoing services to the Company and look forward to your execution of this Amendment.</w:t>
      </w:r>
    </w:p>
    <w:p>
      <w:pPr>
        <w:spacing w:after="0" w:line="200" w:lineRule="exact"/>
        <w:rPr>
          <w:sz w:val="20"/>
          <w:szCs w:val="20"/>
          <w:color w:val="auto"/>
        </w:rPr>
      </w:pPr>
    </w:p>
    <w:p>
      <w:pPr>
        <w:spacing w:after="0" w:line="30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AMC NETWORK</w:t>
      </w:r>
    </w:p>
    <w:p>
      <w:pPr>
        <w:ind w:left="4620"/>
        <w:spacing w:after="0"/>
        <w:rPr>
          <w:sz w:val="20"/>
          <w:szCs w:val="20"/>
          <w:color w:val="auto"/>
        </w:rPr>
      </w:pPr>
      <w:r>
        <w:rPr>
          <w:rFonts w:ascii="Times New Roman" w:cs="Times New Roman" w:eastAsia="Times New Roman" w:hAnsi="Times New Roman"/>
          <w:sz w:val="22"/>
          <w:szCs w:val="22"/>
          <w:color w:val="auto"/>
        </w:rPr>
        <w:t>ENTERTAINMENT LLC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 Matthew Blank</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By: Matthew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-160020</wp:posOffset>
            </wp:positionV>
            <wp:extent cx="1945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Dan McDermott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McDermott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October 20,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240"/>
          </w:cols>
          <w:pgMar w:left="320" w:top="142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Exhibit 22</w:t>
            </w:r>
          </w:p>
        </w:tc>
      </w:tr>
      <w:tr>
        <w:trPr>
          <w:trHeight w:val="810"/>
        </w:trPr>
        <w:tc>
          <w:tcPr>
            <w:tcW w:w="922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2024, the following subsidiaries of AMC Networks Inc. guarantee the notes issued by AMC Networks Inc.</w:t>
            </w:r>
          </w:p>
        </w:tc>
        <w:tc>
          <w:tcPr>
            <w:tcW w:w="2020" w:type="dxa"/>
            <w:vAlign w:val="bottom"/>
          </w:tcPr>
          <w:p>
            <w:pPr>
              <w:spacing w:after="0"/>
              <w:rPr>
                <w:sz w:val="23"/>
                <w:szCs w:val="23"/>
                <w:color w:val="auto"/>
              </w:rPr>
            </w:pPr>
          </w:p>
        </w:tc>
      </w:tr>
      <w:tr>
        <w:trPr>
          <w:trHeight w:val="240"/>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Party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61st Street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Aesir Media Group,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Games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Broadcasting &amp; Technology</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Plus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Premiere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TV Studios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AMC/Sundance Channel Global Networks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AMCN Properties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American Movie Classics IV Holding Corp</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Animal Control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Anime Network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Anthem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Badlands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Brockmire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Cobalt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Comic Scribe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Crossed Pens Development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Dark Winds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Dispatches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 Families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Geese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HIDIVE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35"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Entertainment Holdings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Entertainment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Films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In Theaters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Television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Theatres,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TV Studios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 Creative Contents Alliance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Kindred Spirit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Kopus Productions 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Kopus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Lodge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Lodge Productions II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Making Waves Studio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Mechanical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Monument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Moonhaven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Newfound Lake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NOS4A2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Peach Pit Properties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Peachwood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 Down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Premier Quills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AMC Content Distribution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Rainbow Media Enterprises, Inc.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Rainbow Media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Rectify Productions III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IV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Rectify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 Monday Programming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RNC Holding Corporation</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RNC II Holding Corporation</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Roughhouse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Selects VOD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Sentai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Sentai Filmworks,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Shudder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Stalwart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 Productions 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Sundance Film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Sxion 23,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IV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V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VII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X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Universe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Vampire Chronicles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Louisiana</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Voom HD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Holdings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 tv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Studios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Woodbury Studios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63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Kristin A. Dolan</w:t>
            </w:r>
          </w:p>
        </w:tc>
      </w:tr>
      <w:tr>
        <w:trPr>
          <w:trHeight w:val="218"/>
        </w:trPr>
        <w:tc>
          <w:tcPr>
            <w:tcW w:w="4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r>
      <w:tr>
        <w:trPr>
          <w:trHeight w:val="234"/>
        </w:trPr>
        <w:tc>
          <w:tcPr>
            <w:tcW w:w="40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60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4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180"/>
        </w:trPr>
        <w:tc>
          <w:tcPr>
            <w:tcW w:w="4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40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Networks Inc. (“AMC Networks”) hereby certifies, to such officer’s knowledge, that AMC Networks’ Quarterly Report on Form 10-Q for the quarter ended March 31, 2024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10, 2024</w:t>
            </w:r>
          </w:p>
        </w:tc>
        <w:tc>
          <w:tcPr>
            <w:tcW w:w="31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Kristin A. Dolan</w:t>
            </w:r>
          </w:p>
        </w:tc>
        <w:tc>
          <w:tcPr>
            <w:tcW w:w="20" w:type="dxa"/>
            <w:vAlign w:val="bottom"/>
          </w:tcPr>
          <w:p>
            <w:pPr>
              <w:spacing w:after="0"/>
              <w:rPr>
                <w:sz w:val="20"/>
                <w:szCs w:val="20"/>
                <w:color w:val="auto"/>
              </w:rPr>
            </w:pPr>
          </w:p>
        </w:tc>
      </w:tr>
      <w:tr>
        <w:trPr>
          <w:trHeight w:val="218"/>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10, 2024</w:t>
            </w:r>
          </w:p>
        </w:tc>
        <w:tc>
          <w:tcPr>
            <w:tcW w:w="31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20" w:type="dxa"/>
            <w:vAlign w:val="bottom"/>
          </w:tcPr>
          <w:p>
            <w:pPr>
              <w:spacing w:after="0"/>
              <w:rPr>
                <w:sz w:val="19"/>
                <w:szCs w:val="19"/>
                <w:color w:val="auto"/>
              </w:rPr>
            </w:pPr>
          </w:p>
        </w:tc>
      </w:tr>
    </w:tbl>
    <w:p>
      <w:pPr>
        <w:ind w:left="7500"/>
        <w:spacing w:after="0" w:line="215" w:lineRule="auto"/>
        <w:rPr>
          <w:sz w:val="20"/>
          <w:szCs w:val="20"/>
          <w:color w:val="auto"/>
        </w:rPr>
      </w:pPr>
      <w:r>
        <w:rPr>
          <w:rFonts w:ascii="Times New Roman" w:cs="Times New Roman" w:eastAsia="Times New Roman" w:hAnsi="Times New Roman"/>
          <w:sz w:val="18"/>
          <w:szCs w:val="18"/>
          <w:color w:val="auto"/>
        </w:rPr>
        <w:t>Executive Vice President and Chief Financial</w:t>
      </w:r>
    </w:p>
    <w:p>
      <w:pPr>
        <w:ind w:left="750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3"/>
      <w:numFmt w:val="bullet"/>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22"/>
    </w:lvl>
  </w:abstractNum>
  <w:abstractNum w:abstractNumId="14">
    <w:nsid w:val="7C83E458"/>
    <w:multiLevelType w:val="hybridMultilevel"/>
    <w:lvl w:ilvl="0">
      <w:lvlJc w:val="left"/>
      <w:lvlText w:val="%1"/>
      <w:numFmt w:val="decimal"/>
      <w:start w:val="32"/>
    </w:lvl>
  </w:abstractNum>
  <w:abstractNum w:abstractNumId="15">
    <w:nsid w:val="257130A3"/>
    <w:multiLevelType w:val="hybridMultilevel"/>
    <w:lvl w:ilvl="0">
      <w:lvlJc w:val="left"/>
      <w:lvlText w:val="%1"/>
      <w:numFmt w:val="decimal"/>
      <w:start w:val="104"/>
    </w:lvl>
  </w:abstractNum>
  <w:abstractNum w:abstractNumId="16">
    <w:nsid w:val="62BBD95A"/>
    <w:multiLevelType w:val="hybridMultilevel"/>
    <w:lvl w:ilvl="0">
      <w:lvlJc w:val="left"/>
      <w:lvlText w:val="o"/>
      <w:numFmt w:val="bullet"/>
      <w:start w:val="1"/>
    </w:lvl>
  </w:abstractNum>
  <w:abstractNum w:abstractNumId="17">
    <w:nsid w:val="436C6125"/>
    <w:multiLevelType w:val="hybridMultilevel"/>
    <w:lvl w:ilvl="0">
      <w:lvlJc w:val="left"/>
      <w:lvlText w:val="o"/>
      <w:numFmt w:val="bullet"/>
      <w:start w:val="1"/>
    </w:lvl>
  </w:abstractNum>
  <w:abstractNum w:abstractNumId="18">
    <w:nsid w:val="628C895D"/>
    <w:multiLevelType w:val="hybridMultilevel"/>
    <w:lvl w:ilvl="0">
      <w:lvlJc w:val="left"/>
      <w:lvlText w:val="o"/>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3" Type="http://schemas.openxmlformats.org/officeDocument/2006/relationships/hyperlink" Target="https://www.sec.gov/Archives/edgar/data/1514991/000151499124000013/amcx2024securednotes-inden.htm" TargetMode="External"/><Relationship Id="rId64" Type="http://schemas.openxmlformats.org/officeDocument/2006/relationships/hyperlink" Target="https://www.sec.gov/Archives/edgar/data/1514991/000151499124000013/amc-thirdamendmenttoseco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2024-05-10T15:17:24Z</dcterms:created>
  <dcterms:modified xsi:type="dcterms:W3CDTF">2024-05-10T15:17:24Z</dcterms:modified>
</cp:coreProperties>
</file>