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91440</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53975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3"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12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00" w:type="dxa"/>
            <w:vAlign w:val="bottom"/>
            <w:gridSpan w:val="2"/>
          </w:tcPr>
          <w:p>
            <w:pPr>
              <w:jc w:val="center"/>
              <w:ind w:left="970"/>
              <w:spacing w:after="0"/>
              <w:rPr>
                <w:sz w:val="20"/>
                <w:szCs w:val="20"/>
                <w:color w:val="auto"/>
              </w:rPr>
            </w:pPr>
            <w:r>
              <w:rPr>
                <w:rFonts w:ascii="Arial" w:cs="Arial" w:eastAsia="Arial" w:hAnsi="Arial"/>
                <w:sz w:val="18"/>
                <w:szCs w:val="18"/>
                <w:b w:val="1"/>
                <w:bCs w:val="1"/>
                <w:color w:val="auto"/>
                <w:w w:val="89"/>
              </w:rPr>
              <w:t>Annual report pursuant to Section 13 or 15(d) of the Securities Exchange Act of 1934</w:t>
            </w:r>
          </w:p>
        </w:tc>
        <w:tc>
          <w:tcPr>
            <w:tcW w:w="0" w:type="dxa"/>
            <w:vAlign w:val="bottom"/>
          </w:tcPr>
          <w:p>
            <w:pPr>
              <w:spacing w:after="0"/>
              <w:rPr>
                <w:sz w:val="1"/>
                <w:szCs w:val="1"/>
                <w:color w:val="auto"/>
              </w:rPr>
            </w:pPr>
          </w:p>
        </w:tc>
      </w:tr>
      <w:tr>
        <w:trPr>
          <w:trHeight w:val="344"/>
        </w:trPr>
        <w:tc>
          <w:tcPr>
            <w:tcW w:w="1220" w:type="dxa"/>
            <w:vAlign w:val="bottom"/>
          </w:tcPr>
          <w:p>
            <w:pPr>
              <w:spacing w:after="0"/>
              <w:rPr>
                <w:sz w:val="24"/>
                <w:szCs w:val="24"/>
                <w:color w:val="auto"/>
              </w:rPr>
            </w:pPr>
          </w:p>
        </w:tc>
        <w:tc>
          <w:tcPr>
            <w:tcW w:w="7800" w:type="dxa"/>
            <w:vAlign w:val="bottom"/>
            <w:gridSpan w:val="2"/>
          </w:tcPr>
          <w:p>
            <w:pPr>
              <w:jc w:val="center"/>
              <w:ind w:left="950"/>
              <w:spacing w:after="0"/>
              <w:rPr>
                <w:sz w:val="20"/>
                <w:szCs w:val="20"/>
                <w:color w:val="auto"/>
              </w:rPr>
            </w:pPr>
            <w:r>
              <w:rPr>
                <w:rFonts w:ascii="Arial" w:cs="Arial" w:eastAsia="Arial" w:hAnsi="Arial"/>
                <w:sz w:val="18"/>
                <w:szCs w:val="18"/>
                <w:b w:val="1"/>
                <w:bCs w:val="1"/>
                <w:color w:val="auto"/>
                <w:w w:val="89"/>
              </w:rPr>
              <w:t>For the fiscal year ended December 31, 2021</w:t>
            </w:r>
          </w:p>
        </w:tc>
        <w:tc>
          <w:tcPr>
            <w:tcW w:w="0" w:type="dxa"/>
            <w:vAlign w:val="bottom"/>
          </w:tcPr>
          <w:p>
            <w:pPr>
              <w:spacing w:after="0"/>
              <w:rPr>
                <w:sz w:val="1"/>
                <w:szCs w:val="1"/>
                <w:color w:val="auto"/>
              </w:rPr>
            </w:pPr>
          </w:p>
        </w:tc>
      </w:tr>
      <w:tr>
        <w:trPr>
          <w:trHeight w:val="257"/>
        </w:trPr>
        <w:tc>
          <w:tcPr>
            <w:tcW w:w="12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4060"/>
              <w:spacing w:after="0"/>
              <w:rPr>
                <w:sz w:val="20"/>
                <w:szCs w:val="20"/>
                <w:color w:val="auto"/>
              </w:rPr>
            </w:pPr>
            <w:r>
              <w:rPr>
                <w:rFonts w:ascii="Arial" w:cs="Arial" w:eastAsia="Arial" w:hAnsi="Arial"/>
                <w:sz w:val="18"/>
                <w:szCs w:val="18"/>
                <w:b w:val="1"/>
                <w:bCs w:val="1"/>
                <w:color w:val="auto"/>
              </w:rPr>
              <w:t>or</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220" w:type="dxa"/>
            <w:vAlign w:val="bottom"/>
            <w:vMerge w:val="continue"/>
          </w:tcPr>
          <w:p>
            <w:pPr>
              <w:spacing w:after="0"/>
              <w:rPr>
                <w:sz w:val="24"/>
                <w:szCs w:val="24"/>
                <w:color w:val="auto"/>
              </w:rPr>
            </w:pPr>
          </w:p>
        </w:tc>
        <w:tc>
          <w:tcPr>
            <w:tcW w:w="7800" w:type="dxa"/>
            <w:vAlign w:val="bottom"/>
            <w:gridSpan w:val="2"/>
          </w:tcPr>
          <w:p>
            <w:pPr>
              <w:jc w:val="center"/>
              <w:ind w:left="970"/>
              <w:spacing w:after="0"/>
              <w:rPr>
                <w:sz w:val="20"/>
                <w:szCs w:val="20"/>
                <w:color w:val="auto"/>
              </w:rPr>
            </w:pPr>
            <w:r>
              <w:rPr>
                <w:rFonts w:ascii="Arial" w:cs="Arial" w:eastAsia="Arial" w:hAnsi="Arial"/>
                <w:sz w:val="18"/>
                <w:szCs w:val="18"/>
                <w:b w:val="1"/>
                <w:bCs w:val="1"/>
                <w:color w:val="auto"/>
                <w:w w:val="89"/>
              </w:rPr>
              <w:t>Transition report pursuant to Section 13 or 15(d) of the Securities Exchange Act of 1934</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5220" w:type="dxa"/>
            <w:vAlign w:val="bottom"/>
          </w:tcPr>
          <w:p>
            <w:pPr>
              <w:ind w:left="2700"/>
              <w:spacing w:after="0"/>
              <w:rPr>
                <w:sz w:val="20"/>
                <w:szCs w:val="20"/>
                <w:color w:val="auto"/>
              </w:rPr>
            </w:pPr>
            <w:r>
              <w:rPr>
                <w:rFonts w:ascii="Arial" w:cs="Arial" w:eastAsia="Arial" w:hAnsi="Arial"/>
                <w:sz w:val="18"/>
                <w:szCs w:val="18"/>
                <w:b w:val="1"/>
                <w:bCs w:val="1"/>
                <w:color w:val="auto"/>
                <w:w w:val="98"/>
              </w:rPr>
              <w:t>For the transition period from</w:t>
            </w:r>
          </w:p>
        </w:tc>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bl>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85725</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180340</wp:posOffset>
            </wp:positionV>
            <wp:extent cx="21431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AMC Networks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52070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2"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440" w:type="dxa"/>
            <w:vAlign w:val="bottom"/>
          </w:tcPr>
          <w:p>
            <w:pPr>
              <w:spacing w:after="0"/>
              <w:rPr>
                <w:sz w:val="19"/>
                <w:szCs w:val="19"/>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60" w:type="dxa"/>
            <w:vAlign w:val="bottom"/>
            <w:gridSpan w:val="2"/>
          </w:tcPr>
          <w:p>
            <w:pPr>
              <w:jc w:val="right"/>
              <w:ind w:right="1026"/>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1440" w:type="dxa"/>
            <w:vAlign w:val="bottom"/>
          </w:tcPr>
          <w:p>
            <w:pPr>
              <w:spacing w:after="0"/>
              <w:rPr>
                <w:sz w:val="12"/>
                <w:szCs w:val="12"/>
                <w:color w:val="auto"/>
              </w:rPr>
            </w:pPr>
          </w:p>
        </w:tc>
        <w:tc>
          <w:tcPr>
            <w:tcW w:w="25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40" w:type="dxa"/>
            <w:vAlign w:val="bottom"/>
          </w:tcPr>
          <w:p>
            <w:pPr>
              <w:spacing w:after="0"/>
              <w:rPr>
                <w:sz w:val="16"/>
                <w:szCs w:val="16"/>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1440" w:type="dxa"/>
            <w:vAlign w:val="bottom"/>
          </w:tcPr>
          <w:p>
            <w:pPr>
              <w:spacing w:after="0"/>
              <w:rPr>
                <w:sz w:val="24"/>
                <w:szCs w:val="24"/>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8"/>
                <w:szCs w:val="18"/>
                <w:b w:val="1"/>
                <w:bCs w:val="1"/>
                <w:color w:val="auto"/>
                <w:w w:val="91"/>
              </w:rPr>
              <w:t>11 Penn Plaza, New York, NY</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gridSpan w:val="2"/>
          </w:tcPr>
          <w:p>
            <w:pPr>
              <w:jc w:val="right"/>
              <w:ind w:right="1246"/>
              <w:spacing w:after="0"/>
              <w:rPr>
                <w:sz w:val="20"/>
                <w:szCs w:val="20"/>
                <w:color w:val="auto"/>
              </w:rPr>
            </w:pPr>
            <w:r>
              <w:rPr>
                <w:rFonts w:ascii="Arial" w:cs="Arial" w:eastAsia="Arial" w:hAnsi="Arial"/>
                <w:sz w:val="18"/>
                <w:szCs w:val="18"/>
                <w:b w:val="1"/>
                <w:bCs w:val="1"/>
                <w:color w:val="auto"/>
              </w:rPr>
              <w:t>10001</w:t>
            </w:r>
          </w:p>
        </w:tc>
      </w:tr>
      <w:tr>
        <w:trPr>
          <w:trHeight w:val="186"/>
        </w:trPr>
        <w:tc>
          <w:tcPr>
            <w:tcW w:w="1440" w:type="dxa"/>
            <w:vAlign w:val="bottom"/>
          </w:tcPr>
          <w:p>
            <w:pPr>
              <w:spacing w:after="0"/>
              <w:rPr>
                <w:sz w:val="16"/>
                <w:szCs w:val="16"/>
                <w:color w:val="auto"/>
              </w:rPr>
            </w:pPr>
          </w:p>
        </w:tc>
        <w:tc>
          <w:tcPr>
            <w:tcW w:w="250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597"/>
        </w:trPr>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80" w:type="dxa"/>
            <w:vAlign w:val="bottom"/>
            <w:gridSpan w:val="3"/>
          </w:tcPr>
          <w:p>
            <w:pPr>
              <w:jc w:val="center"/>
              <w:ind w:left="559"/>
              <w:spacing w:after="0"/>
              <w:rPr>
                <w:sz w:val="20"/>
                <w:szCs w:val="20"/>
                <w:color w:val="auto"/>
              </w:rPr>
            </w:pPr>
            <w:r>
              <w:rPr>
                <w:rFonts w:ascii="Arial" w:cs="Arial" w:eastAsia="Arial" w:hAnsi="Arial"/>
                <w:sz w:val="18"/>
                <w:szCs w:val="18"/>
                <w:b w:val="1"/>
                <w:bCs w:val="1"/>
                <w:color w:val="auto"/>
                <w:w w:val="90"/>
              </w:rPr>
              <w:t>(212) 324-8500</w:t>
            </w:r>
          </w:p>
        </w:tc>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140" w:type="dxa"/>
            <w:vAlign w:val="bottom"/>
            <w:gridSpan w:val="5"/>
          </w:tcPr>
          <w:p>
            <w:pPr>
              <w:jc w:val="center"/>
              <w:ind w:right="274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86"/>
        </w:trPr>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20" w:type="dxa"/>
            <w:vAlign w:val="bottom"/>
            <w:gridSpan w:val="6"/>
          </w:tcPr>
          <w:p>
            <w:pPr>
              <w:jc w:val="center"/>
              <w:ind w:right="14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28"/>
        </w:trPr>
        <w:tc>
          <w:tcPr>
            <w:tcW w:w="14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440" w:type="dxa"/>
            <w:vAlign w:val="bottom"/>
          </w:tcPr>
          <w:p>
            <w:pPr>
              <w:spacing w:after="0"/>
              <w:rPr>
                <w:sz w:val="19"/>
                <w:szCs w:val="19"/>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6"/>
                <w:szCs w:val="16"/>
                <w:b w:val="1"/>
                <w:bCs w:val="1"/>
                <w:color w:val="auto"/>
                <w:w w:val="91"/>
              </w:rPr>
              <w:t>Trading Symbol(s)</w:t>
            </w:r>
          </w:p>
        </w:tc>
        <w:tc>
          <w:tcPr>
            <w:tcW w:w="3460" w:type="dxa"/>
            <w:vAlign w:val="bottom"/>
            <w:gridSpan w:val="2"/>
          </w:tcPr>
          <w:p>
            <w:pPr>
              <w:jc w:val="center"/>
              <w:ind w:left="35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940" w:type="dxa"/>
            <w:vAlign w:val="bottom"/>
            <w:gridSpan w:val="3"/>
          </w:tcPr>
          <w:p>
            <w:pPr>
              <w:spacing w:after="0"/>
              <w:rPr>
                <w:sz w:val="20"/>
                <w:szCs w:val="20"/>
                <w:color w:val="auto"/>
              </w:rPr>
            </w:pPr>
            <w:r>
              <w:rPr>
                <w:rFonts w:ascii="Arial" w:cs="Arial" w:eastAsia="Arial" w:hAnsi="Arial"/>
                <w:sz w:val="16"/>
                <w:szCs w:val="16"/>
                <w:color w:val="auto"/>
              </w:rPr>
              <w:t>Class A Common Stock, par value $0.01 per share</w:t>
            </w:r>
          </w:p>
        </w:tc>
        <w:tc>
          <w:tcPr>
            <w:tcW w:w="440" w:type="dxa"/>
            <w:vAlign w:val="bottom"/>
          </w:tcPr>
          <w:p>
            <w:pPr>
              <w:spacing w:after="0"/>
              <w:rPr>
                <w:sz w:val="20"/>
                <w:szCs w:val="20"/>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6"/>
                <w:szCs w:val="16"/>
                <w:color w:val="auto"/>
              </w:rPr>
              <w:t>AMCX</w:t>
            </w:r>
          </w:p>
        </w:tc>
        <w:tc>
          <w:tcPr>
            <w:tcW w:w="4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21590</wp:posOffset>
            </wp:positionV>
            <wp:extent cx="3472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7360" w:val="left"/>
          <w:tab w:leader="none" w:pos="80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35"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5" w:lineRule="exact"/>
        <w:rPr>
          <w:sz w:val="20"/>
          <w:szCs w:val="20"/>
          <w:color w:val="auto"/>
        </w:rPr>
      </w:pPr>
    </w:p>
    <w:p>
      <w:pPr>
        <w:ind w:right="2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price of a share of common stock on June 30, 2021 (the last business day of the registrant's most recently completed second fiscal quarter) was approximately $1.9 billion.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8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February 9, 2022:</w:t>
            </w:r>
          </w:p>
        </w:tc>
        <w:tc>
          <w:tcPr>
            <w:tcW w:w="3460" w:type="dxa"/>
            <w:vAlign w:val="bottom"/>
          </w:tcPr>
          <w:p>
            <w:pPr>
              <w:spacing w:after="0"/>
              <w:rPr>
                <w:sz w:val="17"/>
                <w:szCs w:val="17"/>
                <w:color w:val="auto"/>
              </w:rPr>
            </w:pPr>
          </w:p>
        </w:tc>
      </w:tr>
      <w:tr>
        <w:trPr>
          <w:trHeight w:val="338"/>
        </w:trPr>
        <w:tc>
          <w:tcPr>
            <w:tcW w:w="7680" w:type="dxa"/>
            <w:vAlign w:val="bottom"/>
          </w:tcPr>
          <w:p>
            <w:pPr>
              <w:ind w:left="20"/>
              <w:spacing w:after="0"/>
              <w:rPr>
                <w:sz w:val="20"/>
                <w:szCs w:val="20"/>
                <w:color w:val="auto"/>
              </w:rPr>
            </w:pPr>
            <w:r>
              <w:rPr>
                <w:rFonts w:ascii="Arial" w:cs="Arial" w:eastAsia="Arial" w:hAnsi="Arial"/>
                <w:sz w:val="16"/>
                <w:szCs w:val="16"/>
                <w:color w:val="auto"/>
              </w:rPr>
              <w:t>Class A Common Stock par value $0.01 per share</w:t>
            </w:r>
          </w:p>
        </w:tc>
        <w:tc>
          <w:tcPr>
            <w:tcW w:w="3460" w:type="dxa"/>
            <w:vAlign w:val="bottom"/>
          </w:tcPr>
          <w:p>
            <w:pPr>
              <w:jc w:val="right"/>
              <w:spacing w:after="0"/>
              <w:rPr>
                <w:sz w:val="20"/>
                <w:szCs w:val="20"/>
                <w:color w:val="auto"/>
              </w:rPr>
            </w:pPr>
            <w:r>
              <w:rPr>
                <w:rFonts w:ascii="Arial" w:cs="Arial" w:eastAsia="Arial" w:hAnsi="Arial"/>
                <w:sz w:val="16"/>
                <w:szCs w:val="16"/>
                <w:color w:val="auto"/>
              </w:rPr>
              <w:t>30,891,692</w:t>
            </w: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Class B Common Stock par value $0.01 per share</w:t>
            </w:r>
          </w:p>
        </w:tc>
        <w:tc>
          <w:tcPr>
            <w:tcW w:w="3460" w:type="dxa"/>
            <w:vAlign w:val="bottom"/>
          </w:tcPr>
          <w:p>
            <w:pPr>
              <w:jc w:val="right"/>
              <w:spacing w:after="0"/>
              <w:rPr>
                <w:sz w:val="20"/>
                <w:szCs w:val="20"/>
                <w:color w:val="auto"/>
              </w:rPr>
            </w:pPr>
            <w:r>
              <w:rPr>
                <w:rFonts w:ascii="Arial" w:cs="Arial" w:eastAsia="Arial" w:hAnsi="Arial"/>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149225</wp:posOffset>
            </wp:positionV>
            <wp:extent cx="347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Certain information required in Item 10 through Item 14 of Part III of this Annual Report on Form 10-K is incorporated herein by reference to the Registrant's definitive Proxy Statement for its 2022 Annual Meeting of Stockholders, which shall be filed with the Securities and Exchange Commission pursuant to Regulation 14A of the Securities Exchange Act of 1934, as amended, within 120 days of the Registrant's fiscal year end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3120" w:type="dxa"/>
            <w:vAlign w:val="bottom"/>
            <w:gridSpan w:val="8"/>
          </w:tcPr>
          <w:p>
            <w:pPr>
              <w:spacing w:after="0" w:line="182" w:lineRule="exact"/>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FORWARD-LOOKING STATEMENTS</w:t>
              </w:r>
            </w:hyperlink>
          </w:p>
        </w:tc>
        <w:tc>
          <w:tcPr>
            <w:tcW w:w="7460" w:type="dxa"/>
            <w:vAlign w:val="bottom"/>
            <w:gridSpan w:val="16"/>
          </w:tcPr>
          <w:p>
            <w:pPr>
              <w:spacing w:after="0"/>
              <w:rPr>
                <w:sz w:val="15"/>
                <w:szCs w:val="15"/>
                <w:color w:val="auto"/>
              </w:rPr>
            </w:pPr>
          </w:p>
        </w:tc>
        <w:tc>
          <w:tcPr>
            <w:tcW w:w="600" w:type="dxa"/>
            <w:vAlign w:val="bottom"/>
            <w:gridSpan w:val="4"/>
          </w:tcPr>
          <w:p>
            <w:pPr>
              <w:jc w:val="right"/>
              <w:ind w:right="20"/>
              <w:spacing w:after="0" w:line="18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4</w:t>
              </w:r>
            </w:hyperlink>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gridSpan w:val="4"/>
            <w:vMerge w:val="restart"/>
          </w:tcPr>
          <w:p>
            <w:pPr>
              <w:jc w:val="right"/>
              <w:ind w:right="20"/>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5</w:t>
              </w:r>
            </w:hyperlink>
          </w:p>
        </w:tc>
        <w:tc>
          <w:tcPr>
            <w:tcW w:w="0" w:type="dxa"/>
            <w:vAlign w:val="bottom"/>
          </w:tcPr>
          <w:p>
            <w:pPr>
              <w:spacing w:after="0"/>
              <w:rPr>
                <w:sz w:val="1"/>
                <w:szCs w:val="1"/>
                <w:color w:val="auto"/>
              </w:rPr>
            </w:pPr>
          </w:p>
        </w:tc>
      </w:tr>
      <w:tr>
        <w:trPr>
          <w:trHeight w:val="19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1.</w:t>
            </w:r>
          </w:p>
        </w:tc>
        <w:tc>
          <w:tcPr>
            <w:tcW w:w="8880" w:type="dxa"/>
            <w:vAlign w:val="bottom"/>
            <w:gridSpan w:val="22"/>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Risk Factors</w:t>
              </w:r>
            </w:hyperlink>
          </w:p>
        </w:tc>
        <w:tc>
          <w:tcPr>
            <w:tcW w:w="796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19">
              <w:r>
                <w:rPr>
                  <w:rFonts w:ascii="Arial" w:cs="Arial" w:eastAsia="Arial" w:hAnsi="Arial"/>
                  <w:sz w:val="18"/>
                  <w:szCs w:val="18"/>
                  <w:b w:val="1"/>
                  <w:bCs w:val="1"/>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Unresolved Staff Comments</w:t>
              </w:r>
            </w:hyperlink>
          </w:p>
        </w:tc>
        <w:tc>
          <w:tcPr>
            <w:tcW w:w="68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Properties</w:t>
              </w:r>
            </w:hyperlink>
          </w:p>
        </w:tc>
        <w:tc>
          <w:tcPr>
            <w:tcW w:w="8140" w:type="dxa"/>
            <w:vAlign w:val="bottom"/>
            <w:gridSpan w:val="2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3.</w:t>
            </w:r>
          </w:p>
        </w:tc>
        <w:tc>
          <w:tcPr>
            <w:tcW w:w="8880" w:type="dxa"/>
            <w:vAlign w:val="bottom"/>
            <w:gridSpan w:val="2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580" w:type="dxa"/>
            <w:vAlign w:val="bottom"/>
            <w:gridSpan w:val="3"/>
          </w:tcPr>
          <w:p>
            <w:pPr>
              <w:jc w:val="right"/>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Mine Safety Disclosures</w:t>
              </w:r>
            </w:hyperlink>
          </w:p>
        </w:tc>
        <w:tc>
          <w:tcPr>
            <w:tcW w:w="7100" w:type="dxa"/>
            <w:vAlign w:val="bottom"/>
            <w:gridSpan w:val="14"/>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3"/>
            <w:vMerge w:val="restart"/>
          </w:tcPr>
          <w:p>
            <w:pPr>
              <w:jc w:val="right"/>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5.</w:t>
            </w:r>
          </w:p>
        </w:tc>
        <w:tc>
          <w:tcPr>
            <w:tcW w:w="8880" w:type="dxa"/>
            <w:vAlign w:val="bottom"/>
            <w:gridSpan w:val="22"/>
          </w:tcPr>
          <w:p>
            <w:pPr>
              <w:spacing w:after="0" w:line="190" w:lineRule="exact"/>
              <w:rPr>
                <w:rFonts w:ascii="Arial" w:cs="Arial" w:eastAsia="Arial" w:hAnsi="Arial"/>
                <w:sz w:val="18"/>
                <w:szCs w:val="18"/>
                <w:color w:val="0000FF"/>
                <w:w w:val="99"/>
              </w:rPr>
            </w:pPr>
            <w:hyperlink w:anchor="page34">
              <w:r>
                <w:rPr>
                  <w:rFonts w:ascii="Arial" w:cs="Arial" w:eastAsia="Arial" w:hAnsi="Arial"/>
                  <w:sz w:val="18"/>
                  <w:szCs w:val="18"/>
                  <w:color w:val="0000FF"/>
                  <w:w w:val="99"/>
                </w:rPr>
                <w:t>Market for Registrant’s Common Equity, Related Stockholder Matters and Issuer Purchases of Equity Securities</w:t>
              </w:r>
            </w:hyperlink>
          </w:p>
        </w:tc>
        <w:tc>
          <w:tcPr>
            <w:tcW w:w="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3"/>
          </w:tcPr>
          <w:p>
            <w:pP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[Reserved]</w:t>
              </w:r>
            </w:hyperlink>
          </w:p>
        </w:tc>
        <w:tc>
          <w:tcPr>
            <w:tcW w:w="7280" w:type="dxa"/>
            <w:vAlign w:val="bottom"/>
            <w:tcBorders>
              <w:top w:val="single" w:sz="8" w:color="0000FF"/>
            </w:tcBorders>
            <w:gridSpan w:val="18"/>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rFonts w:ascii="Arial" w:cs="Arial" w:eastAsia="Arial" w:hAnsi="Arial"/>
                <w:sz w:val="18"/>
                <w:szCs w:val="18"/>
                <w:b w:val="1"/>
                <w:bCs w:val="1"/>
                <w:color w:val="0000FF"/>
                <w:w w:val="79"/>
              </w:rPr>
            </w:pPr>
            <w:hyperlink w:anchor="page35">
              <w:r>
                <w:rPr>
                  <w:rFonts w:ascii="Arial" w:cs="Arial" w:eastAsia="Arial" w:hAnsi="Arial"/>
                  <w:sz w:val="18"/>
                  <w:szCs w:val="18"/>
                  <w:b w:val="1"/>
                  <w:bCs w:val="1"/>
                  <w:color w:val="0000FF"/>
                  <w:w w:val="79"/>
                </w:rPr>
                <w:t>35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7.</w:t>
            </w:r>
          </w:p>
        </w:tc>
        <w:tc>
          <w:tcPr>
            <w:tcW w:w="888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3"/>
          </w:tcPr>
          <w:p>
            <w:pPr>
              <w:jc w:val="right"/>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7A.</w:t>
            </w:r>
          </w:p>
        </w:tc>
        <w:tc>
          <w:tcPr>
            <w:tcW w:w="43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Quantitative and Qualitative Disclosure About Market Risk</w:t>
              </w:r>
            </w:hyperlink>
          </w:p>
        </w:tc>
        <w:tc>
          <w:tcPr>
            <w:tcW w:w="2160" w:type="dxa"/>
            <w:vAlign w:val="bottom"/>
            <w:tcBorders>
              <w:top w:val="single" w:sz="8" w:color="0000FF"/>
            </w:tcBorders>
            <w:gridSpan w:val="3"/>
          </w:tcPr>
          <w:p>
            <w:pPr>
              <w:spacing w:after="0"/>
              <w:rPr>
                <w:sz w:val="18"/>
                <w:szCs w:val="18"/>
                <w:color w:val="auto"/>
              </w:rPr>
            </w:pPr>
          </w:p>
        </w:tc>
        <w:tc>
          <w:tcPr>
            <w:tcW w:w="24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54">
              <w:r>
                <w:rPr>
                  <w:rFonts w:ascii="Arial" w:cs="Arial" w:eastAsia="Arial" w:hAnsi="Arial"/>
                  <w:sz w:val="18"/>
                  <w:szCs w:val="18"/>
                  <w:b w:val="1"/>
                  <w:bCs w:val="1"/>
                  <w:color w:val="0000FF"/>
                  <w:w w:val="79"/>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Financial Statements and Supplementary Data</w:t>
              </w:r>
            </w:hyperlink>
          </w:p>
        </w:tc>
        <w:tc>
          <w:tcPr>
            <w:tcW w:w="5540" w:type="dxa"/>
            <w:vAlign w:val="bottom"/>
            <w:gridSpan w:val="9"/>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54">
              <w:r>
                <w:rPr>
                  <w:rFonts w:ascii="Arial" w:cs="Arial" w:eastAsia="Arial" w:hAnsi="Arial"/>
                  <w:sz w:val="18"/>
                  <w:szCs w:val="18"/>
                  <w:b w:val="1"/>
                  <w:bCs w:val="1"/>
                  <w:color w:val="0000FF"/>
                  <w:w w:val="79"/>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9.</w:t>
            </w:r>
          </w:p>
        </w:tc>
        <w:tc>
          <w:tcPr>
            <w:tcW w:w="8880" w:type="dxa"/>
            <w:vAlign w:val="bottom"/>
            <w:gridSpan w:val="22"/>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Changes in and Disagreements with Accountants on Accounting and Financial Disclosure</w:t>
              </w:r>
            </w:hyperlink>
          </w:p>
        </w:tc>
        <w:tc>
          <w:tcPr>
            <w:tcW w:w="580" w:type="dxa"/>
            <w:vAlign w:val="bottom"/>
            <w:gridSpan w:val="3"/>
          </w:tcPr>
          <w:p>
            <w:pPr>
              <w:jc w:val="right"/>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8"/>
          </w:tcPr>
          <w:p>
            <w:pPr>
              <w:spacing w:after="0" w:line="189" w:lineRule="exact"/>
              <w:rPr>
                <w:rFonts w:ascii="Arial" w:cs="Arial" w:eastAsia="Arial" w:hAnsi="Arial"/>
                <w:sz w:val="18"/>
                <w:szCs w:val="18"/>
                <w:color w:val="0000FF"/>
                <w:w w:val="88"/>
              </w:rPr>
            </w:pPr>
            <w:hyperlink w:anchor="page55">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11"/>
          </w:tcPr>
          <w:p>
            <w:pPr>
              <w:spacing w:after="0"/>
              <w:rPr>
                <w:sz w:val="16"/>
                <w:szCs w:val="16"/>
                <w:color w:val="auto"/>
              </w:rPr>
            </w:pPr>
          </w:p>
        </w:tc>
        <w:tc>
          <w:tcPr>
            <w:tcW w:w="240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rFonts w:ascii="Arial" w:cs="Arial" w:eastAsia="Arial" w:hAnsi="Arial"/>
                <w:sz w:val="18"/>
                <w:szCs w:val="18"/>
                <w:b w:val="1"/>
                <w:bCs w:val="1"/>
                <w:color w:val="0000FF"/>
                <w:w w:val="79"/>
              </w:rPr>
            </w:pPr>
            <w:hyperlink w:anchor="page55">
              <w:r>
                <w:rPr>
                  <w:rFonts w:ascii="Arial" w:cs="Arial" w:eastAsia="Arial" w:hAnsi="Arial"/>
                  <w:sz w:val="18"/>
                  <w:szCs w:val="18"/>
                  <w:b w:val="1"/>
                  <w:bCs w:val="1"/>
                  <w:color w:val="0000FF"/>
                  <w:w w:val="79"/>
                </w:rPr>
                <w:t>55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9B.</w:t>
            </w:r>
          </w:p>
        </w:tc>
        <w:tc>
          <w:tcPr>
            <w:tcW w:w="888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Other Information</w:t>
              </w:r>
            </w:hyperlink>
          </w:p>
        </w:tc>
        <w:tc>
          <w:tcPr>
            <w:tcW w:w="580" w:type="dxa"/>
            <w:vAlign w:val="bottom"/>
            <w:gridSpan w:val="3"/>
          </w:tcPr>
          <w:p>
            <w:pPr>
              <w:jc w:val="right"/>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9C.</w:t>
            </w:r>
          </w:p>
        </w:tc>
        <w:tc>
          <w:tcPr>
            <w:tcW w:w="888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Disclosure Regarding Foreign Jurisdictions that Prevent Inspections</w:t>
              </w:r>
            </w:hyperlink>
          </w:p>
        </w:tc>
        <w:tc>
          <w:tcPr>
            <w:tcW w:w="580" w:type="dxa"/>
            <w:vAlign w:val="bottom"/>
            <w:gridSpan w:val="3"/>
          </w:tcPr>
          <w:p>
            <w:pPr>
              <w:jc w:val="right"/>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rFonts w:ascii="Arial" w:cs="Arial" w:eastAsia="Arial" w:hAnsi="Arial"/>
                <w:sz w:val="18"/>
                <w:szCs w:val="18"/>
                <w:b w:val="1"/>
                <w:bCs w:val="1"/>
                <w:color w:val="0000FF"/>
                <w:w w:val="79"/>
              </w:rPr>
            </w:pPr>
            <w:hyperlink w:anchor="page56">
              <w:r>
                <w:rPr>
                  <w:rFonts w:ascii="Arial" w:cs="Arial" w:eastAsia="Arial" w:hAnsi="Arial"/>
                  <w:sz w:val="18"/>
                  <w:szCs w:val="18"/>
                  <w:b w:val="1"/>
                  <w:bCs w:val="1"/>
                  <w:color w:val="0000FF"/>
                  <w:w w:val="79"/>
                </w:rPr>
                <w:t>56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10.</w:t>
            </w:r>
          </w:p>
        </w:tc>
        <w:tc>
          <w:tcPr>
            <w:tcW w:w="8880" w:type="dxa"/>
            <w:vAlign w:val="bottom"/>
            <w:gridSpan w:val="22"/>
          </w:tcPr>
          <w:p>
            <w:pPr>
              <w:spacing w:after="0" w:line="190" w:lineRule="exact"/>
              <w:rPr>
                <w:rFonts w:ascii="Arial" w:cs="Arial" w:eastAsia="Arial" w:hAnsi="Arial"/>
                <w:sz w:val="18"/>
                <w:szCs w:val="18"/>
                <w:color w:val="0000FF"/>
              </w:rPr>
            </w:pPr>
            <w:hyperlink w:anchor="page56">
              <w:r>
                <w:rPr>
                  <w:rFonts w:ascii="Arial" w:cs="Arial" w:eastAsia="Arial" w:hAnsi="Arial"/>
                  <w:sz w:val="18"/>
                  <w:szCs w:val="18"/>
                  <w:color w:val="0000FF"/>
                </w:rPr>
                <w:t>Directors, Executive Officers and Corporate Governance</w:t>
              </w:r>
            </w:hyperlink>
          </w:p>
        </w:tc>
        <w:tc>
          <w:tcPr>
            <w:tcW w:w="4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9"/>
          </w:tcPr>
          <w:p>
            <w:pPr>
              <w:spacing w:after="0" w:line="189"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Executive Compensation</w:t>
              </w:r>
            </w:hyperlink>
          </w:p>
        </w:tc>
        <w:tc>
          <w:tcPr>
            <w:tcW w:w="2280" w:type="dxa"/>
            <w:vAlign w:val="bottom"/>
            <w:tcBorders>
              <w:top w:val="single" w:sz="8" w:color="0000FF"/>
            </w:tcBorders>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line="189" w:lineRule="exact"/>
              <w:rPr>
                <w:rFonts w:ascii="Arial" w:cs="Arial" w:eastAsia="Arial" w:hAnsi="Arial"/>
                <w:sz w:val="18"/>
                <w:szCs w:val="18"/>
                <w:b w:val="1"/>
                <w:bCs w:val="1"/>
                <w:color w:val="0000FF"/>
                <w:w w:val="79"/>
              </w:rPr>
            </w:pPr>
            <w:hyperlink w:anchor="page56">
              <w:r>
                <w:rPr>
                  <w:rFonts w:ascii="Arial" w:cs="Arial" w:eastAsia="Arial" w:hAnsi="Arial"/>
                  <w:sz w:val="18"/>
                  <w:szCs w:val="18"/>
                  <w:b w:val="1"/>
                  <w:bCs w:val="1"/>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0"/>
          </w:tcPr>
          <w:p>
            <w:pPr>
              <w:spacing w:after="0" w:line="189"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Security Ownership of Certain Beneficial Owners and Management and Related Stockholder Matters</w:t>
              </w:r>
            </w:hyperlink>
          </w:p>
        </w:tc>
        <w:tc>
          <w:tcPr>
            <w:tcW w:w="15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rFonts w:ascii="Arial" w:cs="Arial" w:eastAsia="Arial" w:hAnsi="Arial"/>
                <w:sz w:val="18"/>
                <w:szCs w:val="18"/>
                <w:b w:val="1"/>
                <w:bCs w:val="1"/>
                <w:color w:val="0000FF"/>
                <w:w w:val="79"/>
              </w:rPr>
            </w:pPr>
            <w:hyperlink w:anchor="page56">
              <w:r>
                <w:rPr>
                  <w:rFonts w:ascii="Arial" w:cs="Arial" w:eastAsia="Arial" w:hAnsi="Arial"/>
                  <w:sz w:val="18"/>
                  <w:szCs w:val="18"/>
                  <w:b w:val="1"/>
                  <w:bCs w:val="1"/>
                  <w:color w:val="0000FF"/>
                  <w:w w:val="79"/>
                </w:rPr>
                <w:t>56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Certain Relationships and Related Transactions, and Director Independence</w:t>
              </w:r>
            </w:hyperlink>
          </w:p>
        </w:tc>
        <w:tc>
          <w:tcPr>
            <w:tcW w:w="34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56">
              <w:r>
                <w:rPr>
                  <w:rFonts w:ascii="Arial" w:cs="Arial" w:eastAsia="Arial" w:hAnsi="Arial"/>
                  <w:sz w:val="18"/>
                  <w:szCs w:val="18"/>
                  <w:b w:val="1"/>
                  <w:bCs w:val="1"/>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14.</w:t>
            </w:r>
          </w:p>
        </w:tc>
        <w:tc>
          <w:tcPr>
            <w:tcW w:w="8880" w:type="dxa"/>
            <w:vAlign w:val="bottom"/>
            <w:gridSpan w:val="2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Principal Accountant Fees and Services</w:t>
              </w:r>
            </w:hyperlink>
          </w:p>
        </w:tc>
        <w:tc>
          <w:tcPr>
            <w:tcW w:w="580" w:type="dxa"/>
            <w:vAlign w:val="bottom"/>
            <w:gridSpan w:val="3"/>
          </w:tcPr>
          <w:p>
            <w:pPr>
              <w:jc w:val="right"/>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rFonts w:ascii="Arial" w:cs="Arial" w:eastAsia="Arial" w:hAnsi="Arial"/>
                <w:sz w:val="18"/>
                <w:szCs w:val="18"/>
                <w:b w:val="1"/>
                <w:bCs w:val="1"/>
                <w:color w:val="0000FF"/>
                <w:w w:val="79"/>
              </w:rPr>
            </w:pPr>
            <w:hyperlink w:anchor="page57">
              <w:r>
                <w:rPr>
                  <w:rFonts w:ascii="Arial" w:cs="Arial" w:eastAsia="Arial" w:hAnsi="Arial"/>
                  <w:sz w:val="18"/>
                  <w:szCs w:val="18"/>
                  <w:b w:val="1"/>
                  <w:bCs w:val="1"/>
                  <w:color w:val="0000FF"/>
                  <w:w w:val="79"/>
                </w:rPr>
                <w:t>57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7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Item 15.</w:t>
            </w:r>
          </w:p>
        </w:tc>
        <w:tc>
          <w:tcPr>
            <w:tcW w:w="8880" w:type="dxa"/>
            <w:vAlign w:val="bottom"/>
            <w:gridSpan w:val="22"/>
          </w:tcPr>
          <w:p>
            <w:pPr>
              <w:spacing w:after="0" w:line="190" w:lineRule="exact"/>
              <w:rPr>
                <w:rFonts w:ascii="Arial" w:cs="Arial" w:eastAsia="Arial" w:hAnsi="Arial"/>
                <w:sz w:val="18"/>
                <w:szCs w:val="18"/>
                <w:color w:val="0000FF"/>
              </w:rPr>
            </w:pPr>
            <w:hyperlink w:anchor="page57">
              <w:r>
                <w:rPr>
                  <w:rFonts w:ascii="Arial" w:cs="Arial" w:eastAsia="Arial" w:hAnsi="Arial"/>
                  <w:sz w:val="18"/>
                  <w:szCs w:val="18"/>
                  <w:color w:val="0000FF"/>
                </w:rPr>
                <w:t>Exhibits and Financial Statement Schedules</w:t>
              </w:r>
            </w:hyperlink>
          </w:p>
        </w:tc>
        <w:tc>
          <w:tcPr>
            <w:tcW w:w="4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ind w:left="20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Form 10-K Summary</w:t>
              </w:r>
            </w:hyperlink>
          </w:p>
        </w:tc>
        <w:tc>
          <w:tcPr>
            <w:tcW w:w="1600" w:type="dxa"/>
            <w:vAlign w:val="bottom"/>
            <w:tcBorders>
              <w:top w:val="single" w:sz="8" w:color="0000FF"/>
            </w:tcBorders>
            <w:gridSpan w:val="5"/>
          </w:tcPr>
          <w:p>
            <w:pPr>
              <w:spacing w:after="0"/>
              <w:rPr>
                <w:sz w:val="18"/>
                <w:szCs w:val="18"/>
                <w:color w:val="auto"/>
              </w:rPr>
            </w:pPr>
          </w:p>
        </w:tc>
        <w:tc>
          <w:tcPr>
            <w:tcW w:w="572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57">
              <w:r>
                <w:rPr>
                  <w:rFonts w:ascii="Arial" w:cs="Arial" w:eastAsia="Arial" w:hAnsi="Arial"/>
                  <w:sz w:val="18"/>
                  <w:szCs w:val="18"/>
                  <w:b w:val="1"/>
                  <w:bCs w:val="1"/>
                  <w:color w:val="0000FF"/>
                  <w:w w:val="79"/>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SIGNATURES</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60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9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laws or treaties relating to taxation, or the interpretation thereof, in the United States or in the countries in which we operate;</w:t>
      </w:r>
    </w:p>
    <w:p>
      <w:pPr>
        <w:spacing w:after="0" w:line="74"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660" w:right="620" w:hanging="328"/>
        <w:spacing w:after="0" w:line="298"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this Annual Report.</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w:t>
      </w:r>
    </w:p>
    <w:p>
      <w:pPr>
        <w:spacing w:after="0" w:line="6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(the "Distribution"), and AMC Networks Inc. became an independent public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AMC Networks is a global entertainment company known for its popular and award-winning content. We distribute our content to audiences globally on an ever-expanding array of distribution platforms, including: linear networks, subscription streaming services, and social media platforms, as well as through content licensing arrangements. We have an extensive library of television and film properties that we own and control, including several storied franchises that are well-known to a global audience.</w:t>
      </w:r>
    </w:p>
    <w:p>
      <w:pPr>
        <w:spacing w:after="0" w:line="79"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We have operated in the entertainment industry for more than 40 years, and over that time we have created targeted and focused video entertainment products that we own and operate and that are powered by distinguished brands, including AMC, AMC+, BBC AMERICA (which we operate through a joint venture with BBC Studios), IFC, SundanceTV, WE tv, Acorn TV, Shudder, Sundance Now, ALLBLK, and IFC Films. Our distinctive, critically-acclaimed content spans multiple genres, including drama, documentary, comedy, reality, anthology, feature film and short form. Our content and our brands are well known and well regarded by our key constituents — our viewers and subscribers as well as distributors and advertisers. Our network, streaming and show brands have developed strong, dedicated followings within their respective targeted demographics, increasing their value to distributors and advertisers. Through our AMC Studios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distribute our owned content on leading third-party platforms. Our owned content as well as the content that we license is distributed domestically and internationally across linear networks, digital streaming services, home video and syndication.</w:t>
      </w:r>
    </w:p>
    <w:p>
      <w:pPr>
        <w:spacing w:after="0" w:line="60"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 xml:space="preserve">In the United States ("U.S."), our programming networks are AMC, BBC AMERICA, IFC, SundanceTV and WE tv. Our deep and established presence in the industry and the recognition we have received for our content and brands through industry awards, critical acclaim and other honors lend us a high degree of credibility with content creators and producers, providing us with strong relationships with top creative talent and demand for our owned programming for distribution on third-party platforms. Our networks are distributed primarily through traditional and virtual multi-channel video programming distributors ("MVPDs") and are available on every major U.S. distribution platform. Our programming strategy is to target audiences with high-quality, compelling stories and powerful brands, with shows like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w:t>
      </w:r>
      <w:r>
        <w:rPr>
          <w:rFonts w:ascii="Arial" w:cs="Arial" w:eastAsia="Arial" w:hAnsi="Arial"/>
          <w:sz w:val="18"/>
          <w:szCs w:val="18"/>
          <w:i w:val="1"/>
          <w:iCs w:val="1"/>
          <w:color w:val="auto"/>
        </w:rPr>
        <w:t>Killing Eve</w:t>
      </w:r>
      <w:r>
        <w:rPr>
          <w:rFonts w:ascii="Arial" w:cs="Arial" w:eastAsia="Arial" w:hAnsi="Arial"/>
          <w:sz w:val="18"/>
          <w:szCs w:val="18"/>
          <w:color w:val="auto"/>
        </w:rPr>
        <w:t xml:space="preserve">, </w:t>
      </w:r>
      <w:r>
        <w:rPr>
          <w:rFonts w:ascii="Arial" w:cs="Arial" w:eastAsia="Arial" w:hAnsi="Arial"/>
          <w:sz w:val="18"/>
          <w:szCs w:val="18"/>
          <w:i w:val="1"/>
          <w:iCs w:val="1"/>
          <w:color w:val="auto"/>
        </w:rPr>
        <w:t>Breaking Bad</w:t>
      </w:r>
      <w:r>
        <w:rPr>
          <w:rFonts w:ascii="Arial" w:cs="Arial" w:eastAsia="Arial" w:hAnsi="Arial"/>
          <w:sz w:val="18"/>
          <w:szCs w:val="18"/>
          <w:color w:val="auto"/>
        </w:rPr>
        <w:t xml:space="preserve"> and </w:t>
      </w:r>
      <w:r>
        <w:rPr>
          <w:rFonts w:ascii="Arial" w:cs="Arial" w:eastAsia="Arial" w:hAnsi="Arial"/>
          <w:sz w:val="18"/>
          <w:szCs w:val="18"/>
          <w:i w:val="1"/>
          <w:iCs w:val="1"/>
          <w:color w:val="auto"/>
        </w:rPr>
        <w:t>Better Call Saul</w:t>
      </w:r>
      <w:r>
        <w:rPr>
          <w:rFonts w:ascii="Arial" w:cs="Arial" w:eastAsia="Arial" w:hAnsi="Arial"/>
          <w:sz w:val="18"/>
          <w:szCs w:val="18"/>
          <w:color w:val="auto"/>
        </w:rPr>
        <w:t>, which resonate with critics and fans alike.</w:t>
      </w:r>
    </w:p>
    <w:p>
      <w:pPr>
        <w:spacing w:after="0" w:line="87"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 xml:space="preserve">For the last several years, an increasing area of focus has been to establish a portfolio of targeted subscription streaming services with strong brands that serve passionate fans with content depth, curation and community. Today, we are the global leader in targeted streaming. Our services include our premium subscription streaming bundle called AMC+. Launched in 2020, AMC+ includes commercial-free access to original programming from across our entertainment networks; library content including </w:t>
      </w:r>
      <w:r>
        <w:rPr>
          <w:rFonts w:ascii="Arial" w:cs="Arial" w:eastAsia="Arial" w:hAnsi="Arial"/>
          <w:sz w:val="17"/>
          <w:szCs w:val="17"/>
          <w:i w:val="1"/>
          <w:iCs w:val="1"/>
          <w:color w:val="auto"/>
        </w:rPr>
        <w:t>The Walking Dead, Fear the Walking Dead</w:t>
      </w:r>
      <w:r>
        <w:rPr>
          <w:rFonts w:ascii="Arial" w:cs="Arial" w:eastAsia="Arial" w:hAnsi="Arial"/>
          <w:sz w:val="17"/>
          <w:szCs w:val="17"/>
          <w:color w:val="auto"/>
        </w:rPr>
        <w:t xml:space="preserve">, </w:t>
      </w:r>
      <w:r>
        <w:rPr>
          <w:rFonts w:ascii="Arial" w:cs="Arial" w:eastAsia="Arial" w:hAnsi="Arial"/>
          <w:sz w:val="17"/>
          <w:szCs w:val="17"/>
          <w:i w:val="1"/>
          <w:iCs w:val="1"/>
          <w:color w:val="auto"/>
        </w:rPr>
        <w:t>The Walking Dead: World Beyond</w:t>
      </w:r>
      <w:r>
        <w:rPr>
          <w:rFonts w:ascii="Arial" w:cs="Arial" w:eastAsia="Arial" w:hAnsi="Arial"/>
          <w:sz w:val="17"/>
          <w:szCs w:val="17"/>
          <w:color w:val="auto"/>
        </w:rPr>
        <w:t xml:space="preserve"> and </w:t>
      </w:r>
      <w:r>
        <w:rPr>
          <w:rFonts w:ascii="Arial" w:cs="Arial" w:eastAsia="Arial" w:hAnsi="Arial"/>
          <w:sz w:val="17"/>
          <w:szCs w:val="17"/>
          <w:i w:val="1"/>
          <w:iCs w:val="1"/>
          <w:color w:val="auto"/>
        </w:rPr>
        <w:t>Mad Men;</w:t>
      </w:r>
      <w:r>
        <w:rPr>
          <w:rFonts w:ascii="Arial" w:cs="Arial" w:eastAsia="Arial" w:hAnsi="Arial"/>
          <w:sz w:val="17"/>
          <w:szCs w:val="17"/>
          <w:color w:val="auto"/>
        </w:rPr>
        <w:t xml:space="preserve"> and access to a number of our targeted streaming services. AMC+ is available to customers through our direct to consumer (“DTC”) app, as well as through MVPDs and virtual MVPDs, and digital streaming platforms such as Amazon Prime Channels, Apple TV Channels and The Roku Channel. AMC+ is currently available internationally in Canada and Australia, with additional expansion into overseas markets planned for 2022.</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targeted streaming offerings also include:</w:t>
      </w:r>
    </w:p>
    <w:p>
      <w:pPr>
        <w:spacing w:after="0" w:line="11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Acorn TV, featuring world-class mysteries and drama from Britain and beyond;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Shudder, for fans of horror and suspense;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Sundance Now, featuring prestige drama and true crime;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ALLBLK, focused on Black content from Black storytellers;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HIDIVE, featuring anime-focused content.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ind w:firstLine="364"/>
        <w:spacing w:after="0" w:line="259" w:lineRule="auto"/>
        <w:rPr>
          <w:sz w:val="20"/>
          <w:szCs w:val="20"/>
          <w:color w:val="auto"/>
        </w:rPr>
      </w:pPr>
      <w:r>
        <w:rPr>
          <w:rFonts w:ascii="Arial" w:cs="Arial" w:eastAsia="Arial" w:hAnsi="Arial"/>
          <w:sz w:val="18"/>
          <w:szCs w:val="18"/>
          <w:color w:val="auto"/>
        </w:rPr>
        <w:t>The content on these platforms is a mix of licensed and owned originals, a category that continues to expand as we increasingly invest in producing original programming, which is contributing to strong growth and a stable user base. Our various services are distributed in several key markets internationally, including Canada, the UK, parts of Europe, Australia, New Zealand, South Africa and Latin America, and we see a large opportunity for continued expansion of our services globally.</w:t>
      </w:r>
    </w:p>
    <w:p>
      <w:pPr>
        <w:spacing w:after="0" w:line="7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In December 2021, we acquired Sentai Holdings, LLC (“Sentai”), a leading global supplier of anime content and merchandise, with brands including the anime-focused HIDIVE subscription streaming service. With strong industry relationships and access to key content creators in Japan, Sentai distributes and curates one of the anime industry’s most diverse libraries of top trending and classic titles.</w:t>
      </w:r>
    </w:p>
    <w:p>
      <w:pPr>
        <w:spacing w:after="0" w:line="7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Internationally, we deliver programming that reaches subscribers in more than 125 countries and territories around the world. The international division of the Company, AMC Networks International ("AMCNI"), consists of our premier AMC global brand as well as a portfolio of popular, locally recognized brands delivering programming in a wide range of genres.</w:t>
      </w:r>
    </w:p>
    <w:p>
      <w:pPr>
        <w:spacing w:after="0" w:line="76"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AMC Networks also operates IFC Films, a film distribution business that distributes independent narrative and documentary films under the IFC Films label as well as the IFC Midnight distribution label. IFC Films is known for attracting high-profile talent and distributing films that regularly garner critical acclaim and industry honors, including numerous Academy Award, Golden Globe, and Cannes Film Festival-award winning titles, and has been behind some of the most culturally impactful and successful independent film and documentary releases of all time. IFC Films also operates IFC Films Unlimited, a subscription streaming service comprised of a broad range of theatrically-released and award winning titles from its distribution labels.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strategy is to maintain and improve our position as a leading entertainment company by creating and showcasing content that is high-quality, brand defining and compelling to watch, and by owning and operating some of the most popular and award-winning brands in entertainment that create engagement with audiences globally across multiple distribution platforms. Our strategic areas of focus are:</w:t>
      </w:r>
    </w:p>
    <w:p>
      <w:pPr>
        <w:spacing w:after="0" w:line="7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i w:val="1"/>
          <w:iCs w:val="1"/>
          <w:color w:val="auto"/>
        </w:rPr>
        <w:t>Continued Development of High-Quality Original Content</w:t>
      </w:r>
      <w:r>
        <w:rPr>
          <w:rFonts w:ascii="Arial" w:cs="Arial" w:eastAsia="Arial" w:hAnsi="Arial"/>
          <w:sz w:val="18"/>
          <w:szCs w:val="18"/>
          <w:color w:val="auto"/>
        </w:rPr>
        <w:t>. We intend to continue developing strong original content across our linear networks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streaming services to further enhance our brands, strengthen our relationships with our viewers, subscribers, distributors and advertisers, and to build viewership and attract and retain subscribers for our streaming services. We believe that our continued investment in original programming will support optimization of affiliate and streaming subscription, content licensing and advertising revenue.</w:t>
      </w:r>
    </w:p>
    <w:p>
      <w:pPr>
        <w:spacing w:after="0" w:line="79"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i w:val="1"/>
          <w:iCs w:val="1"/>
          <w:color w:val="auto"/>
        </w:rPr>
        <w:t>Increased Ownership and Control of Content and Valuable IP</w:t>
      </w:r>
      <w:r>
        <w:rPr>
          <w:rFonts w:ascii="Arial" w:cs="Arial" w:eastAsia="Arial" w:hAnsi="Arial"/>
          <w:sz w:val="18"/>
          <w:szCs w:val="18"/>
          <w:color w:val="auto"/>
        </w:rPr>
        <w:t>. AMC Networks’ wholly-owned or majority-controlled library includes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6,000 episodes and 1,300 films, as well as more than 20,000 episodes of highly localized unscripted lifestyle content from our AMC Networks International business. In addition, we have storied titles and brands known to a global audience, such as </w:t>
      </w:r>
      <w:r>
        <w:rPr>
          <w:rFonts w:ascii="Arial" w:cs="Arial" w:eastAsia="Arial" w:hAnsi="Arial"/>
          <w:sz w:val="18"/>
          <w:szCs w:val="18"/>
          <w:i w:val="1"/>
          <w:iCs w:val="1"/>
          <w:color w:val="auto"/>
        </w:rPr>
        <w:t>The Walking Dead</w:t>
      </w:r>
      <w:r>
        <w:rPr>
          <w:rFonts w:ascii="Arial" w:cs="Arial" w:eastAsia="Arial" w:hAnsi="Arial"/>
          <w:sz w:val="18"/>
          <w:szCs w:val="18"/>
          <w:color w:val="auto"/>
        </w:rPr>
        <w:t>, the Anne Rice catalog and the Agatha Christie library.</w:t>
      </w:r>
    </w:p>
    <w:p>
      <w:pPr>
        <w:spacing w:after="0" w:line="79"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1C1D20"/>
        </w:rPr>
        <w:t xml:space="preserve">We are very focused on increasing production of our proprietary content and leveraging our library of titles in order to enrich the content mix on our targeted streaming platforms. </w:t>
      </w:r>
      <w:r>
        <w:rPr>
          <w:rFonts w:ascii="Arial" w:cs="Arial" w:eastAsia="Arial" w:hAnsi="Arial"/>
          <w:sz w:val="17"/>
          <w:szCs w:val="17"/>
          <w:color w:val="000000"/>
        </w:rPr>
        <w:t>As our current content licensing deals with third parties expire, hundreds of hours of our popular and acclaimed shows and</w:t>
      </w:r>
      <w:r>
        <w:rPr>
          <w:rFonts w:ascii="Arial" w:cs="Arial" w:eastAsia="Arial" w:hAnsi="Arial"/>
          <w:sz w:val="17"/>
          <w:szCs w:val="17"/>
          <w:color w:val="1C1D20"/>
        </w:rPr>
        <w:t xml:space="preserve"> </w:t>
      </w:r>
      <w:r>
        <w:rPr>
          <w:rFonts w:ascii="Arial" w:cs="Arial" w:eastAsia="Arial" w:hAnsi="Arial"/>
          <w:sz w:val="17"/>
          <w:szCs w:val="17"/>
          <w:color w:val="000000"/>
        </w:rPr>
        <w:t xml:space="preserve">films will become an exclusive part of our owned and controlled library, including critically acclaimed hits </w:t>
      </w:r>
      <w:r>
        <w:rPr>
          <w:rFonts w:ascii="Arial" w:cs="Arial" w:eastAsia="Arial" w:hAnsi="Arial"/>
          <w:sz w:val="17"/>
          <w:szCs w:val="17"/>
          <w:i w:val="1"/>
          <w:iCs w:val="1"/>
          <w:color w:val="000000"/>
        </w:rPr>
        <w:t>Halt and Catch Fire, Turn</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Rectify</w:t>
      </w:r>
      <w:r>
        <w:rPr>
          <w:rFonts w:ascii="Arial" w:cs="Arial" w:eastAsia="Arial" w:hAnsi="Arial"/>
          <w:sz w:val="17"/>
          <w:szCs w:val="17"/>
          <w:color w:val="000000"/>
        </w:rPr>
        <w:t xml:space="preserve">, as well as all 11 seasons of </w:t>
      </w:r>
      <w:r>
        <w:rPr>
          <w:rFonts w:ascii="Arial" w:cs="Arial" w:eastAsia="Arial" w:hAnsi="Arial"/>
          <w:sz w:val="17"/>
          <w:szCs w:val="17"/>
          <w:i w:val="1"/>
          <w:iCs w:val="1"/>
          <w:color w:val="000000"/>
        </w:rPr>
        <w:t>The Walking Dead</w:t>
      </w:r>
      <w:r>
        <w:rPr>
          <w:rFonts w:ascii="Arial" w:cs="Arial" w:eastAsia="Arial" w:hAnsi="Arial"/>
          <w:sz w:val="17"/>
          <w:szCs w:val="17"/>
          <w:color w:val="000000"/>
        </w:rPr>
        <w:t xml:space="preserve"> to be discovered and rediscovered by fans, driving growth and value across our portfolio.</w:t>
      </w:r>
    </w:p>
    <w:p>
      <w:pPr>
        <w:spacing w:after="0" w:line="63"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i w:val="1"/>
          <w:iCs w:val="1"/>
          <w:color w:val="auto"/>
        </w:rPr>
        <w:t>Develop and Grow Targeted Streaming Offerings and Brands</w:t>
      </w:r>
      <w:r>
        <w:rPr>
          <w:rFonts w:ascii="Arial" w:cs="Arial" w:eastAsia="Arial" w:hAnsi="Arial"/>
          <w:sz w:val="18"/>
          <w:szCs w:val="18"/>
          <w:color w:val="auto"/>
        </w:rPr>
        <w:t>. For several years, we have focused on creating and growing targeted streaming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targeted streaming strategy is to serve distinct premium audiences and build loyal and engaged fan communities around each service. We are taking a unique approach to the market, serving audiences with targeted offerings that are companions to the larger streaming services. As the market for this category evolves, consumers are increasingly complementing their general entertainment subscriptions with our targeted streaming services. With this strategy, we do not compete with the larger streaming offerings and this puts us in a very advantageous position as we continue to grow this area of our business.</w:t>
      </w:r>
    </w:p>
    <w:p>
      <w:pPr>
        <w:spacing w:after="0" w:line="8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are seeing the same affinities for our services from consumers overseas as we are in the U.S, and we are beginning to accelerate oversees expansion of our targeted streaming services. Our services, most notably AMC+, Acorn TV and Shudder have begun to launch in key international markets, including Canada, the UK, parts of Europe, Australia, New Zealand, South Africa and Latin America</w:t>
      </w:r>
    </w:p>
    <w:p>
      <w:pPr>
        <w:spacing w:after="0" w:line="62" w:lineRule="exact"/>
        <w:rPr>
          <w:sz w:val="20"/>
          <w:szCs w:val="20"/>
          <w:color w:val="auto"/>
        </w:rPr>
      </w:pPr>
    </w:p>
    <w:p>
      <w:pPr>
        <w:ind w:right="220" w:firstLine="367"/>
        <w:spacing w:after="0" w:line="246" w:lineRule="auto"/>
        <w:rPr>
          <w:sz w:val="20"/>
          <w:szCs w:val="20"/>
          <w:color w:val="auto"/>
        </w:rPr>
      </w:pPr>
      <w:r>
        <w:rPr>
          <w:rFonts w:ascii="Arial" w:cs="Arial" w:eastAsia="Arial" w:hAnsi="Arial"/>
          <w:sz w:val="17"/>
          <w:szCs w:val="17"/>
          <w:i w:val="1"/>
          <w:iCs w:val="1"/>
          <w:color w:val="auto"/>
        </w:rPr>
        <w:t>Innovation in Content, Format and Distribution</w:t>
      </w:r>
      <w:r>
        <w:rPr>
          <w:rFonts w:ascii="Arial" w:cs="Arial" w:eastAsia="Arial" w:hAnsi="Arial"/>
          <w:sz w:val="17"/>
          <w:szCs w:val="17"/>
          <w:color w:val="auto"/>
        </w:rPr>
        <w:t>. We distribute our content across other platforms when it makes business sense to do so, so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viewers can access our content where, when and how they want it. To that end, we have partnerships with all major streaming services and digital platforms, including Netflix, Hulu and Amazon Prime, to make our content available to their subscribers on various platforms permitting subscribers to access programs at their convenience, including electronic-sell-through (EST) and physical (DVD and Blu-ray) formats.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both"/>
        <w:ind w:firstLine="364"/>
        <w:spacing w:after="0" w:line="269" w:lineRule="auto"/>
        <w:rPr>
          <w:sz w:val="20"/>
          <w:szCs w:val="20"/>
          <w:color w:val="auto"/>
        </w:rPr>
      </w:pPr>
      <w:r>
        <w:rPr>
          <w:rFonts w:ascii="Arial" w:cs="Arial" w:eastAsia="Arial" w:hAnsi="Arial"/>
          <w:sz w:val="17"/>
          <w:szCs w:val="17"/>
          <w:i w:val="1"/>
          <w:iCs w:val="1"/>
          <w:color w:val="auto"/>
        </w:rPr>
        <w:t>Growth and Innovation in Advertising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201F1E"/>
        </w:rPr>
        <w:t>We continue to leverage our premium quality, popular content on our networks to optimize our advertising</w:t>
      </w:r>
      <w:r>
        <w:rPr>
          <w:rFonts w:ascii="Arial" w:cs="Arial" w:eastAsia="Arial" w:hAnsi="Arial"/>
          <w:sz w:val="17"/>
          <w:szCs w:val="17"/>
          <w:i w:val="1"/>
          <w:iCs w:val="1"/>
          <w:color w:val="auto"/>
        </w:rPr>
        <w:t xml:space="preserve"> </w:t>
      </w:r>
      <w:r>
        <w:rPr>
          <w:rFonts w:ascii="Arial" w:cs="Arial" w:eastAsia="Arial" w:hAnsi="Arial"/>
          <w:sz w:val="17"/>
          <w:szCs w:val="17"/>
          <w:color w:val="201F1E"/>
        </w:rPr>
        <w:t>revenue. In addition, we are embracing new opportunities the evolving advertising space presents, including an expanding presence on advertising video on demand (AVOD) and free ad-supported streaming (FAST) platforms. To date, we have launched a total of seven distinct channels featuring our content, in different configurations, across major AVOD platforms, such as Pluto TV, Sling TV and Samsung TV Plus. We have increased the value of our linear and digital advertising inventory by establishing a leadership position in advanced advertising technologies, including addressable advertising and programmatic buying, to make it easier for a wider variety of advertisers to partner with us and to make the impressions they buy smarter and more effective. We have seen the number of advertisers utilizing these tools increase and our targeted audience advertising sales have grown as a result. In addition to our own initiatives, we are also participating in broader industry efforts focused on expanding the availability of addressable advertising. We believe our products enhance our value to advertisers through better targeting, data and measurement and we believe they will contribute to growth of our overall business in the mid and long term.</w:t>
      </w:r>
    </w:p>
    <w:p>
      <w:pPr>
        <w:spacing w:after="0" w:line="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01F1E"/>
        </w:rPr>
        <w:t>We are also creating new opportunities for brands to leverage the strength of our content and our large and passionate fan communities through custom content, on social platforms and also through on-the-ground live events centralized in an initiative called “The Content Room,” which provides a one-stop shop for advertisers to leverage the popularity of our original content in a variety of compelling and innovative ways. These opportunities are rooted in our strong content and proven ability to build vibrant, large and engaged fan communities around our shows and franchises.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earn revenue principally from the distribution of our programming and the sale of advertising. Distribution revenues primarily include fees paid by distributors to carry our programming networks, revenue earned from the licensing of original programming and subscription fees paid for our streaming services. In 2021, distribution revenues and advertising sales accounted for 69% and 31% of our consolidated revenues, net, respectively. For the year ended December 31, 2021, no customer accounted for greater than 10% of our consolidated revenues,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Revenue</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Our programming networks and, to an increasing extent, our streaming services are distributed to our viewing audience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U.S. and around the world via cable and other multichannel video programming distribution platforms, including direct broadcast satellite ("DBS"), platforms operated by telecommunications providers and virtual MVPDs (collectively "distributors") pursuant to agreements with the distributors. Our programming networks' existing distribution agreements expire at various dates through 2028. For our streaming services, we earn monthly fees as the streaming service is provided to our customers.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frequently negotiate with distributors in an effort to increase the subscriber base for our networks. We have in some instances made upfront payments to distributors in exchange for these additional subscribers. We also may help fund the distributors' efforts to market our programming networks and streaming services or we may permit distributors to offer limited 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Content licensing revenue: </w:t>
      </w:r>
      <w:r>
        <w:rPr>
          <w:rFonts w:ascii="Arial" w:cs="Arial" w:eastAsia="Arial" w:hAnsi="Arial"/>
          <w:sz w:val="18"/>
          <w:szCs w:val="18"/>
          <w:color w:val="auto"/>
        </w:rPr>
        <w:t>We sell rights to our owned original programming and content acquired under long-term distribution arrangements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 a variety of forms including television markets worldwide, streaming services or digital platform providers, such as Netflix, Hulu, and Amazon Prime, electronic-sell-through (EST) and physical (DVD and Blu-ray) formats.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Revenue</w:t>
      </w:r>
    </w:p>
    <w:p>
      <w:pPr>
        <w:spacing w:after="0" w:line="104"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We earn advertising revenue by selling advertising time on our programming networks, on digital platforms we own and also on an increasing number of AVOD platforms. In the United States,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we are generally represented by third-party sales agents.</w:t>
      </w:r>
    </w:p>
    <w:p>
      <w:pPr>
        <w:spacing w:after="0" w:line="73"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6"/>
          <w:szCs w:val="16"/>
          <w:color w:val="auto"/>
        </w:rPr>
        <w:t>Our arrangements with advertisers provide for a set number of advertising units to air over a specific period of time at a negotiated price per unit. In most domestic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7"/>
          <w:szCs w:val="17"/>
          <w:color w:val="auto"/>
        </w:rPr>
        <w:t>additional advertising unit or the guarantee obligation contractually expires. In the United States,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have advertisers representing companies in a broad range of sectors, including automotive, restaurants/food, health, and telecommunications industries.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obtain programming through a combination of development, production and licensing; and we distribute programming directly to consumers in the United States and throughout the world through our programming networks, streaming services, theatrical release of acquired films and other forms of distribution. Our programming includes original programming that we control, either through outright ownership or through long-term licensing arrangements, as well as acquired programming that we license from studios and other rights holders.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Original Programming</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Through our AMC Studios operation, we increasingly produce and own more of our original programming, primarily for our programming networks and streaming services, and also for license to third parties worldwide. Decisions as to how to distribute programming are made on the basis of a variety of factors including the relative value of any particular alternative.</w:t>
      </w:r>
    </w:p>
    <w:p>
      <w:pPr>
        <w:spacing w:after="0" w:line="211"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also contract with some of the industry's leading production companies to produce original programming that appears on our programming networks and streaming services.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Programming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majority of the content on our programming networks and streaming services consists of films, episodic series and specials that we acquire pursuant to rights agreements with film studios, production companies or other rights holders. This acquired programming includes episodic series such as </w:t>
      </w:r>
      <w:r>
        <w:rPr>
          <w:rFonts w:ascii="Arial" w:cs="Arial" w:eastAsia="Arial" w:hAnsi="Arial"/>
          <w:sz w:val="18"/>
          <w:szCs w:val="18"/>
          <w:i w:val="1"/>
          <w:iCs w:val="1"/>
          <w:color w:val="auto"/>
        </w:rPr>
        <w:t xml:space="preserve">Law and Order, The X-Files, Criminal Minds, CSI: Miami, Two and a Half Men </w:t>
      </w:r>
      <w:r>
        <w:rPr>
          <w:rFonts w:ascii="Arial" w:cs="Arial" w:eastAsia="Arial" w:hAnsi="Arial"/>
          <w:sz w:val="18"/>
          <w:szCs w:val="18"/>
          <w:color w:val="auto"/>
        </w:rPr>
        <w:t>and</w:t>
      </w:r>
      <w:r>
        <w:rPr>
          <w:rFonts w:ascii="Arial" w:cs="Arial" w:eastAsia="Arial" w:hAnsi="Arial"/>
          <w:sz w:val="18"/>
          <w:szCs w:val="18"/>
          <w:i w:val="1"/>
          <w:iCs w:val="1"/>
          <w:color w:val="auto"/>
        </w:rPr>
        <w:t xml:space="preserve"> Batman</w:t>
      </w:r>
      <w:r>
        <w:rPr>
          <w:rFonts w:ascii="Arial" w:cs="Arial" w:eastAsia="Arial" w:hAnsi="Arial"/>
          <w:sz w:val="18"/>
          <w:szCs w:val="18"/>
          <w:color w:val="auto"/>
        </w:rPr>
        <w:t>, as well as an extensive film library. The rights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content are of varying duration and generally permit our programming networks and streaming services to carry these series, films and other programming during certain window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980" w:hanging="486"/>
        <w:spacing w:after="0" w:line="290"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Domestic Operations: </w:t>
      </w:r>
      <w:r>
        <w:rPr>
          <w:rFonts w:ascii="Arial" w:cs="Arial" w:eastAsia="Arial" w:hAnsi="Arial"/>
          <w:sz w:val="16"/>
          <w:szCs w:val="16"/>
          <w:color w:val="auto"/>
        </w:rPr>
        <w:t>Includes activities of our programming services and AMC Broadcasting &amp; Technology. Our programming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our five national programming networks, our streaming services, our AMC Studios operations, and our film distribution business. Our national programming networks are AMC, WE tv, BBC AMERICA, IFC, and SundanceTV. Our streaming services are AMC+, Acorn TV, ALLBLK, Shudder, Sundance Now, and HIDIVE. Our AMC Studios operation produces original programming for our programming services and also distributes and licenses such programming worldwide. Our film distribution business consists of: IFC Films, a leading distributor of high-quality, talent-driven independent films that operates two distribution labels, IFC Films and IFC Midnight; and RLJE Films, a film production and distribution business which we acquired as part of our 2018 acquisition of RLJ Entertainment. AMC Networks Broadcasting &amp; Technology, our technical services business, primarily services most of the national programming networks.</w:t>
      </w:r>
    </w:p>
    <w:p>
      <w:pPr>
        <w:spacing w:after="0" w:line="57"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and Other: </w:t>
      </w:r>
      <w:r>
        <w:rPr>
          <w:rFonts w:ascii="Arial" w:cs="Arial" w:eastAsia="Arial" w:hAnsi="Arial"/>
          <w:sz w:val="18"/>
          <w:szCs w:val="18"/>
          <w:color w:val="auto"/>
        </w:rPr>
        <w:t>Includes AMC Networks International, our international programming businesses consisting of a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around the world, and 25/7 Media (formerly known as Levity), our production services business.</w:t>
      </w:r>
    </w:p>
    <w:p>
      <w:pPr>
        <w:spacing w:after="0" w:line="76" w:lineRule="exact"/>
        <w:rPr>
          <w:sz w:val="20"/>
          <w:szCs w:val="20"/>
          <w:color w:val="auto"/>
        </w:rPr>
      </w:pPr>
    </w:p>
    <w:p>
      <w:pPr>
        <w:ind w:firstLine="405"/>
        <w:spacing w:after="0" w:line="324" w:lineRule="auto"/>
        <w:rPr>
          <w:sz w:val="20"/>
          <w:szCs w:val="20"/>
          <w:color w:val="auto"/>
        </w:rPr>
      </w:pPr>
      <w:r>
        <w:rPr>
          <w:rFonts w:ascii="Arial" w:cs="Arial" w:eastAsia="Arial" w:hAnsi="Arial"/>
          <w:sz w:val="17"/>
          <w:szCs w:val="17"/>
          <w:color w:val="auto"/>
        </w:rPr>
        <w:t>For financial information of the Company by operating segment, see Item 7, "Management's Discussion and Analysis of Financial Condition and Results of Operations — Consolidated Results of Operations" and Note 23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Programming Networks - </w:t>
      </w:r>
      <w:r>
        <w:rPr>
          <w:rFonts w:ascii="Arial" w:cs="Arial" w:eastAsia="Arial" w:hAnsi="Arial"/>
          <w:sz w:val="18"/>
          <w:szCs w:val="18"/>
          <w:color w:val="auto"/>
        </w:rPr>
        <w:t>Our programming networks consist of the following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86550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55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2021, AMC reached approximately 78 million Nielsen subscribers and had distribution agreements with all major U.S. and Canada distributors.</w:t>
      </w:r>
    </w:p>
    <w:p>
      <w:pPr>
        <w:spacing w:after="0" w:line="48" w:lineRule="exact"/>
        <w:rPr>
          <w:rFonts w:ascii="Arial" w:cs="Arial" w:eastAsia="Arial" w:hAnsi="Arial"/>
          <w:sz w:val="18"/>
          <w:szCs w:val="18"/>
          <w:color w:val="auto"/>
        </w:rPr>
      </w:pPr>
    </w:p>
    <w:p>
      <w:pPr>
        <w:ind w:left="980" w:hanging="486"/>
        <w:spacing w:after="0" w:line="23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AMC is home to some of the most popular and acclaimed dramas on television, including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the highest-rated series in cable history; </w:t>
      </w:r>
      <w:r>
        <w:rPr>
          <w:rFonts w:ascii="Arial" w:cs="Arial" w:eastAsia="Arial" w:hAnsi="Arial"/>
          <w:sz w:val="18"/>
          <w:szCs w:val="18"/>
          <w:i w:val="1"/>
          <w:iCs w:val="1"/>
          <w:color w:val="auto"/>
        </w:rPr>
        <w:t>Fear the Walking Dead</w:t>
      </w:r>
      <w:r>
        <w:rPr>
          <w:rFonts w:ascii="Arial" w:cs="Arial" w:eastAsia="Arial" w:hAnsi="Arial"/>
          <w:sz w:val="18"/>
          <w:szCs w:val="18"/>
          <w:color w:val="auto"/>
        </w:rPr>
        <w:t xml:space="preserve">, </w:t>
      </w:r>
      <w:r>
        <w:rPr>
          <w:rFonts w:ascii="Arial" w:cs="Arial" w:eastAsia="Arial" w:hAnsi="Arial"/>
          <w:sz w:val="18"/>
          <w:szCs w:val="18"/>
          <w:i w:val="1"/>
          <w:iCs w:val="1"/>
          <w:color w:val="auto"/>
        </w:rPr>
        <w:t>Better Call Saul, Kevin Can F**K Himself,</w:t>
      </w:r>
      <w:r>
        <w:rPr>
          <w:rFonts w:ascii="Arial" w:cs="Arial" w:eastAsia="Arial" w:hAnsi="Arial"/>
          <w:sz w:val="18"/>
          <w:szCs w:val="18"/>
          <w:color w:val="auto"/>
        </w:rPr>
        <w:t xml:space="preserve"> and </w:t>
      </w:r>
      <w:r>
        <w:rPr>
          <w:rFonts w:ascii="Arial" w:cs="Arial" w:eastAsia="Arial" w:hAnsi="Arial"/>
          <w:sz w:val="18"/>
          <w:szCs w:val="18"/>
          <w:i w:val="1"/>
          <w:iCs w:val="1"/>
          <w:color w:val="auto"/>
        </w:rPr>
        <w:t>Gangs of London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jc w:val="both"/>
        <w:ind w:left="980" w:hanging="486"/>
        <w:spacing w:after="0" w:line="279"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network helped usher in what is commonly referred to as a “New Golden Age of Television,” with its debut of Mad Men in 2007 and Breaking Bad in 2008. With Mad Men, AMC became the first basic cable network to ever win the Emmy® Award for Outstanding Drama Series in 2008 after which it won the coveted award another four years in a row. Subsequently, AMC’s Breaking Bad won this Emmy® Award in 2013 and 2014. Both series are among the most critically acclaimed and awarded series in the history of television.</w:t>
      </w:r>
    </w:p>
    <w:p>
      <w:pPr>
        <w:spacing w:after="0" w:line="63" w:lineRule="exact"/>
        <w:rPr>
          <w:rFonts w:ascii="Arial" w:cs="Arial" w:eastAsia="Arial" w:hAnsi="Arial"/>
          <w:sz w:val="17"/>
          <w:szCs w:val="17"/>
          <w:color w:val="auto"/>
        </w:rPr>
      </w:pPr>
    </w:p>
    <w:p>
      <w:pPr>
        <w:jc w:val="both"/>
        <w:ind w:left="980" w:hanging="486"/>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As of December 31, 2021, WE tv reached approximately 76 million Nielsen subscribers and had distribution agreements with all major U.S. distributors.</w:t>
      </w:r>
    </w:p>
    <w:p>
      <w:pPr>
        <w:spacing w:after="0" w:line="62" w:lineRule="exact"/>
        <w:rPr>
          <w:rFonts w:ascii="Arial" w:cs="Arial" w:eastAsia="Arial" w:hAnsi="Arial"/>
          <w:sz w:val="18"/>
          <w:szCs w:val="18"/>
          <w:i w:val="1"/>
          <w:iCs w:val="1"/>
          <w:color w:val="auto"/>
        </w:rPr>
      </w:pPr>
    </w:p>
    <w:p>
      <w:pPr>
        <w:jc w:val="both"/>
        <w:ind w:left="980" w:hanging="486"/>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Driven by unscripted originals, WE tv is the #1 U.S. cable network for African-American women on Friday nights, fueled by its popular slate of original series and popular franchises </w:t>
      </w:r>
      <w:r>
        <w:rPr>
          <w:rFonts w:ascii="Arial" w:cs="Arial" w:eastAsia="Arial" w:hAnsi="Arial"/>
          <w:sz w:val="18"/>
          <w:szCs w:val="18"/>
          <w:i w:val="1"/>
          <w:iCs w:val="1"/>
          <w:color w:val="auto"/>
        </w:rPr>
        <w:t>Love After Lockup, Marriage Boot Camp,</w:t>
      </w:r>
      <w:r>
        <w:rPr>
          <w:rFonts w:ascii="Arial" w:cs="Arial" w:eastAsia="Arial" w:hAnsi="Arial"/>
          <w:sz w:val="18"/>
          <w:szCs w:val="18"/>
          <w:color w:val="auto"/>
        </w:rPr>
        <w:t xml:space="preserve"> and </w:t>
      </w:r>
      <w:r>
        <w:rPr>
          <w:rFonts w:ascii="Arial" w:cs="Arial" w:eastAsia="Arial" w:hAnsi="Arial"/>
          <w:sz w:val="18"/>
          <w:szCs w:val="18"/>
          <w:i w:val="1"/>
          <w:iCs w:val="1"/>
          <w:color w:val="auto"/>
        </w:rPr>
        <w:t>Growing Up Hip Hop</w:t>
      </w:r>
      <w:r>
        <w:rPr>
          <w:rFonts w:ascii="Arial" w:cs="Arial" w:eastAsia="Arial" w:hAnsi="Arial"/>
          <w:sz w:val="18"/>
          <w:szCs w:val="18"/>
          <w:color w:val="auto"/>
        </w:rPr>
        <w:t xml:space="preserve">, as well as fan favorites </w:t>
      </w:r>
      <w:r>
        <w:rPr>
          <w:rFonts w:ascii="Arial" w:cs="Arial" w:eastAsia="Arial" w:hAnsi="Arial"/>
          <w:sz w:val="18"/>
          <w:szCs w:val="18"/>
          <w:i w:val="1"/>
          <w:iCs w:val="1"/>
          <w:color w:val="auto"/>
        </w:rPr>
        <w:t>Mama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June: Road to Redemption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TS Madison Experience. </w:t>
      </w:r>
      <w:r>
        <w:rPr>
          <w:rFonts w:ascii="Arial" w:cs="Arial" w:eastAsia="Arial" w:hAnsi="Arial"/>
          <w:sz w:val="18"/>
          <w:szCs w:val="18"/>
          <w:color w:val="auto"/>
        </w:rPr>
        <w:t>WE tv’s programming also includes recent premieres</w:t>
      </w:r>
      <w:r>
        <w:rPr>
          <w:rFonts w:ascii="Arial" w:cs="Arial" w:eastAsia="Arial" w:hAnsi="Arial"/>
          <w:sz w:val="18"/>
          <w:szCs w:val="18"/>
          <w:i w:val="1"/>
          <w:iCs w:val="1"/>
          <w:color w:val="auto"/>
        </w:rPr>
        <w:t xml:space="preserve"> Brat Loves Judy, </w:t>
      </w:r>
      <w:r>
        <w:rPr>
          <w:rFonts w:ascii="Arial" w:cs="Arial" w:eastAsia="Arial" w:hAnsi="Arial"/>
          <w:sz w:val="18"/>
          <w:szCs w:val="18"/>
          <w:color w:val="auto"/>
        </w:rPr>
        <w:t xml:space="preserve">docuseries </w:t>
      </w:r>
      <w:r>
        <w:rPr>
          <w:rFonts w:ascii="Arial" w:cs="Arial" w:eastAsia="Arial" w:hAnsi="Arial"/>
          <w:sz w:val="18"/>
          <w:szCs w:val="18"/>
          <w:i w:val="1"/>
          <w:iCs w:val="1"/>
          <w:color w:val="auto"/>
        </w:rPr>
        <w:t>The Mysterious Death of Eazy-E,</w:t>
      </w:r>
      <w:r>
        <w:rPr>
          <w:rFonts w:ascii="Arial" w:cs="Arial" w:eastAsia="Arial" w:hAnsi="Arial"/>
          <w:sz w:val="18"/>
          <w:szCs w:val="18"/>
          <w:color w:val="auto"/>
        </w:rPr>
        <w:t xml:space="preserve"> and </w:t>
      </w:r>
      <w:r>
        <w:rPr>
          <w:rFonts w:ascii="Arial" w:cs="Arial" w:eastAsia="Arial" w:hAnsi="Arial"/>
          <w:sz w:val="18"/>
          <w:szCs w:val="18"/>
          <w:i w:val="1"/>
          <w:iCs w:val="1"/>
          <w:color w:val="auto"/>
        </w:rPr>
        <w:t>Love During Lockup.</w:t>
      </w:r>
    </w:p>
    <w:p>
      <w:pPr>
        <w:spacing w:after="0" w:line="78"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2022, WE tv will continue to develop and premiere new unscripted series including docuseries, </w:t>
      </w:r>
      <w:r>
        <w:rPr>
          <w:rFonts w:ascii="Arial" w:cs="Arial" w:eastAsia="Arial" w:hAnsi="Arial"/>
          <w:sz w:val="18"/>
          <w:szCs w:val="18"/>
          <w:i w:val="1"/>
          <w:iCs w:val="1"/>
          <w:color w:val="auto"/>
        </w:rPr>
        <w:t>Hip Hop Homicides</w:t>
      </w:r>
      <w:r>
        <w:rPr>
          <w:rFonts w:ascii="Arial" w:cs="Arial" w:eastAsia="Arial" w:hAnsi="Arial"/>
          <w:sz w:val="18"/>
          <w:szCs w:val="18"/>
          <w:color w:val="auto"/>
        </w:rPr>
        <w:t>, produced by Curtis “50 Cent” Jackson and hosted by Van Lathan.</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tv's programming also includes popular series </w:t>
      </w:r>
      <w:r>
        <w:rPr>
          <w:rFonts w:ascii="Arial" w:cs="Arial" w:eastAsia="Arial" w:hAnsi="Arial"/>
          <w:sz w:val="18"/>
          <w:szCs w:val="18"/>
          <w:i w:val="1"/>
          <w:iCs w:val="1"/>
          <w:color w:val="auto"/>
        </w:rPr>
        <w:t>CSI: Miami</w:t>
      </w:r>
      <w:r>
        <w:rPr>
          <w:rFonts w:ascii="Arial" w:cs="Arial" w:eastAsia="Arial" w:hAnsi="Arial"/>
          <w:sz w:val="18"/>
          <w:szCs w:val="18"/>
          <w:color w:val="auto"/>
        </w:rPr>
        <w:t xml:space="preserve"> and </w:t>
      </w:r>
      <w:r>
        <w:rPr>
          <w:rFonts w:ascii="Arial" w:cs="Arial" w:eastAsia="Arial" w:hAnsi="Arial"/>
          <w:sz w:val="18"/>
          <w:szCs w:val="18"/>
          <w:i w:val="1"/>
          <w:iCs w:val="1"/>
          <w:color w:val="auto"/>
        </w:rPr>
        <w:t>Law &amp; Order</w:t>
      </w:r>
      <w:r>
        <w:rPr>
          <w:rFonts w:ascii="Arial" w:cs="Arial" w:eastAsia="Arial" w:hAnsi="Arial"/>
          <w:sz w:val="18"/>
          <w:szCs w:val="18"/>
          <w:color w:val="auto"/>
        </w:rPr>
        <w:t xml:space="preserve"> as well as feature films, with certain exclusive license rights from studios such as Paramount, MGM, Disney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-2205355</wp:posOffset>
            </wp:positionV>
            <wp:extent cx="64262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6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83121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21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hanging="486"/>
        <w:spacing w:after="0" w:line="308" w:lineRule="auto"/>
        <w:tabs>
          <w:tab w:leader="none" w:pos="975"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A joint venture between AMC Networks and BBC Studios (the commercial arm of the BBC), BBC AMERICA reached approximately 73 million Nielsen subscribers and had distribution agreements with all major U.S. distributors as of December 31, 2021.</w:t>
      </w:r>
    </w:p>
    <w:p>
      <w:pPr>
        <w:spacing w:after="0" w:line="38" w:lineRule="exact"/>
        <w:rPr>
          <w:rFonts w:ascii="Arial" w:cs="Arial" w:eastAsia="Arial" w:hAnsi="Arial"/>
          <w:sz w:val="17"/>
          <w:szCs w:val="17"/>
          <w:i w:val="1"/>
          <w:iCs w:val="1"/>
          <w:color w:val="auto"/>
        </w:rPr>
      </w:pPr>
    </w:p>
    <w:p>
      <w:pPr>
        <w:jc w:val="both"/>
        <w:ind w:left="980" w:hanging="486"/>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network has attracted wide critical acclaim for its influential series, including its Peabody Award-winning original series </w:t>
      </w:r>
      <w:r>
        <w:rPr>
          <w:rFonts w:ascii="Arial" w:cs="Arial" w:eastAsia="Arial" w:hAnsi="Arial"/>
          <w:sz w:val="18"/>
          <w:szCs w:val="18"/>
          <w:i w:val="1"/>
          <w:iCs w:val="1"/>
          <w:color w:val="auto"/>
        </w:rPr>
        <w:t>Killing Eve</w:t>
      </w:r>
      <w:r>
        <w:rPr>
          <w:rFonts w:ascii="Arial" w:cs="Arial" w:eastAsia="Arial" w:hAnsi="Arial"/>
          <w:sz w:val="18"/>
          <w:szCs w:val="18"/>
          <w:color w:val="auto"/>
        </w:rPr>
        <w:t>. Created by multi-award winner Phoebe Waller-Bridge (Fleabag), and co-starring Sandra Oh, who won the Golden Globe and Critics' Choice Award for Best Actress in a Drama Series for her role as Eve, and Jodie Comer, who won a BAFTA Award and Emmy Award for her iconic portrayal of assassin Villanelle.</w:t>
      </w:r>
    </w:p>
    <w:p>
      <w:pPr>
        <w:spacing w:after="0" w:line="78"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BBC AMERICA is the definitive home and co-producer of the most iconic natural history programming from the BBC, including the </w:t>
      </w:r>
      <w:r>
        <w:rPr>
          <w:rFonts w:ascii="Arial" w:cs="Arial" w:eastAsia="Arial" w:hAnsi="Arial"/>
          <w:sz w:val="18"/>
          <w:szCs w:val="18"/>
          <w:i w:val="1"/>
          <w:iCs w:val="1"/>
          <w:color w:val="auto"/>
        </w:rPr>
        <w:t>Planet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Earth </w:t>
      </w:r>
      <w:r>
        <w:rPr>
          <w:rFonts w:ascii="Arial" w:cs="Arial" w:eastAsia="Arial" w:hAnsi="Arial"/>
          <w:sz w:val="18"/>
          <w:szCs w:val="18"/>
          <w:color w:val="auto"/>
        </w:rPr>
        <w:t>and</w:t>
      </w:r>
      <w:r>
        <w:rPr>
          <w:rFonts w:ascii="Arial" w:cs="Arial" w:eastAsia="Arial" w:hAnsi="Arial"/>
          <w:sz w:val="18"/>
          <w:szCs w:val="18"/>
          <w:i w:val="1"/>
          <w:iCs w:val="1"/>
          <w:color w:val="auto"/>
        </w:rPr>
        <w:t xml:space="preserve"> Blue Planet </w:t>
      </w:r>
      <w:r>
        <w:rPr>
          <w:rFonts w:ascii="Arial" w:cs="Arial" w:eastAsia="Arial" w:hAnsi="Arial"/>
          <w:sz w:val="18"/>
          <w:szCs w:val="18"/>
          <w:color w:val="auto"/>
        </w:rPr>
        <w:t>franchises,</w:t>
      </w:r>
      <w:r>
        <w:rPr>
          <w:rFonts w:ascii="Arial" w:cs="Arial" w:eastAsia="Arial" w:hAnsi="Arial"/>
          <w:sz w:val="18"/>
          <w:szCs w:val="18"/>
          <w:i w:val="1"/>
          <w:iCs w:val="1"/>
          <w:color w:val="auto"/>
        </w:rPr>
        <w:t xml:space="preserve"> Meerkat Manor: Rise of the Dynasty, </w:t>
      </w:r>
      <w:r>
        <w:rPr>
          <w:rFonts w:ascii="Arial" w:cs="Arial" w:eastAsia="Arial" w:hAnsi="Arial"/>
          <w:sz w:val="18"/>
          <w:szCs w:val="18"/>
          <w:color w:val="auto"/>
        </w:rPr>
        <w:t>the Sir David</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9" w:name="page10"/>
    <w:bookmarkEnd w:id="9"/>
    <w:p>
      <w:pPr>
        <w:ind w:left="486"/>
        <w:spacing w:after="0" w:line="277" w:lineRule="auto"/>
        <w:rPr>
          <w:sz w:val="20"/>
          <w:szCs w:val="20"/>
          <w:color w:val="auto"/>
        </w:rPr>
      </w:pPr>
      <w:r>
        <w:rPr>
          <w:rFonts w:ascii="Arial" w:cs="Arial" w:eastAsia="Arial" w:hAnsi="Arial"/>
          <w:sz w:val="18"/>
          <w:szCs w:val="18"/>
          <w:color w:val="auto"/>
        </w:rPr>
        <w:t xml:space="preserve">Attenborough-narrated series </w:t>
      </w:r>
      <w:r>
        <w:rPr>
          <w:rFonts w:ascii="Arial" w:cs="Arial" w:eastAsia="Arial" w:hAnsi="Arial"/>
          <w:sz w:val="18"/>
          <w:szCs w:val="18"/>
          <w:i w:val="1"/>
          <w:iCs w:val="1"/>
          <w:color w:val="auto"/>
        </w:rPr>
        <w:t>Seven Worlds, One Planet</w:t>
      </w:r>
      <w:r>
        <w:rPr>
          <w:rFonts w:ascii="Arial" w:cs="Arial" w:eastAsia="Arial" w:hAnsi="Arial"/>
          <w:sz w:val="18"/>
          <w:szCs w:val="18"/>
          <w:color w:val="auto"/>
        </w:rPr>
        <w:t xml:space="preserve">, </w:t>
      </w:r>
      <w:r>
        <w:rPr>
          <w:rFonts w:ascii="Arial" w:cs="Arial" w:eastAsia="Arial" w:hAnsi="Arial"/>
          <w:sz w:val="18"/>
          <w:szCs w:val="18"/>
          <w:i w:val="1"/>
          <w:iCs w:val="1"/>
          <w:color w:val="auto"/>
        </w:rPr>
        <w:t>Wild Patagonia,</w:t>
      </w:r>
      <w:r>
        <w:rPr>
          <w:rFonts w:ascii="Arial" w:cs="Arial" w:eastAsia="Arial" w:hAnsi="Arial"/>
          <w:sz w:val="18"/>
          <w:szCs w:val="18"/>
          <w:color w:val="auto"/>
        </w:rPr>
        <w:t xml:space="preserve"> and </w:t>
      </w:r>
      <w:r>
        <w:rPr>
          <w:rFonts w:ascii="Arial" w:cs="Arial" w:eastAsia="Arial" w:hAnsi="Arial"/>
          <w:sz w:val="18"/>
          <w:szCs w:val="18"/>
          <w:i w:val="1"/>
          <w:iCs w:val="1"/>
          <w:color w:val="auto"/>
        </w:rPr>
        <w:t>Wonderstruck</w:t>
      </w:r>
      <w:r>
        <w:rPr>
          <w:rFonts w:ascii="Arial" w:cs="Arial" w:eastAsia="Arial" w:hAnsi="Arial"/>
          <w:sz w:val="18"/>
          <w:szCs w:val="18"/>
          <w:color w:val="auto"/>
        </w:rPr>
        <w:t>, the network’s nature micro-net offering viewers nature content for 24 hours every Saturday.</w:t>
      </w:r>
    </w:p>
    <w:p>
      <w:pPr>
        <w:spacing w:after="0" w:line="62" w:lineRule="exact"/>
        <w:rPr>
          <w:sz w:val="20"/>
          <w:szCs w:val="20"/>
          <w:color w:val="auto"/>
        </w:rPr>
      </w:pPr>
    </w:p>
    <w:p>
      <w:pPr>
        <w:jc w:val="both"/>
        <w:ind w:left="486" w:hanging="486"/>
        <w:spacing w:after="0" w:line="286" w:lineRule="auto"/>
        <w:tabs>
          <w:tab w:leader="none" w:pos="481"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BBC America is also a go-to for culturally contagious unscripted series including </w:t>
      </w:r>
      <w:r>
        <w:rPr>
          <w:rFonts w:ascii="Arial" w:cs="Arial" w:eastAsia="Arial" w:hAnsi="Arial"/>
          <w:sz w:val="17"/>
          <w:szCs w:val="17"/>
          <w:i w:val="1"/>
          <w:iCs w:val="1"/>
          <w:color w:val="auto"/>
        </w:rPr>
        <w:t>Top Gear</w:t>
      </w:r>
      <w:r>
        <w:rPr>
          <w:rFonts w:ascii="Arial" w:cs="Arial" w:eastAsia="Arial" w:hAnsi="Arial"/>
          <w:sz w:val="17"/>
          <w:szCs w:val="17"/>
          <w:color w:val="auto"/>
        </w:rPr>
        <w:t xml:space="preserve"> and </w:t>
      </w:r>
      <w:r>
        <w:rPr>
          <w:rFonts w:ascii="Arial" w:cs="Arial" w:eastAsia="Arial" w:hAnsi="Arial"/>
          <w:sz w:val="17"/>
          <w:szCs w:val="17"/>
          <w:i w:val="1"/>
          <w:iCs w:val="1"/>
          <w:color w:val="auto"/>
        </w:rPr>
        <w:t>Top Gear America</w:t>
      </w:r>
      <w:r>
        <w:rPr>
          <w:rFonts w:ascii="Arial" w:cs="Arial" w:eastAsia="Arial" w:hAnsi="Arial"/>
          <w:sz w:val="17"/>
          <w:szCs w:val="17"/>
          <w:color w:val="auto"/>
        </w:rPr>
        <w:t xml:space="preserve"> along with </w:t>
      </w:r>
      <w:r>
        <w:rPr>
          <w:rFonts w:ascii="Arial" w:cs="Arial" w:eastAsia="Arial" w:hAnsi="Arial"/>
          <w:sz w:val="17"/>
          <w:szCs w:val="17"/>
          <w:i w:val="1"/>
          <w:iCs w:val="1"/>
          <w:color w:val="auto"/>
        </w:rPr>
        <w:t>The Graham</w:t>
      </w:r>
      <w:r>
        <w:rPr>
          <w:rFonts w:ascii="Arial" w:cs="Arial" w:eastAsia="Arial" w:hAnsi="Arial"/>
          <w:sz w:val="17"/>
          <w:szCs w:val="17"/>
          <w:color w:val="auto"/>
        </w:rPr>
        <w:t xml:space="preserve"> </w:t>
      </w:r>
      <w:r>
        <w:rPr>
          <w:rFonts w:ascii="Arial" w:cs="Arial" w:eastAsia="Arial" w:hAnsi="Arial"/>
          <w:sz w:val="17"/>
          <w:szCs w:val="17"/>
          <w:i w:val="1"/>
          <w:iCs w:val="1"/>
          <w:color w:val="auto"/>
        </w:rPr>
        <w:t>Norton Show</w:t>
      </w:r>
      <w:r>
        <w:rPr>
          <w:rFonts w:ascii="Arial" w:cs="Arial" w:eastAsia="Arial" w:hAnsi="Arial"/>
          <w:sz w:val="17"/>
          <w:szCs w:val="17"/>
          <w:color w:val="auto"/>
        </w:rPr>
        <w:t>, and the timeless fan favorite</w:t>
      </w:r>
      <w:r>
        <w:rPr>
          <w:rFonts w:ascii="Arial" w:cs="Arial" w:eastAsia="Arial" w:hAnsi="Arial"/>
          <w:sz w:val="17"/>
          <w:szCs w:val="17"/>
          <w:i w:val="1"/>
          <w:iCs w:val="1"/>
          <w:color w:val="auto"/>
        </w:rPr>
        <w:t xml:space="preserve"> Doctor Who</w:t>
      </w:r>
      <w:r>
        <w:rPr>
          <w:rFonts w:ascii="Arial" w:cs="Arial" w:eastAsia="Arial" w:hAnsi="Arial"/>
          <w:sz w:val="17"/>
          <w:szCs w:val="17"/>
          <w:color w:val="auto"/>
        </w:rPr>
        <w:t>, one of the longest running series in the world, spanning 57 years and winning over</w:t>
      </w:r>
      <w:r>
        <w:rPr>
          <w:rFonts w:ascii="Arial" w:cs="Arial" w:eastAsia="Arial" w:hAnsi="Arial"/>
          <w:sz w:val="17"/>
          <w:szCs w:val="17"/>
          <w:i w:val="1"/>
          <w:iCs w:val="1"/>
          <w:color w:val="auto"/>
        </w:rPr>
        <w:t xml:space="preserve"> </w:t>
      </w:r>
      <w:r>
        <w:rPr>
          <w:rFonts w:ascii="Arial" w:cs="Arial" w:eastAsia="Arial" w:hAnsi="Arial"/>
          <w:sz w:val="17"/>
          <w:szCs w:val="17"/>
          <w:color w:val="auto"/>
        </w:rPr>
        <w:t>100 awards, honored by Guinness World Records as the longest running science-fiction series in the world.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486" w:hanging="486"/>
        <w:spacing w:after="0" w:line="277" w:lineRule="auto"/>
        <w:tabs>
          <w:tab w:leader="none" w:pos="481"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As of December 31, 2021, IFC reached approximately 68 million Nielsen subscribers and had distribution agreements with all major U.S. distributors.</w:t>
      </w:r>
    </w:p>
    <w:p>
      <w:pPr>
        <w:spacing w:after="0" w:line="62" w:lineRule="exact"/>
        <w:rPr>
          <w:rFonts w:ascii="Arial" w:cs="Arial" w:eastAsia="Arial" w:hAnsi="Arial"/>
          <w:sz w:val="18"/>
          <w:szCs w:val="18"/>
          <w:i w:val="1"/>
          <w:iCs w:val="1"/>
          <w:color w:val="auto"/>
        </w:rPr>
      </w:pPr>
    </w:p>
    <w:p>
      <w:pPr>
        <w:ind w:left="486" w:right="20" w:hanging="486"/>
        <w:spacing w:after="0" w:line="277"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IFC is the home of offbeat, unexpected comedies that are in keeping with the network's "Always On Slightly Off" brand, which air alongside fan-favorite movies and comedic cult TV shows.</w:t>
      </w:r>
    </w:p>
    <w:p>
      <w:pPr>
        <w:spacing w:after="0" w:line="62" w:lineRule="exact"/>
        <w:rPr>
          <w:rFonts w:ascii="Arial" w:cs="Arial" w:eastAsia="Arial" w:hAnsi="Arial"/>
          <w:sz w:val="18"/>
          <w:szCs w:val="18"/>
          <w:color w:val="auto"/>
        </w:rPr>
      </w:pPr>
    </w:p>
    <w:p>
      <w:pPr>
        <w:ind w:left="486" w:right="160" w:hanging="486"/>
        <w:spacing w:after="0" w:line="275" w:lineRule="auto"/>
        <w:tabs>
          <w:tab w:leader="none" w:pos="481"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Acclaimed series include the Emmy-nominated </w:t>
      </w:r>
      <w:r>
        <w:rPr>
          <w:rFonts w:ascii="Arial" w:cs="Arial" w:eastAsia="Arial" w:hAnsi="Arial"/>
          <w:sz w:val="17"/>
          <w:szCs w:val="17"/>
          <w:i w:val="1"/>
          <w:iCs w:val="1"/>
          <w:color w:val="auto"/>
        </w:rPr>
        <w:t>Documentary Now!</w:t>
      </w:r>
      <w:r>
        <w:rPr>
          <w:rFonts w:ascii="Arial" w:cs="Arial" w:eastAsia="Arial" w:hAnsi="Arial"/>
          <w:sz w:val="17"/>
          <w:szCs w:val="17"/>
          <w:color w:val="auto"/>
        </w:rPr>
        <w:t xml:space="preserve">, created by Seth Meyers, Bill Hader and Fred Armisen and executive produced by Lorne Michaels, and the Critics' Choice Award-nominated </w:t>
      </w:r>
      <w:r>
        <w:rPr>
          <w:rFonts w:ascii="Arial" w:cs="Arial" w:eastAsia="Arial" w:hAnsi="Arial"/>
          <w:sz w:val="17"/>
          <w:szCs w:val="17"/>
          <w:i w:val="1"/>
          <w:iCs w:val="1"/>
          <w:color w:val="auto"/>
        </w:rPr>
        <w:t>Sherman’s Showcase</w:t>
      </w:r>
      <w:r>
        <w:rPr>
          <w:rFonts w:ascii="Arial" w:cs="Arial" w:eastAsia="Arial" w:hAnsi="Arial"/>
          <w:sz w:val="17"/>
          <w:szCs w:val="17"/>
          <w:color w:val="auto"/>
        </w:rPr>
        <w:t xml:space="preserve">, created by and starring Bashir Salahuddin and Diallo Riddle and executive produced by John Legend’s Get Lifted Film Co. and RadicalMedia, and short form LGBTQ+ softball comedy series, </w:t>
      </w:r>
      <w:r>
        <w:rPr>
          <w:rFonts w:ascii="Arial" w:cs="Arial" w:eastAsia="Arial" w:hAnsi="Arial"/>
          <w:sz w:val="17"/>
          <w:szCs w:val="17"/>
          <w:i w:val="1"/>
          <w:iCs w:val="1"/>
          <w:color w:val="auto"/>
        </w:rPr>
        <w:t>Slo Pitch</w:t>
      </w:r>
      <w:r>
        <w:rPr>
          <w:rFonts w:ascii="Arial" w:cs="Arial" w:eastAsia="Arial" w:hAnsi="Arial"/>
          <w:sz w:val="17"/>
          <w:szCs w:val="17"/>
          <w:color w:val="auto"/>
        </w:rPr>
        <w:t>. IFC is also the broadcast home of the Independent Spirit Awards, the first event to honor independent film exclusively and an annual celebration of the spirited pioneers who bring a unique vision to filmmaking.</w:t>
      </w:r>
    </w:p>
    <w:p>
      <w:pPr>
        <w:spacing w:after="0" w:line="68" w:lineRule="exact"/>
        <w:rPr>
          <w:rFonts w:ascii="Arial" w:cs="Arial" w:eastAsia="Arial" w:hAnsi="Arial"/>
          <w:sz w:val="17"/>
          <w:szCs w:val="17"/>
          <w:color w:val="auto"/>
        </w:rPr>
      </w:pPr>
    </w:p>
    <w:p>
      <w:pPr>
        <w:ind w:left="486" w:right="20" w:hanging="486"/>
        <w:spacing w:after="0" w:line="277"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IFC's programming also includes films from various film distributors, including Fox, Miramax, Sony, Lionsgate, Universal, Paramount and Warner Bros.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3" w:lineRule="exact"/>
        <w:rPr>
          <w:rFonts w:ascii="Arial" w:cs="Arial" w:eastAsia="Arial" w:hAnsi="Arial"/>
          <w:sz w:val="18"/>
          <w:szCs w:val="18"/>
          <w:color w:val="auto"/>
        </w:rPr>
      </w:pPr>
    </w:p>
    <w:p>
      <w:pPr>
        <w:ind w:left="486" w:right="20" w:hanging="486"/>
        <w:spacing w:after="0" w:line="277" w:lineRule="auto"/>
        <w:tabs>
          <w:tab w:leader="none" w:pos="481"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As of December 31, 2021, SundanceTV reached approximately 66 million Nielsen subscribers and had distribution agreements with all major U.S. distributors.</w:t>
      </w:r>
    </w:p>
    <w:p>
      <w:pPr>
        <w:spacing w:after="0" w:line="62" w:lineRule="exact"/>
        <w:rPr>
          <w:rFonts w:ascii="Arial" w:cs="Arial" w:eastAsia="Arial" w:hAnsi="Arial"/>
          <w:sz w:val="18"/>
          <w:szCs w:val="18"/>
          <w:i w:val="1"/>
          <w:iCs w:val="1"/>
          <w:color w:val="auto"/>
        </w:rPr>
      </w:pPr>
    </w:p>
    <w:p>
      <w:pPr>
        <w:ind w:left="486" w:right="20" w:hanging="486"/>
        <w:spacing w:after="0" w:line="277"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SundanceTV has remained true to founder Robert Redford’s mission to celebrate creativity and distinctive storytelling through unique voices and narratives since its launch in 1996.</w:t>
      </w:r>
    </w:p>
    <w:p>
      <w:pPr>
        <w:spacing w:after="0" w:line="197" w:lineRule="exact"/>
        <w:rPr>
          <w:rFonts w:ascii="Arial" w:cs="Arial" w:eastAsia="Arial" w:hAnsi="Arial"/>
          <w:sz w:val="18"/>
          <w:szCs w:val="18"/>
          <w:color w:val="auto"/>
        </w:rPr>
      </w:pPr>
    </w:p>
    <w:p>
      <w:pPr>
        <w:jc w:val="both"/>
        <w:ind w:left="486" w:hanging="486"/>
        <w:spacing w:after="0" w:line="263"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Working with today's most innovative talent, SundanceTV attracts viewer and critical acclaim for its original scripted programming and true-crime documentaries, which has included the Peabody-award winning </w:t>
      </w:r>
      <w:r>
        <w:rPr>
          <w:rFonts w:ascii="Arial" w:cs="Arial" w:eastAsia="Arial" w:hAnsi="Arial"/>
          <w:sz w:val="18"/>
          <w:szCs w:val="18"/>
          <w:i w:val="1"/>
          <w:iCs w:val="1"/>
          <w:color w:val="auto"/>
        </w:rPr>
        <w:t>Rectify, Top of the Lake</w:t>
      </w:r>
      <w:r>
        <w:rPr>
          <w:rFonts w:ascii="Arial" w:cs="Arial" w:eastAsia="Arial" w:hAnsi="Arial"/>
          <w:sz w:val="18"/>
          <w:szCs w:val="18"/>
          <w:color w:val="auto"/>
        </w:rPr>
        <w:t xml:space="preserve"> and </w:t>
      </w:r>
      <w:r>
        <w:rPr>
          <w:rFonts w:ascii="Arial" w:cs="Arial" w:eastAsia="Arial" w:hAnsi="Arial"/>
          <w:sz w:val="18"/>
          <w:szCs w:val="18"/>
          <w:i w:val="1"/>
          <w:iCs w:val="1"/>
          <w:color w:val="auto"/>
        </w:rPr>
        <w:t>Top of the Lake: China Girl</w:t>
      </w:r>
      <w:r>
        <w:rPr>
          <w:rFonts w:ascii="Arial" w:cs="Arial" w:eastAsia="Arial" w:hAnsi="Arial"/>
          <w:sz w:val="18"/>
          <w:szCs w:val="18"/>
          <w:color w:val="auto"/>
        </w:rPr>
        <w:t>, directed by Oscar-winning Jane Campion and starring Elisabeth Moss and Nicole Kidman.</w:t>
      </w:r>
    </w:p>
    <w:p>
      <w:pPr>
        <w:spacing w:after="0" w:line="75" w:lineRule="exact"/>
        <w:rPr>
          <w:rFonts w:ascii="Arial" w:cs="Arial" w:eastAsia="Arial" w:hAnsi="Arial"/>
          <w:sz w:val="18"/>
          <w:szCs w:val="18"/>
          <w:color w:val="auto"/>
        </w:rPr>
      </w:pPr>
    </w:p>
    <w:p>
      <w:pPr>
        <w:jc w:val="both"/>
        <w:ind w:left="486" w:hanging="486"/>
        <w:spacing w:after="0" w:line="263" w:lineRule="auto"/>
        <w:tabs>
          <w:tab w:leader="none" w:pos="4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Current series include: the Emmy Award-winning short form anthology series </w:t>
      </w:r>
      <w:r>
        <w:rPr>
          <w:rFonts w:ascii="Arial" w:cs="Arial" w:eastAsia="Arial" w:hAnsi="Arial"/>
          <w:sz w:val="18"/>
          <w:szCs w:val="18"/>
          <w:i w:val="1"/>
          <w:iCs w:val="1"/>
          <w:color w:val="auto"/>
        </w:rPr>
        <w:t>State of the Union</w:t>
      </w:r>
      <w:r>
        <w:rPr>
          <w:rFonts w:ascii="Arial" w:cs="Arial" w:eastAsia="Arial" w:hAnsi="Arial"/>
          <w:sz w:val="18"/>
          <w:szCs w:val="18"/>
          <w:color w:val="auto"/>
        </w:rPr>
        <w:t xml:space="preserve">, previously starring the award-winning duo of Rosamund Pike and Chris O’Dowd with the next season starring Brendan Gleeson and Patricia Clarkson; true crime series </w:t>
      </w:r>
      <w:r>
        <w:rPr>
          <w:rFonts w:ascii="Arial" w:cs="Arial" w:eastAsia="Arial" w:hAnsi="Arial"/>
          <w:sz w:val="18"/>
          <w:szCs w:val="18"/>
          <w:i w:val="1"/>
          <w:iCs w:val="1"/>
          <w:color w:val="auto"/>
        </w:rPr>
        <w:t>Indefensible</w:t>
      </w:r>
      <w:r>
        <w:rPr>
          <w:rFonts w:ascii="Arial" w:cs="Arial" w:eastAsia="Arial" w:hAnsi="Arial"/>
          <w:sz w:val="18"/>
          <w:szCs w:val="18"/>
          <w:color w:val="auto"/>
        </w:rPr>
        <w:t xml:space="preserve"> starring Jena Friedman; and </w:t>
      </w:r>
      <w:r>
        <w:rPr>
          <w:rFonts w:ascii="Arial" w:cs="Arial" w:eastAsia="Arial" w:hAnsi="Arial"/>
          <w:sz w:val="18"/>
          <w:szCs w:val="18"/>
          <w:i w:val="1"/>
          <w:iCs w:val="1"/>
          <w:color w:val="auto"/>
        </w:rPr>
        <w:t>It Couldn’t Happen Here</w:t>
      </w:r>
      <w:r>
        <w:rPr>
          <w:rFonts w:ascii="Arial" w:cs="Arial" w:eastAsia="Arial" w:hAnsi="Arial"/>
          <w:sz w:val="18"/>
          <w:szCs w:val="18"/>
          <w:color w:val="auto"/>
        </w:rPr>
        <w:t xml:space="preserve"> from Hilarie Burton Morgan.</w:t>
      </w:r>
    </w:p>
    <w:p>
      <w:pPr>
        <w:spacing w:after="0" w:line="62" w:lineRule="exact"/>
        <w:rPr>
          <w:rFonts w:ascii="Arial" w:cs="Arial" w:eastAsia="Arial" w:hAnsi="Arial"/>
          <w:sz w:val="18"/>
          <w:szCs w:val="18"/>
          <w:color w:val="auto"/>
        </w:rPr>
      </w:pPr>
    </w:p>
    <w:p>
      <w:pPr>
        <w:ind w:left="486" w:hanging="486"/>
        <w:spacing w:after="0"/>
        <w:tabs>
          <w:tab w:leader="none" w:pos="48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SundanceTV is also home to past fan favorites including </w:t>
      </w:r>
      <w:r>
        <w:rPr>
          <w:rFonts w:ascii="Arial" w:cs="Arial" w:eastAsia="Arial" w:hAnsi="Arial"/>
          <w:sz w:val="18"/>
          <w:szCs w:val="18"/>
          <w:i w:val="1"/>
          <w:iCs w:val="1"/>
          <w:color w:val="auto"/>
        </w:rPr>
        <w:t>NCIS, Jag,</w:t>
      </w:r>
      <w:r>
        <w:rPr>
          <w:rFonts w:ascii="Arial" w:cs="Arial" w:eastAsia="Arial" w:hAnsi="Arial"/>
          <w:sz w:val="18"/>
          <w:szCs w:val="18"/>
          <w:color w:val="auto"/>
        </w:rPr>
        <w:t xml:space="preserve"> and </w:t>
      </w:r>
      <w:r>
        <w:rPr>
          <w:rFonts w:ascii="Arial" w:cs="Arial" w:eastAsia="Arial" w:hAnsi="Arial"/>
          <w:sz w:val="18"/>
          <w:szCs w:val="18"/>
          <w:i w:val="1"/>
          <w:iCs w:val="1"/>
          <w:color w:val="auto"/>
        </w:rPr>
        <w:t>Columbo.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-4862195</wp:posOffset>
            </wp:positionV>
            <wp:extent cx="88265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2650" cy="51435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-2213610</wp:posOffset>
            </wp:positionV>
            <wp:extent cx="1259840"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984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895" w:right="339" w:bottom="1440" w:gutter="0" w:footer="0" w:header="0"/>
        </w:sectPr>
      </w:pPr>
    </w:p>
    <w:bookmarkStart w:id="10" w:name="page11"/>
    <w:bookmarkEnd w:id="10"/>
    <w:p>
      <w:pPr>
        <w:ind w:left="340" w:hanging="161"/>
        <w:spacing w:after="0" w:line="229" w:lineRule="auto"/>
        <w:rPr>
          <w:sz w:val="20"/>
          <w:szCs w:val="20"/>
          <w:color w:val="auto"/>
        </w:rPr>
      </w:pPr>
      <w:r>
        <w:rPr>
          <w:rFonts w:ascii="Arial" w:cs="Arial" w:eastAsia="Arial" w:hAnsi="Arial"/>
          <w:sz w:val="18"/>
          <w:szCs w:val="18"/>
          <w:b w:val="1"/>
          <w:bCs w:val="1"/>
          <w:i w:val="1"/>
          <w:iCs w:val="1"/>
          <w:color w:val="auto"/>
        </w:rPr>
        <w:t xml:space="preserve">Streaming Services - </w:t>
      </w:r>
      <w:r>
        <w:rPr>
          <w:rFonts w:ascii="Arial" w:cs="Arial" w:eastAsia="Arial" w:hAnsi="Arial"/>
          <w:sz w:val="18"/>
          <w:szCs w:val="18"/>
          <w:color w:val="auto"/>
        </w:rPr>
        <w:t>Our streaming services ended 2021 with more than nine million aggregate paid streaming subscribers</w:t>
      </w:r>
      <w:r>
        <w:rPr>
          <w:rFonts w:ascii="Arial" w:cs="Arial" w:eastAsia="Arial" w:hAnsi="Arial"/>
          <w:sz w:val="23"/>
          <w:szCs w:val="23"/>
          <w:color w:val="auto"/>
          <w:vertAlign w:val="superscript"/>
        </w:rPr>
        <w:t>1</w:t>
      </w:r>
      <w:r>
        <w:rPr>
          <w:rFonts w:ascii="Arial" w:cs="Arial" w:eastAsia="Arial" w:hAnsi="Arial"/>
          <w:sz w:val="18"/>
          <w:szCs w:val="18"/>
          <w:color w:val="auto"/>
        </w:rPr>
        <w:t>. Our streaming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the following targeted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69850</wp:posOffset>
            </wp:positionV>
            <wp:extent cx="711200" cy="600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900" w:hanging="325"/>
        <w:spacing w:after="0" w:line="263"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201F1E"/>
        </w:rPr>
        <w:t>Launched in 2020, AMC+ is the Company’s premium streaming bundle featuring an extensive lineup of popular and critically acclaimed original programming from AMC, BBC America, IFC and SundanceTV and full access to targeted streaming services Shudder, Sundance Now and IFC Films Unlimited.</w:t>
      </w:r>
    </w:p>
    <w:p>
      <w:pPr>
        <w:spacing w:after="0" w:line="75" w:lineRule="exact"/>
        <w:rPr>
          <w:rFonts w:ascii="Arial" w:cs="Arial" w:eastAsia="Arial" w:hAnsi="Arial"/>
          <w:sz w:val="18"/>
          <w:szCs w:val="18"/>
          <w:color w:val="auto"/>
        </w:rPr>
      </w:pPr>
    </w:p>
    <w:p>
      <w:pPr>
        <w:ind w:left="900" w:hanging="325"/>
        <w:spacing w:after="0" w:line="308" w:lineRule="auto"/>
        <w:tabs>
          <w:tab w:leader="none" w:pos="895" w:val="left"/>
        </w:tabs>
        <w:numPr>
          <w:ilvl w:val="0"/>
          <w:numId w:val="7"/>
        </w:numPr>
        <w:rPr>
          <w:rFonts w:ascii="Arial" w:cs="Arial" w:eastAsia="Arial" w:hAnsi="Arial"/>
          <w:sz w:val="17"/>
          <w:szCs w:val="17"/>
          <w:color w:val="auto"/>
        </w:rPr>
      </w:pPr>
      <w:r>
        <w:rPr>
          <w:rFonts w:ascii="Arial" w:cs="Arial" w:eastAsia="Arial" w:hAnsi="Arial"/>
          <w:sz w:val="17"/>
          <w:szCs w:val="17"/>
          <w:color w:val="201F1E"/>
        </w:rPr>
        <w:t xml:space="preserve">AMC+ features a library of commercial-free content, including fan favorites </w:t>
      </w:r>
      <w:r>
        <w:rPr>
          <w:rFonts w:ascii="Arial" w:cs="Arial" w:eastAsia="Arial" w:hAnsi="Arial"/>
          <w:sz w:val="17"/>
          <w:szCs w:val="17"/>
          <w:i w:val="1"/>
          <w:iCs w:val="1"/>
          <w:color w:val="201F1E"/>
        </w:rPr>
        <w:t>Mad Men, Halt &amp; Catch Fire, Turn: Washington’s Spies, Hell on</w:t>
      </w:r>
      <w:r>
        <w:rPr>
          <w:rFonts w:ascii="Arial" w:cs="Arial" w:eastAsia="Arial" w:hAnsi="Arial"/>
          <w:sz w:val="17"/>
          <w:szCs w:val="17"/>
          <w:color w:val="201F1E"/>
        </w:rPr>
        <w:t xml:space="preserve"> </w:t>
      </w:r>
      <w:r>
        <w:rPr>
          <w:rFonts w:ascii="Arial" w:cs="Arial" w:eastAsia="Arial" w:hAnsi="Arial"/>
          <w:sz w:val="17"/>
          <w:szCs w:val="17"/>
          <w:i w:val="1"/>
          <w:iCs w:val="1"/>
          <w:color w:val="201F1E"/>
        </w:rPr>
        <w:t>Wheels, NOS4A2, Rectify, Orphan Black, Portlandia</w:t>
      </w:r>
      <w:r>
        <w:rPr>
          <w:rFonts w:ascii="Arial" w:cs="Arial" w:eastAsia="Arial" w:hAnsi="Arial"/>
          <w:sz w:val="17"/>
          <w:szCs w:val="17"/>
          <w:color w:val="201F1E"/>
        </w:rPr>
        <w:t>, and series from The Walking Dead Universe, among many others.</w:t>
      </w:r>
    </w:p>
    <w:p>
      <w:pPr>
        <w:spacing w:after="0" w:line="38" w:lineRule="exact"/>
        <w:rPr>
          <w:rFonts w:ascii="Arial" w:cs="Arial" w:eastAsia="Arial" w:hAnsi="Arial"/>
          <w:sz w:val="17"/>
          <w:szCs w:val="17"/>
          <w:color w:val="auto"/>
        </w:rPr>
      </w:pPr>
    </w:p>
    <w:p>
      <w:pPr>
        <w:ind w:left="900" w:hanging="325"/>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201F1E"/>
        </w:rPr>
        <w:t xml:space="preserve">AMC+ also offers a growing slate of original and exclusive series including </w:t>
      </w:r>
      <w:r>
        <w:rPr>
          <w:rFonts w:ascii="Arial" w:cs="Arial" w:eastAsia="Arial" w:hAnsi="Arial"/>
          <w:sz w:val="18"/>
          <w:szCs w:val="18"/>
          <w:i w:val="1"/>
          <w:iCs w:val="1"/>
          <w:color w:val="201F1E"/>
        </w:rPr>
        <w:t>Ragdoll, Kin, Gangs of London, The North Water, The Beast Must</w:t>
      </w:r>
      <w:r>
        <w:rPr>
          <w:rFonts w:ascii="Arial" w:cs="Arial" w:eastAsia="Arial" w:hAnsi="Arial"/>
          <w:sz w:val="18"/>
          <w:szCs w:val="18"/>
          <w:color w:val="201F1E"/>
        </w:rPr>
        <w:t xml:space="preserve"> </w:t>
      </w:r>
      <w:r>
        <w:rPr>
          <w:rFonts w:ascii="Arial" w:cs="Arial" w:eastAsia="Arial" w:hAnsi="Arial"/>
          <w:sz w:val="18"/>
          <w:szCs w:val="18"/>
          <w:i w:val="1"/>
          <w:iCs w:val="1"/>
          <w:color w:val="201F1E"/>
        </w:rPr>
        <w:t xml:space="preserve">Die, Too Close, The Salisbury Poisonings, Spy City, Ultra City Smiths, Anna, </w:t>
      </w:r>
      <w:r>
        <w:rPr>
          <w:rFonts w:ascii="Arial" w:cs="Arial" w:eastAsia="Arial" w:hAnsi="Arial"/>
          <w:sz w:val="18"/>
          <w:szCs w:val="18"/>
          <w:color w:val="201F1E"/>
        </w:rPr>
        <w:t>and</w:t>
      </w:r>
      <w:r>
        <w:rPr>
          <w:rFonts w:ascii="Arial" w:cs="Arial" w:eastAsia="Arial" w:hAnsi="Arial"/>
          <w:sz w:val="18"/>
          <w:szCs w:val="18"/>
          <w:i w:val="1"/>
          <w:iCs w:val="1"/>
          <w:color w:val="201F1E"/>
        </w:rPr>
        <w:t xml:space="preserve"> Firebite</w:t>
      </w:r>
      <w:r>
        <w:rPr>
          <w:rFonts w:ascii="Arial" w:cs="Arial" w:eastAsia="Arial" w:hAnsi="Arial"/>
          <w:sz w:val="18"/>
          <w:szCs w:val="18"/>
          <w:color w:val="201F1E"/>
        </w:rPr>
        <w:t>.</w:t>
      </w:r>
    </w:p>
    <w:p>
      <w:pPr>
        <w:spacing w:after="0" w:line="62" w:lineRule="exact"/>
        <w:rPr>
          <w:rFonts w:ascii="Arial" w:cs="Arial" w:eastAsia="Arial" w:hAnsi="Arial"/>
          <w:sz w:val="18"/>
          <w:szCs w:val="18"/>
          <w:color w:val="auto"/>
        </w:rPr>
      </w:pPr>
    </w:p>
    <w:p>
      <w:pPr>
        <w:jc w:val="both"/>
        <w:ind w:left="900" w:hanging="325"/>
        <w:spacing w:after="0" w:line="254" w:lineRule="auto"/>
        <w:tabs>
          <w:tab w:leader="none" w:pos="895" w:val="left"/>
        </w:tabs>
        <w:numPr>
          <w:ilvl w:val="0"/>
          <w:numId w:val="7"/>
        </w:numPr>
        <w:rPr>
          <w:rFonts w:ascii="Arial" w:cs="Arial" w:eastAsia="Arial" w:hAnsi="Arial"/>
          <w:sz w:val="18"/>
          <w:szCs w:val="18"/>
          <w:color w:val="201F1E"/>
        </w:rPr>
      </w:pPr>
      <w:r>
        <w:rPr>
          <w:rFonts w:ascii="Arial" w:cs="Arial" w:eastAsia="Arial" w:hAnsi="Arial"/>
          <w:sz w:val="18"/>
          <w:szCs w:val="18"/>
          <w:color w:val="auto"/>
        </w:rPr>
        <w:t xml:space="preserve">Upcoming series for AMC+ include </w:t>
      </w:r>
      <w:r>
        <w:rPr>
          <w:rFonts w:ascii="Arial" w:cs="Arial" w:eastAsia="Arial" w:hAnsi="Arial"/>
          <w:sz w:val="18"/>
          <w:szCs w:val="18"/>
          <w:i w:val="1"/>
          <w:iCs w:val="1"/>
          <w:color w:val="auto"/>
        </w:rPr>
        <w:t>61st Street</w:t>
      </w:r>
      <w:r>
        <w:rPr>
          <w:rFonts w:ascii="Arial" w:cs="Arial" w:eastAsia="Arial" w:hAnsi="Arial"/>
          <w:sz w:val="18"/>
          <w:szCs w:val="18"/>
          <w:color w:val="auto"/>
        </w:rPr>
        <w:t xml:space="preserve">, from BAFTA-winner Peter Moffat and executive produced by Michael B. Jordan; </w:t>
      </w:r>
      <w:r>
        <w:rPr>
          <w:rFonts w:ascii="Arial" w:cs="Arial" w:eastAsia="Arial" w:hAnsi="Arial"/>
          <w:sz w:val="18"/>
          <w:szCs w:val="18"/>
          <w:i w:val="1"/>
          <w:iCs w:val="1"/>
          <w:color w:val="auto"/>
        </w:rPr>
        <w:t>Moonhaven</w:t>
      </w:r>
      <w:r>
        <w:rPr>
          <w:rFonts w:ascii="Arial" w:cs="Arial" w:eastAsia="Arial" w:hAnsi="Arial"/>
          <w:sz w:val="18"/>
          <w:szCs w:val="18"/>
          <w:color w:val="auto"/>
        </w:rPr>
        <w:t xml:space="preserve">, from Peter Ocko, who we previously collaborated with on the critically-acclaimed </w:t>
      </w:r>
      <w:r>
        <w:rPr>
          <w:rFonts w:ascii="Arial" w:cs="Arial" w:eastAsia="Arial" w:hAnsi="Arial"/>
          <w:sz w:val="18"/>
          <w:szCs w:val="18"/>
          <w:i w:val="1"/>
          <w:iCs w:val="1"/>
          <w:color w:val="auto"/>
        </w:rPr>
        <w:t>Lodge 49</w:t>
      </w:r>
      <w:r>
        <w:rPr>
          <w:rFonts w:ascii="Arial" w:cs="Arial" w:eastAsia="Arial" w:hAnsi="Arial"/>
          <w:sz w:val="18"/>
          <w:szCs w:val="18"/>
          <w:color w:val="auto"/>
        </w:rPr>
        <w:t xml:space="preserve">; </w:t>
      </w:r>
      <w:r>
        <w:rPr>
          <w:rFonts w:ascii="Arial" w:cs="Arial" w:eastAsia="Arial" w:hAnsi="Arial"/>
          <w:sz w:val="18"/>
          <w:szCs w:val="18"/>
          <w:i w:val="1"/>
          <w:iCs w:val="1"/>
          <w:color w:val="auto"/>
        </w:rPr>
        <w:t>Dark Winds</w:t>
      </w:r>
      <w:r>
        <w:rPr>
          <w:rFonts w:ascii="Arial" w:cs="Arial" w:eastAsia="Arial" w:hAnsi="Arial"/>
          <w:sz w:val="18"/>
          <w:szCs w:val="18"/>
          <w:color w:val="auto"/>
        </w:rPr>
        <w:t xml:space="preserve">, executive produced by Robert Redford and George R.R. Martin; and two new series from the Anne Rice catalog: </w:t>
      </w:r>
      <w:r>
        <w:rPr>
          <w:rFonts w:ascii="Arial" w:cs="Arial" w:eastAsia="Arial" w:hAnsi="Arial"/>
          <w:sz w:val="18"/>
          <w:szCs w:val="18"/>
          <w:i w:val="1"/>
          <w:iCs w:val="1"/>
          <w:color w:val="auto"/>
        </w:rPr>
        <w:t>Anne Rice’s Interview with the Vampire</w:t>
      </w:r>
      <w:r>
        <w:rPr>
          <w:rFonts w:ascii="Arial" w:cs="Arial" w:eastAsia="Arial" w:hAnsi="Arial"/>
          <w:sz w:val="18"/>
          <w:szCs w:val="18"/>
          <w:color w:val="auto"/>
        </w:rPr>
        <w:t xml:space="preserve"> and </w:t>
      </w:r>
      <w:r>
        <w:rPr>
          <w:rFonts w:ascii="Arial" w:cs="Arial" w:eastAsia="Arial" w:hAnsi="Arial"/>
          <w:sz w:val="18"/>
          <w:szCs w:val="18"/>
          <w:i w:val="1"/>
          <w:iCs w:val="1"/>
          <w:color w:val="auto"/>
        </w:rPr>
        <w:t>Anne Rice’s</w:t>
      </w:r>
      <w:r>
        <w:rPr>
          <w:rFonts w:ascii="Arial" w:cs="Arial" w:eastAsia="Arial" w:hAnsi="Arial"/>
          <w:sz w:val="18"/>
          <w:szCs w:val="18"/>
          <w:color w:val="auto"/>
        </w:rPr>
        <w:t xml:space="preserve"> </w:t>
      </w:r>
      <w:r>
        <w:rPr>
          <w:rFonts w:ascii="Arial" w:cs="Arial" w:eastAsia="Arial" w:hAnsi="Arial"/>
          <w:sz w:val="18"/>
          <w:szCs w:val="18"/>
          <w:i w:val="1"/>
          <w:iCs w:val="1"/>
          <w:color w:val="auto"/>
        </w:rPr>
        <w:t>Mayfair Witches</w:t>
      </w:r>
      <w:r>
        <w:rPr>
          <w:rFonts w:ascii="Arial" w:cs="Arial" w:eastAsia="Arial" w:hAnsi="Arial"/>
          <w:sz w:val="18"/>
          <w:szCs w:val="18"/>
          <w:color w:val="auto"/>
        </w:rPr>
        <w:t>. AMC and The Walking Dead Universe Chief Content Officer Scott Gimple have continued developing projects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Walking Dead Universe, including a new episodic anthology planned for 2022 called </w:t>
      </w:r>
      <w:r>
        <w:rPr>
          <w:rFonts w:ascii="Arial" w:cs="Arial" w:eastAsia="Arial" w:hAnsi="Arial"/>
          <w:sz w:val="18"/>
          <w:szCs w:val="18"/>
          <w:i w:val="1"/>
          <w:iCs w:val="1"/>
          <w:color w:val="auto"/>
        </w:rPr>
        <w:t>Tales of the Walking Dead</w:t>
      </w:r>
      <w:r>
        <w:rPr>
          <w:rFonts w:ascii="Arial" w:cs="Arial" w:eastAsia="Arial" w:hAnsi="Arial"/>
          <w:sz w:val="18"/>
          <w:szCs w:val="18"/>
          <w:color w:val="auto"/>
        </w:rPr>
        <w:t xml:space="preserve"> and other spinoffs. As part of Gimple’s multi-year plan, there are a variety of projects currently in development, including additional series, specials, digital content and more.</w:t>
      </w:r>
    </w:p>
    <w:p>
      <w:pPr>
        <w:spacing w:after="0" w:line="86" w:lineRule="exact"/>
        <w:rPr>
          <w:rFonts w:ascii="Arial" w:cs="Arial" w:eastAsia="Arial" w:hAnsi="Arial"/>
          <w:sz w:val="18"/>
          <w:szCs w:val="18"/>
          <w:color w:val="201F1E"/>
        </w:rPr>
      </w:pPr>
    </w:p>
    <w:p>
      <w:pPr>
        <w:ind w:left="900" w:right="220" w:hanging="325"/>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201F1E"/>
        </w:rPr>
        <w:t>AMC+ recently launched in Canada and Australia, and is available in the United States through its website, the AMC+ app, and a number of digital and cable partners.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right="20" w:hanging="325"/>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Acorn TV </w:t>
      </w:r>
      <w:r>
        <w:rPr>
          <w:rFonts w:ascii="Arial" w:cs="Arial" w:eastAsia="Arial" w:hAnsi="Arial"/>
          <w:sz w:val="18"/>
          <w:szCs w:val="18"/>
          <w:color w:val="201F1E"/>
        </w:rPr>
        <w:t>is North America’s largest streaming service specializing in British and international television. Acorn TV adds exclusive new</w:t>
      </w:r>
      <w:r>
        <w:rPr>
          <w:rFonts w:ascii="Arial" w:cs="Arial" w:eastAsia="Arial" w:hAnsi="Arial"/>
          <w:sz w:val="18"/>
          <w:szCs w:val="18"/>
          <w:color w:val="auto"/>
        </w:rPr>
        <w:t xml:space="preserve"> </w:t>
      </w:r>
      <w:r>
        <w:rPr>
          <w:rFonts w:ascii="Arial" w:cs="Arial" w:eastAsia="Arial" w:hAnsi="Arial"/>
          <w:sz w:val="18"/>
          <w:szCs w:val="18"/>
          <w:color w:val="201F1E"/>
        </w:rPr>
        <w:t>programs with a deep library of mysteries, dramas, and comedies with no commercials.</w:t>
      </w:r>
    </w:p>
    <w:p>
      <w:pPr>
        <w:spacing w:after="0" w:line="62" w:lineRule="exact"/>
        <w:rPr>
          <w:rFonts w:ascii="Arial" w:cs="Arial" w:eastAsia="Arial" w:hAnsi="Arial"/>
          <w:sz w:val="18"/>
          <w:szCs w:val="18"/>
          <w:color w:val="auto"/>
        </w:rPr>
      </w:pPr>
    </w:p>
    <w:p>
      <w:pPr>
        <w:jc w:val="both"/>
        <w:ind w:left="900" w:hanging="325"/>
        <w:spacing w:after="0" w:line="275" w:lineRule="auto"/>
        <w:tabs>
          <w:tab w:leader="none" w:pos="895" w:val="left"/>
        </w:tabs>
        <w:numPr>
          <w:ilvl w:val="0"/>
          <w:numId w:val="7"/>
        </w:numPr>
        <w:rPr>
          <w:rFonts w:ascii="Arial" w:cs="Arial" w:eastAsia="Arial" w:hAnsi="Arial"/>
          <w:sz w:val="17"/>
          <w:szCs w:val="17"/>
          <w:color w:val="auto"/>
        </w:rPr>
      </w:pPr>
      <w:r>
        <w:rPr>
          <w:rFonts w:ascii="Arial" w:cs="Arial" w:eastAsia="Arial" w:hAnsi="Arial"/>
          <w:sz w:val="17"/>
          <w:szCs w:val="17"/>
          <w:color w:val="201F1E"/>
        </w:rPr>
        <w:t xml:space="preserve">In 2021, Acorn TV featured several commissioned original series including the second season of </w:t>
      </w:r>
      <w:r>
        <w:rPr>
          <w:rFonts w:ascii="Arial" w:cs="Arial" w:eastAsia="Arial" w:hAnsi="Arial"/>
          <w:sz w:val="17"/>
          <w:szCs w:val="17"/>
          <w:i w:val="1"/>
          <w:iCs w:val="1"/>
          <w:color w:val="201F1E"/>
        </w:rPr>
        <w:t>Miss Fisher</w:t>
      </w:r>
      <w:r>
        <w:rPr>
          <w:rFonts w:ascii="Arial" w:cs="Arial" w:eastAsia="Arial" w:hAnsi="Arial"/>
          <w:sz w:val="17"/>
          <w:szCs w:val="17"/>
          <w:color w:val="201F1E"/>
        </w:rPr>
        <w:t xml:space="preserve"> spinoff </w:t>
      </w:r>
      <w:r>
        <w:rPr>
          <w:rFonts w:ascii="Arial" w:cs="Arial" w:eastAsia="Arial" w:hAnsi="Arial"/>
          <w:sz w:val="17"/>
          <w:szCs w:val="17"/>
          <w:i w:val="1"/>
          <w:iCs w:val="1"/>
          <w:color w:val="201F1E"/>
        </w:rPr>
        <w:t>Ms. Fisher’s Modern</w:t>
      </w:r>
      <w:r>
        <w:rPr>
          <w:rFonts w:ascii="Arial" w:cs="Arial" w:eastAsia="Arial" w:hAnsi="Arial"/>
          <w:sz w:val="17"/>
          <w:szCs w:val="17"/>
          <w:color w:val="201F1E"/>
        </w:rPr>
        <w:t xml:space="preserve"> </w:t>
      </w:r>
      <w:r>
        <w:rPr>
          <w:rFonts w:ascii="Arial" w:cs="Arial" w:eastAsia="Arial" w:hAnsi="Arial"/>
          <w:sz w:val="17"/>
          <w:szCs w:val="17"/>
          <w:i w:val="1"/>
          <w:iCs w:val="1"/>
          <w:color w:val="201F1E"/>
        </w:rPr>
        <w:t>Murder Mysteries</w:t>
      </w:r>
      <w:r>
        <w:rPr>
          <w:rFonts w:ascii="Arial" w:cs="Arial" w:eastAsia="Arial" w:hAnsi="Arial"/>
          <w:sz w:val="17"/>
          <w:szCs w:val="17"/>
          <w:color w:val="201F1E"/>
        </w:rPr>
        <w:t>, British crime drama</w:t>
      </w:r>
      <w:r>
        <w:rPr>
          <w:rFonts w:ascii="Arial" w:cs="Arial" w:eastAsia="Arial" w:hAnsi="Arial"/>
          <w:sz w:val="17"/>
          <w:szCs w:val="17"/>
          <w:i w:val="1"/>
          <w:iCs w:val="1"/>
          <w:color w:val="201F1E"/>
        </w:rPr>
        <w:t xml:space="preserve"> Whitstable Pearl</w:t>
      </w:r>
      <w:r>
        <w:rPr>
          <w:rFonts w:ascii="Arial" w:cs="Arial" w:eastAsia="Arial" w:hAnsi="Arial"/>
          <w:sz w:val="17"/>
          <w:szCs w:val="17"/>
          <w:color w:val="201F1E"/>
        </w:rPr>
        <w:t>, Kiwi romantic comedy</w:t>
      </w:r>
      <w:r>
        <w:rPr>
          <w:rFonts w:ascii="Arial" w:cs="Arial" w:eastAsia="Arial" w:hAnsi="Arial"/>
          <w:sz w:val="17"/>
          <w:szCs w:val="17"/>
          <w:i w:val="1"/>
          <w:iCs w:val="1"/>
          <w:color w:val="201F1E"/>
        </w:rPr>
        <w:t xml:space="preserve"> Under the Vines </w:t>
      </w:r>
      <w:r>
        <w:rPr>
          <w:rFonts w:ascii="Arial" w:cs="Arial" w:eastAsia="Arial" w:hAnsi="Arial"/>
          <w:sz w:val="17"/>
          <w:szCs w:val="17"/>
          <w:color w:val="201F1E"/>
        </w:rPr>
        <w:t>and British detective drama</w:t>
      </w:r>
      <w:r>
        <w:rPr>
          <w:rFonts w:ascii="Arial" w:cs="Arial" w:eastAsia="Arial" w:hAnsi="Arial"/>
          <w:sz w:val="17"/>
          <w:szCs w:val="17"/>
          <w:i w:val="1"/>
          <w:iCs w:val="1"/>
          <w:color w:val="201F1E"/>
        </w:rPr>
        <w:t xml:space="preserve"> Dalgleish </w:t>
      </w:r>
      <w:r>
        <w:rPr>
          <w:rFonts w:ascii="Arial" w:cs="Arial" w:eastAsia="Arial" w:hAnsi="Arial"/>
          <w:sz w:val="17"/>
          <w:szCs w:val="17"/>
          <w:color w:val="201F1E"/>
        </w:rPr>
        <w:t xml:space="preserve">starring Bertie Carvel, as well as Irish crime thriller </w:t>
      </w:r>
      <w:r>
        <w:rPr>
          <w:rFonts w:ascii="Arial" w:cs="Arial" w:eastAsia="Arial" w:hAnsi="Arial"/>
          <w:sz w:val="17"/>
          <w:szCs w:val="17"/>
          <w:i w:val="1"/>
          <w:iCs w:val="1"/>
          <w:color w:val="201F1E"/>
        </w:rPr>
        <w:t>Bloodlands</w:t>
      </w:r>
      <w:r>
        <w:rPr>
          <w:rFonts w:ascii="Arial" w:cs="Arial" w:eastAsia="Arial" w:hAnsi="Arial"/>
          <w:sz w:val="17"/>
          <w:szCs w:val="17"/>
          <w:color w:val="201F1E"/>
        </w:rPr>
        <w:t xml:space="preserve"> starring James Nesbitt and co-executive produced by Jed Mercurio, the return of New Zealand detective series </w:t>
      </w:r>
      <w:r>
        <w:rPr>
          <w:rFonts w:ascii="Arial" w:cs="Arial" w:eastAsia="Arial" w:hAnsi="Arial"/>
          <w:sz w:val="17"/>
          <w:szCs w:val="17"/>
          <w:i w:val="1"/>
          <w:iCs w:val="1"/>
          <w:color w:val="201F1E"/>
        </w:rPr>
        <w:t>My Life Is Murder</w:t>
      </w:r>
      <w:r>
        <w:rPr>
          <w:rFonts w:ascii="Arial" w:cs="Arial" w:eastAsia="Arial" w:hAnsi="Arial"/>
          <w:sz w:val="17"/>
          <w:szCs w:val="17"/>
          <w:color w:val="201F1E"/>
        </w:rPr>
        <w:t xml:space="preserve"> starring Lucy Lawless, popular Canadian period drama </w:t>
      </w:r>
      <w:r>
        <w:rPr>
          <w:rFonts w:ascii="Arial" w:cs="Arial" w:eastAsia="Arial" w:hAnsi="Arial"/>
          <w:sz w:val="17"/>
          <w:szCs w:val="17"/>
          <w:i w:val="1"/>
          <w:iCs w:val="1"/>
          <w:color w:val="201F1E"/>
        </w:rPr>
        <w:t>Murdoch Mysteries</w:t>
      </w:r>
      <w:r>
        <w:rPr>
          <w:rFonts w:ascii="Arial" w:cs="Arial" w:eastAsia="Arial" w:hAnsi="Arial"/>
          <w:sz w:val="17"/>
          <w:szCs w:val="17"/>
          <w:color w:val="201F1E"/>
        </w:rPr>
        <w:t xml:space="preserve">, and a growing catalog of popular binge-able dramas that include </w:t>
      </w:r>
      <w:r>
        <w:rPr>
          <w:rFonts w:ascii="Arial" w:cs="Arial" w:eastAsia="Arial" w:hAnsi="Arial"/>
          <w:sz w:val="17"/>
          <w:szCs w:val="17"/>
          <w:i w:val="1"/>
          <w:iCs w:val="1"/>
          <w:color w:val="201F1E"/>
        </w:rPr>
        <w:t>A Place to Call Home, Detectorists, Jack Irish</w:t>
      </w:r>
      <w:r>
        <w:rPr>
          <w:rFonts w:ascii="Arial" w:cs="Arial" w:eastAsia="Arial" w:hAnsi="Arial"/>
          <w:sz w:val="17"/>
          <w:szCs w:val="17"/>
          <w:color w:val="201F1E"/>
        </w:rPr>
        <w:t xml:space="preserve"> and </w:t>
      </w:r>
      <w:r>
        <w:rPr>
          <w:rFonts w:ascii="Arial" w:cs="Arial" w:eastAsia="Arial" w:hAnsi="Arial"/>
          <w:sz w:val="17"/>
          <w:szCs w:val="17"/>
          <w:i w:val="1"/>
          <w:iCs w:val="1"/>
          <w:color w:val="201F1E"/>
        </w:rPr>
        <w:t>Foyle’s War</w:t>
      </w:r>
      <w:r>
        <w:rPr>
          <w:rFonts w:ascii="Arial" w:cs="Arial" w:eastAsia="Arial" w:hAnsi="Arial"/>
          <w:sz w:val="17"/>
          <w:szCs w:val="17"/>
          <w:color w:val="201F1E"/>
        </w:rPr>
        <w:t>.</w:t>
      </w:r>
    </w:p>
    <w:p>
      <w:pPr>
        <w:spacing w:after="0" w:line="68" w:lineRule="exact"/>
        <w:rPr>
          <w:rFonts w:ascii="Arial" w:cs="Arial" w:eastAsia="Arial" w:hAnsi="Arial"/>
          <w:sz w:val="17"/>
          <w:szCs w:val="17"/>
          <w:color w:val="auto"/>
        </w:rPr>
      </w:pPr>
    </w:p>
    <w:p>
      <w:pPr>
        <w:ind w:left="900" w:right="20" w:hanging="325"/>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201F1E"/>
        </w:rPr>
        <w:t xml:space="preserve">Recent Acorn TV original series include </w:t>
      </w:r>
      <w:r>
        <w:rPr>
          <w:rFonts w:ascii="Arial" w:cs="Arial" w:eastAsia="Arial" w:hAnsi="Arial"/>
          <w:sz w:val="18"/>
          <w:szCs w:val="18"/>
          <w:i w:val="1"/>
          <w:iCs w:val="1"/>
          <w:color w:val="201F1E"/>
        </w:rPr>
        <w:t>Deadwater Fell</w:t>
      </w:r>
      <w:r>
        <w:rPr>
          <w:rFonts w:ascii="Arial" w:cs="Arial" w:eastAsia="Arial" w:hAnsi="Arial"/>
          <w:sz w:val="18"/>
          <w:szCs w:val="18"/>
          <w:color w:val="201F1E"/>
        </w:rPr>
        <w:t xml:space="preserve"> starring David Tennant, highly-rated BBC One drama </w:t>
      </w:r>
      <w:r>
        <w:rPr>
          <w:rFonts w:ascii="Arial" w:cs="Arial" w:eastAsia="Arial" w:hAnsi="Arial"/>
          <w:sz w:val="18"/>
          <w:szCs w:val="18"/>
          <w:i w:val="1"/>
          <w:iCs w:val="1"/>
          <w:color w:val="201F1E"/>
        </w:rPr>
        <w:t>The Nest</w:t>
      </w:r>
      <w:r>
        <w:rPr>
          <w:rFonts w:ascii="Arial" w:cs="Arial" w:eastAsia="Arial" w:hAnsi="Arial"/>
          <w:sz w:val="18"/>
          <w:szCs w:val="18"/>
          <w:color w:val="201F1E"/>
        </w:rPr>
        <w:t xml:space="preserve">; and groundbreaking BBC One period drama </w:t>
      </w:r>
      <w:r>
        <w:rPr>
          <w:rFonts w:ascii="Arial" w:cs="Arial" w:eastAsia="Arial" w:hAnsi="Arial"/>
          <w:sz w:val="18"/>
          <w:szCs w:val="18"/>
          <w:i w:val="1"/>
          <w:iCs w:val="1"/>
          <w:color w:val="201F1E"/>
        </w:rPr>
        <w:t>A Suitable Boy</w:t>
      </w:r>
      <w:r>
        <w:rPr>
          <w:rFonts w:ascii="Arial" w:cs="Arial" w:eastAsia="Arial" w:hAnsi="Arial"/>
          <w:sz w:val="18"/>
          <w:szCs w:val="18"/>
          <w:color w:val="201F1E"/>
        </w:rPr>
        <w:t xml:space="preserve"> from Mira Nair.</w:t>
      </w:r>
    </w:p>
    <w:p>
      <w:pPr>
        <w:spacing w:after="0" w:line="62" w:lineRule="exact"/>
        <w:rPr>
          <w:rFonts w:ascii="Arial" w:cs="Arial" w:eastAsia="Arial" w:hAnsi="Arial"/>
          <w:sz w:val="18"/>
          <w:szCs w:val="18"/>
          <w:color w:val="auto"/>
        </w:rPr>
      </w:pPr>
    </w:p>
    <w:p>
      <w:pPr>
        <w:ind w:left="900" w:hanging="325"/>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201F1E"/>
        </w:rPr>
        <w:t>Acorn TV’s international distribution is growing, with the service available in key markets including Canada, the UK, South Africa, and across Europe and Latin America.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900" w:hanging="325"/>
        <w:spacing w:after="0" w:line="277" w:lineRule="auto"/>
        <w:tabs>
          <w:tab w:leader="none" w:pos="89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Shudder is a premium streaming service offering a selection of horror, thriller and supernatural movies, series, and specials, uncut and commercial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-2891155</wp:posOffset>
            </wp:positionV>
            <wp:extent cx="128587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5875"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-628015</wp:posOffset>
            </wp:positionV>
            <wp:extent cx="128587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205740"/>
                    </a:xfrm>
                    <a:prstGeom prst="rect">
                      <a:avLst/>
                    </a:prstGeom>
                    <a:noFill/>
                  </pic:spPr>
                </pic:pic>
              </a:graphicData>
            </a:graphic>
          </wp:anchor>
        </w:drawing>
      </w:r>
    </w:p>
    <w:p>
      <w:pPr>
        <w:spacing w:after="0" w:line="254" w:lineRule="exact"/>
        <w:rPr>
          <w:sz w:val="20"/>
          <w:szCs w:val="20"/>
          <w:color w:val="auto"/>
        </w:rPr>
      </w:pPr>
    </w:p>
    <w:p>
      <w:pPr>
        <w:ind w:right="100" w:firstLine="8"/>
        <w:spacing w:after="0" w:line="201"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 paid subscription is defined as a subscription to a direct-to-consumer service or a subscription received through distributor arrangements, in which we receive a fee for the distribution of our streaming services, and includes an estimate of subscribers that converted to paying status in the subsequent period based on historical conversion percentages.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1" w:name="page12"/>
    <w:bookmarkEnd w:id="11"/>
    <w:p>
      <w:pPr>
        <w:jc w:val="both"/>
        <w:ind w:left="720" w:hanging="325"/>
        <w:spacing w:after="0" w:line="259"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Shudder brings its subscribers Hollywood favorites, cult classics and original series and critically acclaimed new genre films they cannot find anywhere else. 2021 programming included new seasons of </w:t>
      </w:r>
      <w:r>
        <w:rPr>
          <w:rFonts w:ascii="Arial" w:cs="Arial" w:eastAsia="Arial" w:hAnsi="Arial"/>
          <w:sz w:val="18"/>
          <w:szCs w:val="18"/>
          <w:i w:val="1"/>
          <w:iCs w:val="1"/>
          <w:color w:val="auto"/>
        </w:rPr>
        <w:t>Creepshow</w:t>
      </w:r>
      <w:r>
        <w:rPr>
          <w:rFonts w:ascii="Arial" w:cs="Arial" w:eastAsia="Arial" w:hAnsi="Arial"/>
          <w:sz w:val="18"/>
          <w:szCs w:val="18"/>
          <w:color w:val="auto"/>
        </w:rPr>
        <w:t xml:space="preserve">, </w:t>
      </w:r>
      <w:r>
        <w:rPr>
          <w:rFonts w:ascii="Arial" w:cs="Arial" w:eastAsia="Arial" w:hAnsi="Arial"/>
          <w:sz w:val="18"/>
          <w:szCs w:val="18"/>
          <w:i w:val="1"/>
          <w:iCs w:val="1"/>
          <w:color w:val="auto"/>
        </w:rPr>
        <w:t>The Boulet Brothers’ Dragula</w:t>
      </w:r>
      <w:r>
        <w:rPr>
          <w:rFonts w:ascii="Arial" w:cs="Arial" w:eastAsia="Arial" w:hAnsi="Arial"/>
          <w:sz w:val="18"/>
          <w:szCs w:val="18"/>
          <w:color w:val="auto"/>
        </w:rPr>
        <w:t xml:space="preserve"> and </w:t>
      </w:r>
      <w:r>
        <w:rPr>
          <w:rFonts w:ascii="Arial" w:cs="Arial" w:eastAsia="Arial" w:hAnsi="Arial"/>
          <w:sz w:val="18"/>
          <w:szCs w:val="18"/>
          <w:i w:val="1"/>
          <w:iCs w:val="1"/>
          <w:color w:val="auto"/>
        </w:rPr>
        <w:t>Slasher: Flesh &amp; Blood</w:t>
      </w:r>
      <w:r>
        <w:rPr>
          <w:rFonts w:ascii="Arial" w:cs="Arial" w:eastAsia="Arial" w:hAnsi="Arial"/>
          <w:sz w:val="18"/>
          <w:szCs w:val="18"/>
          <w:color w:val="auto"/>
        </w:rPr>
        <w:t xml:space="preserve">, and 50 original or exclusive films including </w:t>
      </w:r>
      <w:r>
        <w:rPr>
          <w:rFonts w:ascii="Arial" w:cs="Arial" w:eastAsia="Arial" w:hAnsi="Arial"/>
          <w:sz w:val="18"/>
          <w:szCs w:val="18"/>
          <w:i w:val="1"/>
          <w:iCs w:val="1"/>
          <w:color w:val="auto"/>
        </w:rPr>
        <w:t>V/H/S/94</w:t>
      </w:r>
      <w:r>
        <w:rPr>
          <w:rFonts w:ascii="Arial" w:cs="Arial" w:eastAsia="Arial" w:hAnsi="Arial"/>
          <w:sz w:val="18"/>
          <w:szCs w:val="18"/>
          <w:color w:val="auto"/>
        </w:rPr>
        <w:t xml:space="preserve">, </w:t>
      </w:r>
      <w:r>
        <w:rPr>
          <w:rFonts w:ascii="Arial" w:cs="Arial" w:eastAsia="Arial" w:hAnsi="Arial"/>
          <w:sz w:val="18"/>
          <w:szCs w:val="18"/>
          <w:i w:val="1"/>
          <w:iCs w:val="1"/>
          <w:color w:val="auto"/>
        </w:rPr>
        <w:t>The Boy Behind the Door</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Amusement Park</w:t>
      </w:r>
      <w:r>
        <w:rPr>
          <w:rFonts w:ascii="Arial" w:cs="Arial" w:eastAsia="Arial" w:hAnsi="Arial"/>
          <w:sz w:val="18"/>
          <w:szCs w:val="18"/>
          <w:color w:val="auto"/>
        </w:rPr>
        <w:t>, the previously lost film from horror master George A. Romero.</w:t>
      </w:r>
    </w:p>
    <w:p>
      <w:pPr>
        <w:spacing w:after="0" w:line="78"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Shudder recently launched internationally in Ireland, Australia and New Zealand.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20" w:right="20" w:hanging="325"/>
        <w:spacing w:after="0" w:line="308" w:lineRule="auto"/>
        <w:tabs>
          <w:tab w:leader="none" w:pos="715" w:val="left"/>
        </w:tabs>
        <w:numPr>
          <w:ilvl w:val="0"/>
          <w:numId w:val="9"/>
        </w:numPr>
        <w:rPr>
          <w:rFonts w:ascii="Arial" w:cs="Arial" w:eastAsia="Arial" w:hAnsi="Arial"/>
          <w:sz w:val="17"/>
          <w:szCs w:val="17"/>
          <w:color w:val="auto"/>
        </w:rPr>
      </w:pPr>
      <w:r>
        <w:rPr>
          <w:rFonts w:ascii="Arial" w:cs="Arial" w:eastAsia="Arial" w:hAnsi="Arial"/>
          <w:sz w:val="17"/>
          <w:szCs w:val="17"/>
          <w:color w:val="auto"/>
        </w:rPr>
        <w:t>Sundance Now is for TV watchers looking for their next series to obsess over and offers a rich selection of original and exclusive series from engrossing true crime to heart-stopping dramas and fiercely intelligent thrillers from around the world, all streaming commercial-free.</w:t>
      </w:r>
    </w:p>
    <w:p>
      <w:pPr>
        <w:spacing w:after="0" w:line="38" w:lineRule="exact"/>
        <w:rPr>
          <w:rFonts w:ascii="Arial" w:cs="Arial" w:eastAsia="Arial" w:hAnsi="Arial"/>
          <w:sz w:val="17"/>
          <w:szCs w:val="17"/>
          <w:color w:val="auto"/>
        </w:rPr>
      </w:pPr>
    </w:p>
    <w:p>
      <w:pPr>
        <w:jc w:val="both"/>
        <w:ind w:left="720" w:hanging="325"/>
        <w:spacing w:after="0" w:line="259"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Sundance Now has exclusively premiered several distinctive, critically acclaimed Sundance Now Original Series, including supernatural drama </w:t>
      </w:r>
      <w:r>
        <w:rPr>
          <w:rFonts w:ascii="Arial" w:cs="Arial" w:eastAsia="Arial" w:hAnsi="Arial"/>
          <w:sz w:val="18"/>
          <w:szCs w:val="18"/>
          <w:i w:val="1"/>
          <w:iCs w:val="1"/>
          <w:color w:val="auto"/>
        </w:rPr>
        <w:t xml:space="preserve">A Discovery of Witches, </w:t>
      </w:r>
      <w:r>
        <w:rPr>
          <w:rFonts w:ascii="Arial" w:cs="Arial" w:eastAsia="Arial" w:hAnsi="Arial"/>
          <w:sz w:val="18"/>
          <w:szCs w:val="18"/>
          <w:color w:val="auto"/>
        </w:rPr>
        <w:t>glamourous thriller</w:t>
      </w:r>
      <w:r>
        <w:rPr>
          <w:rFonts w:ascii="Arial" w:cs="Arial" w:eastAsia="Arial" w:hAnsi="Arial"/>
          <w:sz w:val="18"/>
          <w:szCs w:val="18"/>
          <w:i w:val="1"/>
          <w:iCs w:val="1"/>
          <w:color w:val="auto"/>
        </w:rPr>
        <w:t xml:space="preserve"> Riviera </w:t>
      </w:r>
      <w:r>
        <w:rPr>
          <w:rFonts w:ascii="Arial" w:cs="Arial" w:eastAsia="Arial" w:hAnsi="Arial"/>
          <w:sz w:val="18"/>
          <w:szCs w:val="18"/>
          <w:color w:val="auto"/>
        </w:rPr>
        <w:t>and critically acclaimed French spy drama</w:t>
      </w:r>
      <w:r>
        <w:rPr>
          <w:rFonts w:ascii="Arial" w:cs="Arial" w:eastAsia="Arial" w:hAnsi="Arial"/>
          <w:sz w:val="18"/>
          <w:szCs w:val="18"/>
          <w:i w:val="1"/>
          <w:iCs w:val="1"/>
          <w:color w:val="auto"/>
        </w:rPr>
        <w:t xml:space="preserve"> The Bureau, </w:t>
      </w:r>
      <w:r>
        <w:rPr>
          <w:rFonts w:ascii="Arial" w:cs="Arial" w:eastAsia="Arial" w:hAnsi="Arial"/>
          <w:sz w:val="18"/>
          <w:szCs w:val="18"/>
          <w:color w:val="auto"/>
        </w:rPr>
        <w:t>plus Sundance Now Exclusives,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as Nordic noir thriller </w:t>
      </w:r>
      <w:r>
        <w:rPr>
          <w:rFonts w:ascii="Arial" w:cs="Arial" w:eastAsia="Arial" w:hAnsi="Arial"/>
          <w:sz w:val="18"/>
          <w:szCs w:val="18"/>
          <w:i w:val="1"/>
          <w:iCs w:val="1"/>
          <w:color w:val="auto"/>
        </w:rPr>
        <w:t>Wisting</w:t>
      </w:r>
      <w:r>
        <w:rPr>
          <w:rFonts w:ascii="Arial" w:cs="Arial" w:eastAsia="Arial" w:hAnsi="Arial"/>
          <w:sz w:val="18"/>
          <w:szCs w:val="18"/>
          <w:color w:val="auto"/>
        </w:rPr>
        <w:t xml:space="preserve"> and British drama </w:t>
      </w:r>
      <w:r>
        <w:rPr>
          <w:rFonts w:ascii="Arial" w:cs="Arial" w:eastAsia="Arial" w:hAnsi="Arial"/>
          <w:sz w:val="18"/>
          <w:szCs w:val="18"/>
          <w:i w:val="1"/>
          <w:iCs w:val="1"/>
          <w:color w:val="auto"/>
        </w:rPr>
        <w:t>Des</w:t>
      </w:r>
      <w:r>
        <w:rPr>
          <w:rFonts w:ascii="Arial" w:cs="Arial" w:eastAsia="Arial" w:hAnsi="Arial"/>
          <w:sz w:val="18"/>
          <w:szCs w:val="18"/>
          <w:color w:val="auto"/>
        </w:rPr>
        <w:t xml:space="preserve"> starring David Tennant; as well as riveting true crime series like </w:t>
      </w:r>
      <w:r>
        <w:rPr>
          <w:rFonts w:ascii="Arial" w:cs="Arial" w:eastAsia="Arial" w:hAnsi="Arial"/>
          <w:sz w:val="18"/>
          <w:szCs w:val="18"/>
          <w:i w:val="1"/>
          <w:iCs w:val="1"/>
          <w:color w:val="auto"/>
        </w:rPr>
        <w:t>No One Saw a</w:t>
      </w:r>
      <w:r>
        <w:rPr>
          <w:rFonts w:ascii="Arial" w:cs="Arial" w:eastAsia="Arial" w:hAnsi="Arial"/>
          <w:sz w:val="18"/>
          <w:szCs w:val="18"/>
          <w:color w:val="auto"/>
        </w:rPr>
        <w:t xml:space="preserve"> </w:t>
      </w:r>
      <w:r>
        <w:rPr>
          <w:rFonts w:ascii="Arial" w:cs="Arial" w:eastAsia="Arial" w:hAnsi="Arial"/>
          <w:sz w:val="18"/>
          <w:szCs w:val="18"/>
          <w:i w:val="1"/>
          <w:iCs w:val="1"/>
          <w:color w:val="auto"/>
        </w:rPr>
        <w:t>Thing</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20" w:hanging="32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Sundance Now is also available in key markets overseas including the UK, Ireland, Germany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-1493520</wp:posOffset>
            </wp:positionV>
            <wp:extent cx="171450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2832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306070</wp:posOffset>
            </wp:positionV>
            <wp:extent cx="1311275" cy="651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12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720" w:hanging="325"/>
        <w:spacing w:after="0" w:line="259" w:lineRule="auto"/>
        <w:tabs>
          <w:tab w:leader="none" w:pos="7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ALLBLK is an invitation to a world of streaming entertainment that is inclusively, but unapologetically – Black. Featuring a diverse lineup of content that spans across genres and generations, the ALLBLK library includes exclusive original series such as </w:t>
      </w:r>
      <w:r>
        <w:rPr>
          <w:rFonts w:ascii="Arial" w:cs="Arial" w:eastAsia="Arial" w:hAnsi="Arial"/>
          <w:sz w:val="18"/>
          <w:szCs w:val="18"/>
          <w:i w:val="1"/>
          <w:iCs w:val="1"/>
          <w:color w:val="auto"/>
        </w:rPr>
        <w:t>Craig Ross Jr.’s Monogamy,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House Divided, </w:t>
      </w:r>
      <w:r>
        <w:rPr>
          <w:rFonts w:ascii="Arial" w:cs="Arial" w:eastAsia="Arial" w:hAnsi="Arial"/>
          <w:sz w:val="18"/>
          <w:szCs w:val="18"/>
          <w:color w:val="auto"/>
        </w:rPr>
        <w:t>and</w:t>
      </w:r>
      <w:r>
        <w:rPr>
          <w:rFonts w:ascii="Arial" w:cs="Arial" w:eastAsia="Arial" w:hAnsi="Arial"/>
          <w:sz w:val="18"/>
          <w:szCs w:val="18"/>
          <w:i w:val="1"/>
          <w:iCs w:val="1"/>
          <w:color w:val="auto"/>
        </w:rPr>
        <w:t xml:space="preserve"> Double Cross</w:t>
      </w:r>
      <w:r>
        <w:rPr>
          <w:rFonts w:ascii="Arial" w:cs="Arial" w:eastAsia="Arial" w:hAnsi="Arial"/>
          <w:sz w:val="18"/>
          <w:szCs w:val="18"/>
          <w:color w:val="auto"/>
        </w:rPr>
        <w:t>; must-see independent films, nostalgic Black cinema, popular network TV, lively stage plays, and so much</w:t>
      </w:r>
      <w:r>
        <w:rPr>
          <w:rFonts w:ascii="Arial" w:cs="Arial" w:eastAsia="Arial" w:hAnsi="Arial"/>
          <w:sz w:val="18"/>
          <w:szCs w:val="18"/>
          <w:i w:val="1"/>
          <w:iCs w:val="1"/>
          <w:color w:val="auto"/>
        </w:rPr>
        <w:t xml:space="preserve"> </w:t>
      </w:r>
      <w:r>
        <w:rPr>
          <w:rFonts w:ascii="Arial" w:cs="Arial" w:eastAsia="Arial" w:hAnsi="Arial"/>
          <w:sz w:val="18"/>
          <w:szCs w:val="18"/>
          <w:color w:val="auto"/>
        </w:rPr>
        <w:t>more.</w:t>
      </w:r>
    </w:p>
    <w:p>
      <w:pPr>
        <w:spacing w:after="0" w:line="78" w:lineRule="exact"/>
        <w:rPr>
          <w:rFonts w:ascii="Arial" w:cs="Arial" w:eastAsia="Arial" w:hAnsi="Arial"/>
          <w:sz w:val="18"/>
          <w:szCs w:val="18"/>
          <w:color w:val="auto"/>
        </w:rPr>
      </w:pPr>
    </w:p>
    <w:p>
      <w:pPr>
        <w:jc w:val="both"/>
        <w:ind w:left="720" w:hanging="325"/>
        <w:spacing w:after="0" w:line="263" w:lineRule="auto"/>
        <w:tabs>
          <w:tab w:leader="none" w:pos="71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ALLBLK is available on iOS, Android, Amazon Prime Video Channels, Apple TV and Apple TV Channels, Roku and Roku Channels, Amazon Fire TV, YouTube TV, Cox, DISH, Sling TV, Charter and more. ALLBLK’s content can also be found on Comcast and AT&amp;T outlets under the WEtv+ banner.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jc w:val="both"/>
        <w:ind w:left="800" w:hanging="486"/>
        <w:spacing w:after="0" w:line="259" w:lineRule="auto"/>
        <w:tabs>
          <w:tab w:leader="none" w:pos="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HIDIVE is an anime-focused direct-to-consumer subscription streaming service with the rights to a growing catalog of over 500 uncut, commercial free TV series, movies, and original video animations. In addition to its deep and diverse catalog, HIDIVE offers simulcast streams of the freshest anime content directly from Japan. HIDIVE is available in North America as well as key overseas markets including the UK, Ireland, Australia, New Zealand and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-1037590</wp:posOffset>
            </wp:positionV>
            <wp:extent cx="1285875"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3511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AMC Studios - </w:t>
      </w:r>
      <w:r>
        <w:rPr>
          <w:rFonts w:ascii="Arial" w:cs="Arial" w:eastAsia="Arial" w:hAnsi="Arial"/>
          <w:sz w:val="18"/>
          <w:szCs w:val="18"/>
          <w:color w:val="auto"/>
        </w:rPr>
        <w:t>Our AMC Studios operation is our in-house studio production and distribution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83185</wp:posOffset>
            </wp:positionV>
            <wp:extent cx="154305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0" w:hanging="486"/>
        <w:spacing w:after="0"/>
        <w:tabs>
          <w:tab w:leader="none" w:pos="8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AMC Studios launched in 2010 with its first series, </w:t>
      </w:r>
      <w:r>
        <w:rPr>
          <w:rFonts w:ascii="Arial" w:cs="Arial" w:eastAsia="Arial" w:hAnsi="Arial"/>
          <w:sz w:val="18"/>
          <w:szCs w:val="18"/>
          <w:i w:val="1"/>
          <w:iCs w:val="1"/>
          <w:color w:val="auto"/>
        </w:rPr>
        <w:t>The Walking Dead</w:t>
      </w:r>
      <w:r>
        <w:rPr>
          <w:rFonts w:ascii="Arial" w:cs="Arial" w:eastAsia="Arial" w:hAnsi="Arial"/>
          <w:sz w:val="18"/>
          <w:szCs w:val="18"/>
          <w:color w:val="auto"/>
        </w:rPr>
        <w:t>, the highest-rated series in cable history.</w:t>
      </w:r>
    </w:p>
    <w:p>
      <w:pPr>
        <w:spacing w:after="0" w:line="117" w:lineRule="exact"/>
        <w:rPr>
          <w:rFonts w:ascii="Arial" w:cs="Arial" w:eastAsia="Arial" w:hAnsi="Arial"/>
          <w:sz w:val="18"/>
          <w:szCs w:val="18"/>
          <w:b w:val="1"/>
          <w:bCs w:val="1"/>
          <w:i w:val="1"/>
          <w:iCs w:val="1"/>
          <w:color w:val="auto"/>
        </w:rPr>
      </w:pPr>
    </w:p>
    <w:p>
      <w:pPr>
        <w:jc w:val="both"/>
        <w:ind w:left="800" w:hanging="486"/>
        <w:spacing w:after="0" w:line="257"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Since then, AMC Studios has produced several critically acclaimed, award-winning and culturally distinctive originals for AMC, including scripted series: </w:t>
      </w:r>
      <w:r>
        <w:rPr>
          <w:rFonts w:ascii="Arial" w:cs="Arial" w:eastAsia="Arial" w:hAnsi="Arial"/>
          <w:sz w:val="18"/>
          <w:szCs w:val="18"/>
          <w:i w:val="1"/>
          <w:iCs w:val="1"/>
          <w:color w:val="auto"/>
        </w:rPr>
        <w:t>Fear the Walking Dead, The Terror anthology, Lodge 49, NOS4A2, TURN: Washington's Spies; Halt and Catch Fire; Into the</w:t>
      </w:r>
      <w:r>
        <w:rPr>
          <w:rFonts w:ascii="Arial" w:cs="Arial" w:eastAsia="Arial" w:hAnsi="Arial"/>
          <w:sz w:val="18"/>
          <w:szCs w:val="18"/>
          <w:color w:val="auto"/>
        </w:rPr>
        <w:t xml:space="preserve"> </w:t>
      </w:r>
      <w:r>
        <w:rPr>
          <w:rFonts w:ascii="Arial" w:cs="Arial" w:eastAsia="Arial" w:hAnsi="Arial"/>
          <w:sz w:val="18"/>
          <w:szCs w:val="18"/>
          <w:i w:val="1"/>
          <w:iCs w:val="1"/>
          <w:color w:val="auto"/>
        </w:rPr>
        <w:t>Badlands; The Son</w:t>
      </w:r>
      <w:r>
        <w:rPr>
          <w:rFonts w:ascii="Arial" w:cs="Arial" w:eastAsia="Arial" w:hAnsi="Arial"/>
          <w:sz w:val="18"/>
          <w:szCs w:val="18"/>
          <w:color w:val="auto"/>
        </w:rPr>
        <w:t>;</w:t>
      </w:r>
      <w:r>
        <w:rPr>
          <w:rFonts w:ascii="Arial" w:cs="Arial" w:eastAsia="Arial" w:hAnsi="Arial"/>
          <w:sz w:val="18"/>
          <w:szCs w:val="18"/>
          <w:i w:val="1"/>
          <w:iCs w:val="1"/>
          <w:color w:val="auto"/>
        </w:rPr>
        <w:t xml:space="preserve"> Dispatches From Elsewhere, Soulmates</w:t>
      </w:r>
      <w:r>
        <w:rPr>
          <w:rFonts w:ascii="Arial" w:cs="Arial" w:eastAsia="Arial" w:hAnsi="Arial"/>
          <w:sz w:val="18"/>
          <w:szCs w:val="18"/>
          <w:color w:val="auto"/>
        </w:rPr>
        <w:t>,</w:t>
      </w:r>
      <w:r>
        <w:rPr>
          <w:rFonts w:ascii="Arial" w:cs="Arial" w:eastAsia="Arial" w:hAnsi="Arial"/>
          <w:sz w:val="18"/>
          <w:szCs w:val="18"/>
          <w:i w:val="1"/>
          <w:iCs w:val="1"/>
          <w:color w:val="auto"/>
        </w:rPr>
        <w:t xml:space="preserve"> 61st Street</w:t>
      </w:r>
      <w:r>
        <w:rPr>
          <w:rFonts w:ascii="Arial" w:cs="Arial" w:eastAsia="Arial" w:hAnsi="Arial"/>
          <w:sz w:val="18"/>
          <w:szCs w:val="18"/>
          <w:color w:val="auto"/>
        </w:rPr>
        <w:t>, and</w:t>
      </w:r>
      <w:r>
        <w:rPr>
          <w:rFonts w:ascii="Arial" w:cs="Arial" w:eastAsia="Arial" w:hAnsi="Arial"/>
          <w:sz w:val="18"/>
          <w:szCs w:val="18"/>
          <w:i w:val="1"/>
          <w:iCs w:val="1"/>
          <w:color w:val="auto"/>
        </w:rPr>
        <w:t xml:space="preserve"> Kevin Can F**k Himself</w:t>
      </w:r>
      <w:r>
        <w:rPr>
          <w:rFonts w:ascii="Arial" w:cs="Arial" w:eastAsia="Arial" w:hAnsi="Arial"/>
          <w:sz w:val="18"/>
          <w:szCs w:val="18"/>
          <w:color w:val="auto"/>
        </w:rPr>
        <w:t>; as well as unscripted series:</w:t>
      </w:r>
      <w:r>
        <w:rPr>
          <w:rFonts w:ascii="Arial" w:cs="Arial" w:eastAsia="Arial" w:hAnsi="Arial"/>
          <w:sz w:val="18"/>
          <w:szCs w:val="18"/>
          <w:i w:val="1"/>
          <w:iCs w:val="1"/>
          <w:color w:val="auto"/>
        </w:rPr>
        <w:t xml:space="preserve"> Ride with Norman Reedus</w:t>
      </w:r>
      <w:r>
        <w:rPr>
          <w:rFonts w:ascii="Arial" w:cs="Arial" w:eastAsia="Arial" w:hAnsi="Arial"/>
          <w:sz w:val="18"/>
          <w:szCs w:val="18"/>
          <w:color w:val="auto"/>
        </w:rPr>
        <w:t>, Robert Kirkman's</w:t>
      </w:r>
      <w:r>
        <w:rPr>
          <w:rFonts w:ascii="Arial" w:cs="Arial" w:eastAsia="Arial" w:hAnsi="Arial"/>
          <w:sz w:val="18"/>
          <w:szCs w:val="18"/>
          <w:i w:val="1"/>
          <w:iCs w:val="1"/>
          <w:color w:val="auto"/>
        </w:rPr>
        <w:t xml:space="preserve"> Secret History of Comics</w:t>
      </w:r>
      <w:r>
        <w:rPr>
          <w:rFonts w:ascii="Arial" w:cs="Arial" w:eastAsia="Arial" w:hAnsi="Arial"/>
          <w:sz w:val="18"/>
          <w:szCs w:val="18"/>
          <w:color w:val="auto"/>
        </w:rPr>
        <w:t>, James Cameron's</w:t>
      </w:r>
      <w:r>
        <w:rPr>
          <w:rFonts w:ascii="Arial" w:cs="Arial" w:eastAsia="Arial" w:hAnsi="Arial"/>
          <w:sz w:val="18"/>
          <w:szCs w:val="18"/>
          <w:i w:val="1"/>
          <w:iCs w:val="1"/>
          <w:color w:val="auto"/>
        </w:rPr>
        <w:t xml:space="preserve"> Story Of Science Fiction</w:t>
      </w:r>
      <w:r>
        <w:rPr>
          <w:rFonts w:ascii="Arial" w:cs="Arial" w:eastAsia="Arial" w:hAnsi="Arial"/>
          <w:sz w:val="18"/>
          <w:szCs w:val="18"/>
          <w:color w:val="auto"/>
        </w:rPr>
        <w:t>, Eli Roth’s</w:t>
      </w:r>
      <w:r>
        <w:rPr>
          <w:rFonts w:ascii="Arial" w:cs="Arial" w:eastAsia="Arial" w:hAnsi="Arial"/>
          <w:sz w:val="18"/>
          <w:szCs w:val="18"/>
          <w:i w:val="1"/>
          <w:iCs w:val="1"/>
          <w:color w:val="auto"/>
        </w:rPr>
        <w:t xml:space="preserve"> History of Horror</w:t>
      </w:r>
      <w:r>
        <w:rPr>
          <w:rFonts w:ascii="Arial" w:cs="Arial" w:eastAsia="Arial" w:hAnsi="Arial"/>
          <w:sz w:val="18"/>
          <w:szCs w:val="18"/>
          <w:color w:val="auto"/>
        </w:rPr>
        <w:t>, and</w:t>
      </w:r>
      <w:r>
        <w:rPr>
          <w:rFonts w:ascii="Arial" w:cs="Arial" w:eastAsia="Arial" w:hAnsi="Arial"/>
          <w:sz w:val="18"/>
          <w:szCs w:val="18"/>
          <w:i w:val="1"/>
          <w:iCs w:val="1"/>
          <w:color w:val="auto"/>
        </w:rPr>
        <w:t xml:space="preserve"> Hip Hop: The Songs That Shook America</w:t>
      </w:r>
      <w:r>
        <w:rPr>
          <w:rFonts w:ascii="Arial" w:cs="Arial" w:eastAsia="Arial" w:hAnsi="Arial"/>
          <w:sz w:val="18"/>
          <w:szCs w:val="18"/>
          <w:color w:val="auto"/>
        </w:rPr>
        <w:t>.</w:t>
      </w:r>
    </w:p>
    <w:p>
      <w:pPr>
        <w:sectPr>
          <w:pgSz w:w="11900" w:h="16838" w:orient="portrait"/>
          <w:cols w:equalWidth="0" w:num="1">
            <w:col w:w="11060"/>
          </w:cols>
          <w:pgMar w:left="50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895" w:right="339" w:bottom="1440" w:gutter="0" w:footer="0" w:header="0"/>
          <w:type w:val="continuous"/>
        </w:sectPr>
      </w:pPr>
    </w:p>
    <w:bookmarkStart w:id="12" w:name="page13"/>
    <w:bookmarkEnd w:id="12"/>
    <w:p>
      <w:pPr>
        <w:ind w:left="180"/>
        <w:spacing w:after="0"/>
        <w:rPr>
          <w:sz w:val="20"/>
          <w:szCs w:val="20"/>
          <w:color w:val="auto"/>
        </w:rPr>
      </w:pPr>
      <w:r>
        <w:rPr>
          <w:rFonts w:ascii="Arial" w:cs="Arial" w:eastAsia="Arial" w:hAnsi="Arial"/>
          <w:sz w:val="18"/>
          <w:szCs w:val="18"/>
          <w:b w:val="1"/>
          <w:bCs w:val="1"/>
          <w:i w:val="1"/>
          <w:iCs w:val="1"/>
          <w:color w:val="auto"/>
        </w:rPr>
        <w:t xml:space="preserve">Film Distribution - </w:t>
      </w:r>
      <w:r>
        <w:rPr>
          <w:rFonts w:ascii="Arial" w:cs="Arial" w:eastAsia="Arial" w:hAnsi="Arial"/>
          <w:sz w:val="18"/>
          <w:szCs w:val="18"/>
          <w:color w:val="auto"/>
        </w:rPr>
        <w:t>Our film distribution business, IFC Films, is a leading distributor of high-quality, talent-driven independent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5130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513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980" w:hanging="486"/>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IFC Films operates two distribution labels: IFC Films and IFC Midnight, both of which distribute independent films across virtually all available media platforms, including in theaters, on cable/satellite video on demand, cable network television, streaming/downloading to internet-connected screens and DVDs. IFC Films has a film library consisting of more than 1,000 titles.</w:t>
      </w:r>
    </w:p>
    <w:p>
      <w:pPr>
        <w:spacing w:after="0" w:line="75"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IFC Films also operates IFC Films Unlimited, its own subscription based streaming service in the United States and Canada which launched in 2019.</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part of its strategy to grow the marketplace for independent films, IFC Films also operates the IFC Center as well as DOC NYC. IFC Center is an independent movie theater located in the heart of New York City's Greenwich Village. DOC NYC, the largest documentary film festival in the United States, takes places every November in person in New York and, since 2020, online across the United States, and also offers year-round documentary programming both online and in person.</w:t>
      </w:r>
    </w:p>
    <w:p>
      <w:pPr>
        <w:spacing w:after="0" w:line="78" w:lineRule="exact"/>
        <w:rPr>
          <w:rFonts w:ascii="Arial" w:cs="Arial" w:eastAsia="Arial" w:hAnsi="Arial"/>
          <w:sz w:val="18"/>
          <w:szCs w:val="18"/>
          <w:color w:val="auto"/>
        </w:rPr>
      </w:pPr>
    </w:p>
    <w:p>
      <w:pPr>
        <w:jc w:val="both"/>
        <w:ind w:left="980" w:hanging="486"/>
        <w:spacing w:after="0" w:line="286"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Notable IFC Films releases include the acclaimed </w:t>
      </w:r>
      <w:r>
        <w:rPr>
          <w:rFonts w:ascii="Arial" w:cs="Arial" w:eastAsia="Arial" w:hAnsi="Arial"/>
          <w:sz w:val="17"/>
          <w:szCs w:val="17"/>
          <w:i w:val="1"/>
          <w:iCs w:val="1"/>
          <w:color w:val="auto"/>
        </w:rPr>
        <w:t>The Dry</w:t>
      </w:r>
      <w:r>
        <w:rPr>
          <w:rFonts w:ascii="Arial" w:cs="Arial" w:eastAsia="Arial" w:hAnsi="Arial"/>
          <w:sz w:val="17"/>
          <w:szCs w:val="17"/>
          <w:color w:val="auto"/>
        </w:rPr>
        <w:t xml:space="preserve">, starring Eric Bana, </w:t>
      </w:r>
      <w:r>
        <w:rPr>
          <w:rFonts w:ascii="Arial" w:cs="Arial" w:eastAsia="Arial" w:hAnsi="Arial"/>
          <w:sz w:val="17"/>
          <w:szCs w:val="17"/>
          <w:i w:val="1"/>
          <w:iCs w:val="1"/>
          <w:color w:val="auto"/>
        </w:rPr>
        <w:t>Bergman Island</w:t>
      </w:r>
      <w:r>
        <w:rPr>
          <w:rFonts w:ascii="Arial" w:cs="Arial" w:eastAsia="Arial" w:hAnsi="Arial"/>
          <w:sz w:val="17"/>
          <w:szCs w:val="17"/>
          <w:color w:val="auto"/>
        </w:rPr>
        <w:t xml:space="preserve"> from Mia Hansen Love, </w:t>
      </w:r>
      <w:r>
        <w:rPr>
          <w:rFonts w:ascii="Arial" w:cs="Arial" w:eastAsia="Arial" w:hAnsi="Arial"/>
          <w:sz w:val="17"/>
          <w:szCs w:val="17"/>
          <w:i w:val="1"/>
          <w:iCs w:val="1"/>
          <w:color w:val="auto"/>
        </w:rPr>
        <w:t>Benedetta</w:t>
      </w:r>
      <w:r>
        <w:rPr>
          <w:rFonts w:ascii="Arial" w:cs="Arial" w:eastAsia="Arial" w:hAnsi="Arial"/>
          <w:sz w:val="17"/>
          <w:szCs w:val="17"/>
          <w:color w:val="auto"/>
        </w:rPr>
        <w:t xml:space="preserve"> from Paul Verhoeven and </w:t>
      </w:r>
      <w:r>
        <w:rPr>
          <w:rFonts w:ascii="Arial" w:cs="Arial" w:eastAsia="Arial" w:hAnsi="Arial"/>
          <w:sz w:val="17"/>
          <w:szCs w:val="17"/>
          <w:i w:val="1"/>
          <w:iCs w:val="1"/>
          <w:color w:val="auto"/>
        </w:rPr>
        <w:t>Werewolves Within</w:t>
      </w:r>
      <w:r>
        <w:rPr>
          <w:rFonts w:ascii="Arial" w:cs="Arial" w:eastAsia="Arial" w:hAnsi="Arial"/>
          <w:sz w:val="17"/>
          <w:szCs w:val="17"/>
          <w:color w:val="auto"/>
        </w:rPr>
        <w:t xml:space="preserve"> from director Josh Ruben. Films from its recent slate appeared in over 220 Top 10 End of Year critic’s lists and garnered 7 Independent Spirit Award Nominations for </w:t>
      </w:r>
      <w:r>
        <w:rPr>
          <w:rFonts w:ascii="Arial" w:cs="Arial" w:eastAsia="Arial" w:hAnsi="Arial"/>
          <w:sz w:val="17"/>
          <w:szCs w:val="17"/>
          <w:i w:val="1"/>
          <w:iCs w:val="1"/>
          <w:color w:val="auto"/>
        </w:rPr>
        <w:t>The Novice</w:t>
      </w:r>
      <w:r>
        <w:rPr>
          <w:rFonts w:ascii="Arial" w:cs="Arial" w:eastAsia="Arial" w:hAnsi="Arial"/>
          <w:sz w:val="17"/>
          <w:szCs w:val="17"/>
          <w:color w:val="auto"/>
        </w:rPr>
        <w:t xml:space="preserve">, </w:t>
      </w:r>
      <w:r>
        <w:rPr>
          <w:rFonts w:ascii="Arial" w:cs="Arial" w:eastAsia="Arial" w:hAnsi="Arial"/>
          <w:sz w:val="17"/>
          <w:szCs w:val="17"/>
          <w:i w:val="1"/>
          <w:iCs w:val="1"/>
          <w:color w:val="auto"/>
        </w:rPr>
        <w:t>Catch the Fair One</w:t>
      </w:r>
      <w:r>
        <w:rPr>
          <w:rFonts w:ascii="Arial" w:cs="Arial" w:eastAsia="Arial" w:hAnsi="Arial"/>
          <w:sz w:val="17"/>
          <w:szCs w:val="17"/>
          <w:color w:val="auto"/>
        </w:rPr>
        <w:t xml:space="preserve">, </w:t>
      </w:r>
      <w:r>
        <w:rPr>
          <w:rFonts w:ascii="Arial" w:cs="Arial" w:eastAsia="Arial" w:hAnsi="Arial"/>
          <w:sz w:val="17"/>
          <w:szCs w:val="17"/>
          <w:i w:val="1"/>
          <w:iCs w:val="1"/>
          <w:color w:val="auto"/>
        </w:rPr>
        <w:t>The Nowhere Inn</w:t>
      </w:r>
      <w:r>
        <w:rPr>
          <w:rFonts w:ascii="Arial" w:cs="Arial" w:eastAsia="Arial" w:hAnsi="Arial"/>
          <w:sz w:val="17"/>
          <w:szCs w:val="17"/>
          <w:color w:val="auto"/>
        </w:rPr>
        <w:t xml:space="preserve"> and </w:t>
      </w:r>
      <w:r>
        <w:rPr>
          <w:rFonts w:ascii="Arial" w:cs="Arial" w:eastAsia="Arial" w:hAnsi="Arial"/>
          <w:sz w:val="17"/>
          <w:szCs w:val="17"/>
          <w:i w:val="1"/>
          <w:iCs w:val="1"/>
          <w:color w:val="auto"/>
        </w:rPr>
        <w:t>Holler.</w:t>
      </w:r>
    </w:p>
    <w:p>
      <w:pPr>
        <w:spacing w:after="0" w:line="200" w:lineRule="exact"/>
        <w:rPr>
          <w:sz w:val="20"/>
          <w:szCs w:val="20"/>
          <w:color w:val="auto"/>
        </w:rPr>
      </w:pPr>
    </w:p>
    <w:p>
      <w:pPr>
        <w:spacing w:after="0" w:line="208" w:lineRule="exact"/>
        <w:rPr>
          <w:sz w:val="20"/>
          <w:szCs w:val="20"/>
          <w:color w:val="auto"/>
        </w:rPr>
      </w:pPr>
    </w:p>
    <w:p>
      <w:pPr>
        <w:ind w:left="340" w:hanging="161"/>
        <w:spacing w:after="0" w:line="277" w:lineRule="auto"/>
        <w:rPr>
          <w:sz w:val="20"/>
          <w:szCs w:val="20"/>
          <w:color w:val="auto"/>
        </w:rPr>
      </w:pPr>
      <w:r>
        <w:rPr>
          <w:rFonts w:ascii="Arial" w:cs="Arial" w:eastAsia="Arial" w:hAnsi="Arial"/>
          <w:sz w:val="18"/>
          <w:szCs w:val="18"/>
          <w:b w:val="1"/>
          <w:bCs w:val="1"/>
          <w:i w:val="1"/>
          <w:iCs w:val="1"/>
          <w:color w:val="auto"/>
        </w:rPr>
        <w:t xml:space="preserve">AMC Networks Broadcasting &amp; Technology </w:t>
      </w:r>
      <w:r>
        <w:rPr>
          <w:rFonts w:ascii="Arial" w:cs="Arial" w:eastAsia="Arial" w:hAnsi="Arial"/>
          <w:sz w:val="18"/>
          <w:szCs w:val="18"/>
          <w:color w:val="auto"/>
        </w:rPr>
        <w:t>- AMC Networks Broadcasting &amp; Technology is a full-service network programming feed origination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company, which primarily services most of the domestic programming networks of the Company.</w:t>
      </w:r>
    </w:p>
    <w:p>
      <w:pPr>
        <w:spacing w:after="0" w:line="62" w:lineRule="exact"/>
        <w:rPr>
          <w:sz w:val="20"/>
          <w:szCs w:val="20"/>
          <w:color w:val="auto"/>
        </w:rPr>
      </w:pPr>
    </w:p>
    <w:p>
      <w:pPr>
        <w:jc w:val="both"/>
        <w:ind w:left="980" w:hanging="486"/>
        <w:spacing w:after="0" w:line="259" w:lineRule="auto"/>
        <w:tabs>
          <w:tab w:leader="none" w:pos="975"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AMC Networks Broadcasting &amp; Technology's operations are located in Bethpage, New York, where AMC Networks Broadcasting &amp; Technology consolidates origination and satellite communications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traffic and scheduling that provide day-to-day delivery of any programming network, in high definition or standard definition.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International and Other segment includes the operations of AMC Networks International and 25/7 Media.</w:t>
      </w: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AMC Networks International</w:t>
      </w:r>
    </w:p>
    <w:p>
      <w:pPr>
        <w:spacing w:after="0" w:line="117" w:lineRule="exact"/>
        <w:rPr>
          <w:sz w:val="20"/>
          <w:szCs w:val="20"/>
          <w:color w:val="auto"/>
        </w:rPr>
      </w:pPr>
    </w:p>
    <w:p>
      <w:pPr>
        <w:ind w:left="980" w:hanging="486"/>
        <w:spacing w:after="0" w:line="308" w:lineRule="auto"/>
        <w:tabs>
          <w:tab w:leader="none" w:pos="9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AMCNI, the international division of the Company, delivers entertaining and acclaimed programming that reaches subscribers in more than 115 countries and territories around the world, through operational centers in London, Madrid, Budapest, Miami and Buenos Aires.</w:t>
      </w:r>
    </w:p>
    <w:p>
      <w:pPr>
        <w:spacing w:after="0" w:line="3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AMCNI consists of our global brand, AMC, as well as a portfolio of popular, locally recognized brands delivering programming in a wide range of genres, including sports, film, cooking, crime and investigation, science, documentary and kids.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local and regional channels are programmed for local audiences and language, and we develop and license local content that is tailored to individual market tastes.</w:t>
      </w:r>
    </w:p>
    <w:p>
      <w:pPr>
        <w:spacing w:after="0" w:line="62" w:lineRule="exact"/>
        <w:rPr>
          <w:rFonts w:ascii="Arial" w:cs="Arial" w:eastAsia="Arial" w:hAnsi="Arial"/>
          <w:sz w:val="18"/>
          <w:szCs w:val="18"/>
          <w:color w:val="auto"/>
        </w:rPr>
      </w:pPr>
    </w:p>
    <w:p>
      <w:pPr>
        <w:jc w:val="both"/>
        <w:ind w:left="980" w:hanging="486"/>
        <w:spacing w:after="0" w:line="311" w:lineRule="auto"/>
        <w:tabs>
          <w:tab w:leader="none" w:pos="9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AMCNI also operates a number of joint venture partnerships and managed channel services as well as direct to consumer services. A joint venture with ViacomCBS Networks International delivers a portfolio of entertainment channels which is managed from London. Dreamia, a joint venture with NOS in Portugal, delivers channels including Canal Hollywood, Canal Panda, Panda Kids, Biggs and Casa e Cozinha.</w:t>
      </w:r>
    </w:p>
    <w:p>
      <w:pPr>
        <w:spacing w:after="0" w:line="40" w:lineRule="exact"/>
        <w:rPr>
          <w:rFonts w:ascii="Arial" w:cs="Arial" w:eastAsia="Arial" w:hAnsi="Arial"/>
          <w:sz w:val="16"/>
          <w:szCs w:val="16"/>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Highlights of the top AMCNI locally recognized channels are detailed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71525" cy="771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86" w:hanging="486"/>
        <w:spacing w:after="0" w:line="263"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 Gourmet is a “go-to” TV culinary destination for Latin American audiences that connects with its viewers by celebrating local traditions and featuring culinary experiences from all over the world. Its mission is to reunite family and friends around the table to make memorable life experiences.</w:t>
      </w:r>
    </w:p>
    <w:p>
      <w:pPr>
        <w:spacing w:after="0" w:line="75"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Launched 22 years ago, El Gourmet offers 100% of its content in Spanish, with over 90% of original productions and more than 250 premiering hours each year, showcasing some of the greatest celebrity cooks of this region.</w:t>
      </w:r>
    </w:p>
    <w:p>
      <w:pPr>
        <w:spacing w:after="0" w:line="62" w:lineRule="exact"/>
        <w:rPr>
          <w:rFonts w:ascii="Arial" w:cs="Arial" w:eastAsia="Arial" w:hAnsi="Arial"/>
          <w:sz w:val="18"/>
          <w:szCs w:val="18"/>
          <w:color w:val="auto"/>
        </w:rPr>
      </w:pPr>
    </w:p>
    <w:p>
      <w:pPr>
        <w:ind w:left="486" w:hanging="486"/>
        <w:spacing w:after="0" w:line="27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 Gourmet’s original productions have been awarded 14 Martin Fierro Awards (granted by the Association of Argentine Television and Radio Journalists) as well as two Taste Awards in the United States.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486" w:hanging="486"/>
        <w:spacing w:after="0" w:line="277" w:lineRule="auto"/>
        <w:tabs>
          <w:tab w:leader="none" w:pos="101" w:val="left"/>
        </w:tabs>
        <w:numPr>
          <w:ilvl w:val="0"/>
          <w:numId w:val="15"/>
        </w:numPr>
        <w:rPr>
          <w:rFonts w:ascii="Arial" w:cs="Arial" w:eastAsia="Arial" w:hAnsi="Arial"/>
          <w:sz w:val="16"/>
          <w:szCs w:val="16"/>
          <w:color w:val="auto"/>
        </w:rPr>
      </w:pPr>
      <w:r>
        <w:rPr>
          <w:rFonts w:ascii="Arial" w:cs="Arial" w:eastAsia="Arial" w:hAnsi="Arial"/>
          <w:sz w:val="18"/>
          <w:szCs w:val="18"/>
          <w:color w:val="auto"/>
        </w:rPr>
        <w:t>Our UK business operates a joint venture with ViacomCBS Networks International delivering a portfolio of entertainment channels in the UK including CBS Reality, CBS Europa, CBS Justice, CBS Drama and Horror Channel.</w:t>
      </w:r>
    </w:p>
    <w:p>
      <w:pPr>
        <w:spacing w:after="0" w:line="62" w:lineRule="exact"/>
        <w:rPr>
          <w:rFonts w:ascii="Arial" w:cs="Arial" w:eastAsia="Arial" w:hAnsi="Arial"/>
          <w:sz w:val="16"/>
          <w:szCs w:val="16"/>
          <w:color w:val="auto"/>
        </w:rPr>
      </w:pPr>
    </w:p>
    <w:p>
      <w:pPr>
        <w:ind w:left="486" w:hanging="486"/>
        <w:spacing w:after="0" w:line="342" w:lineRule="auto"/>
        <w:tabs>
          <w:tab w:leader="none" w:pos="4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CBS Reality is increasingly airing owned locally produced ‘true crime’ content aimed at women in the 50+ demographic. These documentary style programs re-visit famous crimes predominantly from the UK and the United States and investigate the psychology of a killer.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Jim Jam is a pre-school kids channel aimed at 2-6 year-olds, focusing on education and teaching English.</w:t>
      </w:r>
    </w:p>
    <w:p>
      <w:pPr>
        <w:spacing w:after="0" w:line="117"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Popular content includes </w:t>
      </w:r>
      <w:r>
        <w:rPr>
          <w:rFonts w:ascii="Arial" w:cs="Arial" w:eastAsia="Arial" w:hAnsi="Arial"/>
          <w:sz w:val="18"/>
          <w:szCs w:val="18"/>
          <w:i w:val="1"/>
          <w:iCs w:val="1"/>
          <w:color w:val="auto"/>
        </w:rPr>
        <w:t>Bob The Builder</w:t>
      </w:r>
      <w:r>
        <w:rPr>
          <w:rFonts w:ascii="Arial" w:cs="Arial" w:eastAsia="Arial" w:hAnsi="Arial"/>
          <w:sz w:val="18"/>
          <w:szCs w:val="18"/>
          <w:color w:val="auto"/>
        </w:rPr>
        <w:t xml:space="preserve">, </w:t>
      </w:r>
      <w:r>
        <w:rPr>
          <w:rFonts w:ascii="Arial" w:cs="Arial" w:eastAsia="Arial" w:hAnsi="Arial"/>
          <w:sz w:val="18"/>
          <w:szCs w:val="18"/>
          <w:i w:val="1"/>
          <w:iCs w:val="1"/>
          <w:color w:val="auto"/>
        </w:rPr>
        <w:t>Fireman Sam</w:t>
      </w:r>
      <w:r>
        <w:rPr>
          <w:rFonts w:ascii="Arial" w:cs="Arial" w:eastAsia="Arial" w:hAnsi="Arial"/>
          <w:sz w:val="18"/>
          <w:szCs w:val="18"/>
          <w:color w:val="auto"/>
        </w:rPr>
        <w:t xml:space="preserve">, </w:t>
      </w:r>
      <w:r>
        <w:rPr>
          <w:rFonts w:ascii="Arial" w:cs="Arial" w:eastAsia="Arial" w:hAnsi="Arial"/>
          <w:sz w:val="18"/>
          <w:szCs w:val="18"/>
          <w:i w:val="1"/>
          <w:iCs w:val="1"/>
          <w:color w:val="auto"/>
        </w:rPr>
        <w:t>Thomas and Friends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Chuggington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6" w:hanging="486"/>
        <w:spacing w:after="0"/>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Jim Jam reaches subscribers in over 60 EMEA countries.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86" w:hanging="486"/>
        <w:spacing w:after="0" w:line="232" w:lineRule="auto"/>
        <w:tabs>
          <w:tab w:leader="none" w:pos="481" w:val="left"/>
        </w:tabs>
        <w:numPr>
          <w:ilvl w:val="0"/>
          <w:numId w:val="15"/>
        </w:numPr>
        <w:rPr>
          <w:rFonts w:ascii="Arial" w:cs="Arial" w:eastAsia="Arial" w:hAnsi="Arial"/>
          <w:sz w:val="22"/>
          <w:szCs w:val="22"/>
          <w:color w:val="auto"/>
        </w:rPr>
      </w:pPr>
      <w:r>
        <w:rPr>
          <w:rFonts w:ascii="Arial" w:cs="Arial" w:eastAsia="Arial" w:hAnsi="Arial"/>
          <w:sz w:val="18"/>
          <w:szCs w:val="18"/>
          <w:color w:val="auto"/>
        </w:rPr>
        <w:t>Canal Hollywood is one of the leading pay-TV film channels in Spain and Portugal, offering a wide selection of movies produced by major U.S. studios.</w:t>
      </w:r>
    </w:p>
    <w:p>
      <w:pPr>
        <w:spacing w:after="0" w:line="113" w:lineRule="exact"/>
        <w:rPr>
          <w:rFonts w:ascii="Arial" w:cs="Arial" w:eastAsia="Arial" w:hAnsi="Arial"/>
          <w:sz w:val="22"/>
          <w:szCs w:val="22"/>
          <w:color w:val="auto"/>
        </w:rPr>
      </w:pPr>
    </w:p>
    <w:p>
      <w:pPr>
        <w:ind w:left="486" w:hanging="486"/>
        <w:spacing w:after="0"/>
        <w:tabs>
          <w:tab w:leader="none" w:pos="486" w:val="left"/>
        </w:tabs>
        <w:numPr>
          <w:ilvl w:val="0"/>
          <w:numId w:val="15"/>
        </w:numPr>
        <w:rPr>
          <w:rFonts w:ascii="Arial" w:cs="Arial" w:eastAsia="Arial" w:hAnsi="Arial"/>
          <w:sz w:val="22"/>
          <w:szCs w:val="22"/>
          <w:color w:val="auto"/>
        </w:rPr>
      </w:pPr>
      <w:r>
        <w:rPr>
          <w:rFonts w:ascii="Arial" w:cs="Arial" w:eastAsia="Arial" w:hAnsi="Arial"/>
          <w:sz w:val="18"/>
          <w:szCs w:val="18"/>
          <w:color w:val="auto"/>
        </w:rPr>
        <w:t>Genres include comedy, drama, thriller, western, musical, and science fiction and the industry’s biggest stars.</w:t>
      </w:r>
    </w:p>
    <w:p>
      <w:pPr>
        <w:spacing w:after="0" w:line="134" w:lineRule="exact"/>
        <w:rPr>
          <w:rFonts w:ascii="Arial" w:cs="Arial" w:eastAsia="Arial" w:hAnsi="Arial"/>
          <w:sz w:val="22"/>
          <w:szCs w:val="22"/>
          <w:color w:val="auto"/>
        </w:rPr>
      </w:pPr>
    </w:p>
    <w:p>
      <w:pPr>
        <w:ind w:left="486" w:hanging="486"/>
        <w:spacing w:after="0" w:line="232" w:lineRule="auto"/>
        <w:tabs>
          <w:tab w:leader="none" w:pos="481"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channel began broadcasting in 1993 and is distributed on all pay-TV platforms in Spain and Portugal, reaching more than 9 million households.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4" w:lineRule="exact"/>
        <w:rPr>
          <w:rFonts w:ascii="Arial" w:cs="Arial" w:eastAsia="Arial" w:hAnsi="Arial"/>
          <w:sz w:val="22"/>
          <w:szCs w:val="22"/>
          <w:color w:val="auto"/>
        </w:rPr>
      </w:pPr>
    </w:p>
    <w:p>
      <w:pPr>
        <w:ind w:left="486" w:hanging="486"/>
        <w:spacing w:after="0"/>
        <w:tabs>
          <w:tab w:leader="none" w:pos="486" w:val="left"/>
        </w:tabs>
        <w:numPr>
          <w:ilvl w:val="0"/>
          <w:numId w:val="15"/>
        </w:numPr>
        <w:rPr>
          <w:rFonts w:ascii="Arial" w:cs="Arial" w:eastAsia="Arial" w:hAnsi="Arial"/>
          <w:sz w:val="22"/>
          <w:szCs w:val="22"/>
          <w:color w:val="auto"/>
        </w:rPr>
      </w:pPr>
      <w:r>
        <w:rPr>
          <w:rFonts w:ascii="Arial" w:cs="Arial" w:eastAsia="Arial" w:hAnsi="Arial"/>
          <w:sz w:val="18"/>
          <w:szCs w:val="18"/>
          <w:color w:val="auto"/>
        </w:rPr>
        <w:t>Sports 1 &amp; Sports 2 are premium sports channels in our core Central European territories.</w:t>
      </w:r>
    </w:p>
    <w:p>
      <w:pPr>
        <w:spacing w:after="0" w:line="10" w:lineRule="exact"/>
        <w:rPr>
          <w:rFonts w:ascii="Arial" w:cs="Arial" w:eastAsia="Arial" w:hAnsi="Arial"/>
          <w:sz w:val="22"/>
          <w:szCs w:val="22"/>
          <w:color w:val="auto"/>
        </w:rPr>
      </w:pPr>
    </w:p>
    <w:p>
      <w:pPr>
        <w:ind w:left="486" w:hanging="486"/>
        <w:spacing w:after="0" w:line="233" w:lineRule="auto"/>
        <w:tabs>
          <w:tab w:leader="none" w:pos="486"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channels broadcast European football, Formula 1, NBA and Ice Hockey among other live sports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-5031105</wp:posOffset>
            </wp:positionV>
            <wp:extent cx="544322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43220" cy="25717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-3745230</wp:posOffset>
            </wp:positionV>
            <wp:extent cx="75438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4380" cy="48006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-2296160</wp:posOffset>
            </wp:positionV>
            <wp:extent cx="925830"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48006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-564515</wp:posOffset>
            </wp:positionV>
            <wp:extent cx="107124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245" cy="18859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74"/>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646430</wp:posOffset>
            </wp:positionV>
            <wp:extent cx="1285875" cy="668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25/7 Media (dba Center Drive Media) owns and operates two leading production companies: Triage Entertainment, founded in 1995, and Lando Entertainment, founded in 2016.</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Together, they have produced over 4,000 hours of premium, prime-time programming, distributed in over 100 countries, and focus on four major genres: multi-cam events, original formats and lifestyle, premium documentary series and scripted.</w:t>
      </w:r>
    </w:p>
    <w:p>
      <w:pPr>
        <w:spacing w:after="0" w:line="62" w:lineRule="exact"/>
        <w:rPr>
          <w:rFonts w:ascii="Arial" w:cs="Arial" w:eastAsia="Arial" w:hAnsi="Arial"/>
          <w:sz w:val="18"/>
          <w:szCs w:val="18"/>
          <w:color w:val="auto"/>
        </w:rPr>
      </w:pPr>
    </w:p>
    <w:p>
      <w:pPr>
        <w:ind w:left="980" w:right="20" w:hanging="486"/>
        <w:spacing w:after="0" w:line="255"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Center Drive Media has produced award-winning and culturally distinctive originals across a wide range of networks and platforms, including CBS, NBC, Netflix, Paramount+, Discovery+, Food Network, HGTV, Lifetime, History, MTV, CMT, HBO and Showtime. Upcoming multi-camera events include specials from Sebastian Maniscalco, Taylor Tomlinson and Gabriel Iglesias</w:t>
      </w:r>
      <w:r>
        <w:rPr>
          <w:rFonts w:ascii="Arial" w:cs="Arial" w:eastAsia="Arial" w:hAnsi="Arial"/>
          <w:sz w:val="18"/>
          <w:szCs w:val="18"/>
          <w:i w:val="1"/>
          <w:iCs w:val="1"/>
          <w:color w:val="auto"/>
        </w:rPr>
        <w:t>.</w:t>
      </w:r>
      <w:r>
        <w:rPr>
          <w:rFonts w:ascii="Arial" w:cs="Arial" w:eastAsia="Arial" w:hAnsi="Arial"/>
          <w:sz w:val="18"/>
          <w:szCs w:val="18"/>
          <w:color w:val="auto"/>
        </w:rPr>
        <w:t xml:space="preserve"> Original formats and lifestyle include Tournament of Champions, Food Network’s highest-rated series and Guy Fieri’s </w:t>
      </w:r>
      <w:r>
        <w:rPr>
          <w:rFonts w:ascii="Arial" w:cs="Arial" w:eastAsia="Arial" w:hAnsi="Arial"/>
          <w:sz w:val="18"/>
          <w:szCs w:val="18"/>
          <w:i w:val="1"/>
          <w:iCs w:val="1"/>
          <w:color w:val="auto"/>
        </w:rPr>
        <w:t>Guy’s Grocery Games</w:t>
      </w:r>
      <w:r>
        <w:rPr>
          <w:rFonts w:ascii="Arial" w:cs="Arial" w:eastAsia="Arial" w:hAnsi="Arial"/>
          <w:sz w:val="18"/>
          <w:szCs w:val="18"/>
          <w:color w:val="auto"/>
        </w:rPr>
        <w:t xml:space="preserve">. Premium documentary series include the Emmy award-winning </w:t>
      </w:r>
      <w:r>
        <w:rPr>
          <w:rFonts w:ascii="Arial" w:cs="Arial" w:eastAsia="Arial" w:hAnsi="Arial"/>
          <w:sz w:val="18"/>
          <w:szCs w:val="18"/>
          <w:i w:val="1"/>
          <w:iCs w:val="1"/>
          <w:color w:val="auto"/>
        </w:rPr>
        <w:t>Remastered</w:t>
      </w:r>
      <w:r>
        <w:rPr>
          <w:rFonts w:ascii="Arial" w:cs="Arial" w:eastAsia="Arial" w:hAnsi="Arial"/>
          <w:sz w:val="18"/>
          <w:szCs w:val="18"/>
          <w:color w:val="auto"/>
        </w:rPr>
        <w:t xml:space="preserve"> and the soon-to-be-relaunched series </w:t>
      </w:r>
      <w:r>
        <w:rPr>
          <w:rFonts w:ascii="Arial" w:cs="Arial" w:eastAsia="Arial" w:hAnsi="Arial"/>
          <w:sz w:val="18"/>
          <w:szCs w:val="18"/>
          <w:i w:val="1"/>
          <w:iCs w:val="1"/>
          <w:color w:val="auto"/>
        </w:rPr>
        <w:t>Sightings</w:t>
      </w:r>
      <w:r>
        <w:rPr>
          <w:rFonts w:ascii="Arial" w:cs="Arial" w:eastAsia="Arial" w:hAnsi="Arial"/>
          <w:sz w:val="18"/>
          <w:szCs w:val="18"/>
          <w:color w:val="auto"/>
        </w:rPr>
        <w:t xml:space="preserve"> in association with CBS Productions. Scripted series include </w:t>
      </w:r>
      <w:r>
        <w:rPr>
          <w:rFonts w:ascii="Arial" w:cs="Arial" w:eastAsia="Arial" w:hAnsi="Arial"/>
          <w:sz w:val="18"/>
          <w:szCs w:val="18"/>
          <w:i w:val="1"/>
          <w:iCs w:val="1"/>
          <w:color w:val="auto"/>
        </w:rPr>
        <w:t>Black Jesus</w:t>
      </w:r>
      <w:r>
        <w:rPr>
          <w:rFonts w:ascii="Arial" w:cs="Arial" w:eastAsia="Arial" w:hAnsi="Arial"/>
          <w:sz w:val="18"/>
          <w:szCs w:val="18"/>
          <w:color w:val="auto"/>
        </w:rPr>
        <w:t xml:space="preserve"> for Comedy Central.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businesses are subject to and affected by regulations of U.S. federal, state and local government authorities, and our international operations are subject to laws and regulations of the countries in which they operate, as well as international bodies, such as the European Union. The Federal Communications Commission (the "FCC") regulates U.S. programming networks directly in some respects; other FCC regulations, although imposed on cable television operators and satellite operators, affect programming networks indirectly. The rules, regulations, policies and procedures affecting our businesses are constantly subject to change and increasingly, legislative and regulatory proposals seek to cover all sources of content, including the digital platforms over which we offer content, which may affect our regulatory burdens in the future. The descriptions below are summary in nature and do not purport to describe all present and proposed laws and regulations affecting our businesses.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Closed Captioning</w:t>
      </w:r>
    </w:p>
    <w:p>
      <w:pPr>
        <w:spacing w:after="0" w:line="104" w:lineRule="exact"/>
        <w:rPr>
          <w:sz w:val="20"/>
          <w:szCs w:val="20"/>
          <w:color w:val="auto"/>
        </w:rPr>
      </w:pPr>
    </w:p>
    <w:p>
      <w:pPr>
        <w:ind w:right="240" w:firstLine="405"/>
        <w:spacing w:after="0" w:line="235" w:lineRule="auto"/>
        <w:rPr>
          <w:sz w:val="20"/>
          <w:szCs w:val="20"/>
          <w:color w:val="auto"/>
        </w:rPr>
      </w:pPr>
      <w:r>
        <w:rPr>
          <w:rFonts w:ascii="Arial" w:cs="Arial" w:eastAsia="Arial" w:hAnsi="Arial"/>
          <w:sz w:val="18"/>
          <w:szCs w:val="18"/>
          <w:color w:val="auto"/>
        </w:rPr>
        <w:t xml:space="preserve">Certain of our networks must provide closed-captioning of programming for the hearing impaired, </w:t>
      </w:r>
      <w:r>
        <w:rPr>
          <w:rFonts w:ascii="Arial" w:cs="Arial" w:eastAsia="Arial" w:hAnsi="Arial"/>
          <w:sz w:val="18"/>
          <w:szCs w:val="18"/>
          <w:color w:val="222222"/>
        </w:rPr>
        <w:t>and comply with other regulations designed to</w:t>
      </w:r>
      <w:r>
        <w:rPr>
          <w:rFonts w:ascii="Arial" w:cs="Arial" w:eastAsia="Arial" w:hAnsi="Arial"/>
          <w:sz w:val="18"/>
          <w:szCs w:val="18"/>
          <w:color w:val="auto"/>
        </w:rPr>
        <w:t xml:space="preserve"> </w:t>
      </w:r>
      <w:r>
        <w:rPr>
          <w:rFonts w:ascii="Arial" w:cs="Arial" w:eastAsia="Arial" w:hAnsi="Arial"/>
          <w:sz w:val="18"/>
          <w:szCs w:val="18"/>
          <w:color w:val="222222"/>
        </w:rPr>
        <w:t>make our content more accessible</w:t>
      </w:r>
      <w:r>
        <w:rPr>
          <w:rFonts w:ascii="Arial" w:cs="Arial" w:eastAsia="Arial" w:hAnsi="Arial"/>
          <w:sz w:val="18"/>
          <w:szCs w:val="18"/>
          <w:color w:val="000000"/>
        </w:rPr>
        <w:t>, and we must provide closed captioning on certain video content that we offer on the Internet or through other Internet</w:t>
      </w:r>
      <w:r>
        <w:rPr>
          <w:rFonts w:ascii="Arial" w:cs="Arial" w:eastAsia="Arial" w:hAnsi="Arial"/>
          <w:sz w:val="18"/>
          <w:szCs w:val="18"/>
          <w:color w:val="222222"/>
        </w:rPr>
        <w:t xml:space="preserve"> </w:t>
      </w:r>
      <w:r>
        <w:rPr>
          <w:rFonts w:ascii="Arial" w:cs="Arial" w:eastAsia="Arial" w:hAnsi="Arial"/>
          <w:sz w:val="18"/>
          <w:szCs w:val="18"/>
          <w:color w:val="000000"/>
        </w:rPr>
        <w:t>Protocol distribution methods.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CALM Act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FCC rules require MVPDs to ensure that all commercials comply with specified volume standards, and our distribution agreements generally require us to certify compliance with such standards.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Emergency Alert Codes or Attention Signals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We may not include emergency alert codes or attention signals, or simulations of them, in our content under any circumstances other than a genuine alert, an authorized test of the emergency alert system, or a permissible public service announcement.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Obscenity Restrictions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Cable operators and other MVPDs are prohibited from transmitting obscene programming, and our distribution agreements generally require us to refrain from including such programming on our networks.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Program Carriage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FCC's program carriage rules prohibit distributors from favoring their affiliated programming networks over unaffiliated similarly situated programming networks in the rates, terms and conditions of carriage agreements between programming networks and cable operators or other MVPDs. Recent regulatory changes and court decisions make it more difficult for our programming networks to challenge a distributor’s decision to decline to carry one of our programming networks or discriminate against one of our programming networks.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Packaging Programming and Volume Discounts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FCC from time to time examines whether to adopt rules restricting how programmers package and price their networks, or whether to impose other restrictions on carriage agreements between programmers and MVPDs.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80"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Some states also have sought to regulate the manner in which MVPDs package and offer programming. We generally do not allow our networks or individual programs on those networks today to be offered by distributors on an a la carte basis.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Effect of "Must-Carry" and "Retransmission Consent" Requirements</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FCC's implementation of the statutory "must-carry" obligations requires cable and DBS operators to give certain broadcasters preferential access to channel space and preferential channel positions,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nor any guaranteed channel position. These carriage laws may reduce the amount of channel space that is available for carriage of our networks by cable television systems and DBS operators, or the amount of programming funds that cable and DBS operators have available for carriage of our networks.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Website Requirements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We maintain various websites that provide information regarding our businesses and offer content for sale. The operation of these websites may be subject to a range of federal, state and local laws such as privacy, data security, accessibility, child safety, </w:t>
      </w:r>
      <w:r>
        <w:rPr>
          <w:rFonts w:ascii="Arial" w:cs="Arial" w:eastAsia="Arial" w:hAnsi="Arial"/>
          <w:sz w:val="17"/>
          <w:szCs w:val="17"/>
          <w:color w:val="222222"/>
        </w:rPr>
        <w:t>oversight of user-generated content,</w:t>
      </w:r>
      <w:r>
        <w:rPr>
          <w:rFonts w:ascii="Arial" w:cs="Arial" w:eastAsia="Arial" w:hAnsi="Arial"/>
          <w:sz w:val="17"/>
          <w:szCs w:val="17"/>
          <w:color w:val="auto"/>
        </w:rPr>
        <w:t xml:space="preserve"> and consumer protection regulations. For example, most states have enacted laws that impose data security and security breach obligations, and new frameworks regulating consumer privacy have recently been established at the state level and overseas, including the European Union's General Data Protection Regulation, or the GDPR, and the California Consumer Privacy Act, or as amended, the CCPA. The GDPR and the CCPA impose, among other things, more stringent operational requirements for processors and controllers of personal data, including expanded disclosures about how personal information is to be used, and increased liability for violations. </w:t>
      </w:r>
      <w:r>
        <w:rPr>
          <w:rFonts w:ascii="Arial" w:cs="Arial" w:eastAsia="Arial" w:hAnsi="Arial"/>
          <w:sz w:val="17"/>
          <w:szCs w:val="17"/>
          <w:color w:val="222222"/>
        </w:rPr>
        <w:t>In addition, the FCC from time to time considers whether some or all websites offering</w:t>
      </w:r>
      <w:r>
        <w:rPr>
          <w:rFonts w:ascii="Arial" w:cs="Arial" w:eastAsia="Arial" w:hAnsi="Arial"/>
          <w:sz w:val="17"/>
          <w:szCs w:val="17"/>
          <w:color w:val="auto"/>
        </w:rPr>
        <w:t xml:space="preserve"> </w:t>
      </w:r>
      <w:r>
        <w:rPr>
          <w:rFonts w:ascii="Arial" w:cs="Arial" w:eastAsia="Arial" w:hAnsi="Arial"/>
          <w:sz w:val="17"/>
          <w:szCs w:val="17"/>
          <w:color w:val="222222"/>
        </w:rPr>
        <w:t>video programming should be considered MVPDs and regulated as such.</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FCC also imposes rules that may impact us regarding a variety of issues such as advertising in children's television, and telemarketing. Programming businesses are subject to regulation by the country in which they operate, as well as international bodies, such as the European Union. These regulations may include restrictions on types of advertising that can be sold on our networks, programming content requirements, requirements to make programming available on non-discriminatory terms, and local content quotas.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programming services, consisting of linear networks and streaming services, operate in three highly competitive markets. First, our programming services compete with other programming services to obtain distribution on cable television systems and other multichannel video programming distribution systems, and ultimately for viewing by each distributor's subscribers. Second, our programming services compete with other programming services and other sources of video content, to secure desired entertainment programming. Third, our programming services compete with other sellers of advertising time and space, including other cable programming networks, radio, newspapers, outdoor media and, increasingly, internet sites. The success of our businesses depends on our ability to license and produce content for our programming services that is adequate in quantity and quality and will generate satisfactory viewer ratings. In each of these cases, some of our competitors are large publicly held companies that have greater financial resources than we do.</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 of Programming Services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business of distributing programming services to cable television systems and other MVPDs and licensing of original programming for distribution is highly competitive. Our programming services face competition from other programming networks and services for carriage by a particular MVPD, and for the carriage on the service tier that will attract the most subscribers. Once our programming service is selected by a distributor for carriage, that service competes for viewers not only with the other programming services available on the distributor's system, but also with over-the-air broadcast television, Internet-based video and other online services, mobile services, radio, print media, motion picture theaters, DVDs, and other sources of information and entertainment.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ind w:firstLine="405"/>
        <w:spacing w:after="0" w:line="286" w:lineRule="auto"/>
        <w:rPr>
          <w:sz w:val="20"/>
          <w:szCs w:val="20"/>
          <w:color w:val="auto"/>
        </w:rPr>
      </w:pPr>
      <w:r>
        <w:rPr>
          <w:rFonts w:ascii="Arial" w:cs="Arial" w:eastAsia="Arial" w:hAnsi="Arial"/>
          <w:sz w:val="17"/>
          <w:szCs w:val="17"/>
          <w:color w:val="auto"/>
        </w:rPr>
        <w:t>Important to our success in each area of competition we face are the prices we charge for our programming services, the quantity, quality and variety of the programming offered on our services, and the effectiveness of our services' marketing efforts. The competition for viewers among advertiser supported networks is directly correlated with the competition for advertising revenues with each of our competitors.</w:t>
      </w:r>
    </w:p>
    <w:p>
      <w:pPr>
        <w:spacing w:after="0" w:line="5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ability to successfully compete with other networks and services may be hampered because the cable television systems or other MVPDs through which we seek distribution may be affiliated with other programming networks or services. In addition, because such distributors may have a substantial number of subscribers, the ability of such programming services to obtain distribution on the systems of affiliated distributors may lead to increased distribution and advertising revenue for such programming networks or services because of their increased penetration compared to our programming services. Even if such affiliated distributors carry our programming services, such distributors may place their affiliated programming network on a more desirable tier, thereby giving the affiliated programming network a competitive advantage over our own.</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7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Programming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 with other parties that have produced or own the rights to such programming. Competition for this programming will increase as the number of programming networks and other distributors increases. Other programming networks or streaming services that are affiliated with programming sources such as movie or television studios or film libraries may have a competitive advantage over us in this area.</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 for Advertising Revenue</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programming networks must compete with other sellers of advertising time and space, including other MVPDs, radio, newspapers, outdoor media and increasing shifts in spending toward online and mobile offerings from more traditional media.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At AMC Networks, we are passionate about telling authentic stories that connect with audiences in meaningful ways and that entertain with vivid characters and worlds that show a full spectrum of the human experience. We believe the strength of our workforce is one of the significant contributors to our success. Our key human capital management objectives are to invest in and support our employees so that we have the ability to attract, develop and retain a high performing and diverse workforce.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04" w:lineRule="exact"/>
        <w:rPr>
          <w:sz w:val="20"/>
          <w:szCs w:val="20"/>
          <w:color w:val="auto"/>
        </w:rPr>
      </w:pPr>
    </w:p>
    <w:p>
      <w:pPr>
        <w:ind w:right="200" w:firstLine="445"/>
        <w:spacing w:after="0" w:line="246" w:lineRule="auto"/>
        <w:rPr>
          <w:sz w:val="20"/>
          <w:szCs w:val="20"/>
          <w:color w:val="auto"/>
        </w:rPr>
      </w:pPr>
      <w:r>
        <w:rPr>
          <w:rFonts w:ascii="Arial" w:cs="Arial" w:eastAsia="Arial" w:hAnsi="Arial"/>
          <w:sz w:val="18"/>
          <w:szCs w:val="18"/>
          <w:color w:val="auto"/>
        </w:rPr>
        <w:t>At AMC Networks being diverse, equitable, and inclusive is more than a business imperative that spurs creativity and drives innovation. It is at the heart of who we are and what we believe.</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examples of our DEI areas of focus are described below:</w:t>
      </w:r>
    </w:p>
    <w:p>
      <w:pPr>
        <w:spacing w:after="0" w:line="104"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 xml:space="preserve">Fostering Inclusive Communities </w:t>
      </w:r>
      <w:r>
        <w:rPr>
          <w:rFonts w:ascii="Arial" w:cs="Arial" w:eastAsia="Arial" w:hAnsi="Arial"/>
          <w:sz w:val="18"/>
          <w:szCs w:val="18"/>
          <w:color w:val="auto"/>
        </w:rPr>
        <w:t>– We have nine active Employee Resource Groups (ERGs) that form communities through shared interests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with 18 chapters across the U.S, the UK, Europe and Latin America. Our ERG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members strive to create a culture of belonging for our employees. They facilitate networking and connections with peers; support the acquisition of diverse talent internally and externally; provide an avenue to facilitate leadership and skill development; and help to increase the organization’s overall cultural competency. They are an important part of driving our business objectives, including curating themed content areas that helps drive streaming subscriber growth and acting as a valuable sounding board for content development and programming.</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Develop Talent Pipelines </w:t>
      </w:r>
      <w:r>
        <w:rPr>
          <w:rFonts w:ascii="Arial" w:cs="Arial" w:eastAsia="Arial" w:hAnsi="Arial"/>
          <w:sz w:val="18"/>
          <w:szCs w:val="18"/>
          <w:color w:val="auto"/>
        </w:rPr>
        <w:t>– We strive to create robust pipelines of diverse talent for our workplace to provide employment opportunities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accessible for underrepresented communities. We do this through partnerships with leading industry diversity advocacy organizations and through our corporate internship program where we source candidates from a broad range of colleges including Historically Black Colleges and Universities (HBCUs) and Hispanic Serving Institutions (HSIs).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Learning Together </w:t>
      </w:r>
      <w:r>
        <w:rPr>
          <w:rFonts w:ascii="Arial" w:cs="Arial" w:eastAsia="Arial" w:hAnsi="Arial"/>
          <w:sz w:val="18"/>
          <w:szCs w:val="18"/>
          <w:color w:val="auto"/>
        </w:rPr>
        <w:t>– To equip our employees with the tools and knowledge they need to expand awareness and understand what promoting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and inclusion really means, our employees participate in a variety of learning opportunities covering topics ranging from building a more equitable workforce to unconscious bias.</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Our Content </w:t>
      </w:r>
      <w:r>
        <w:rPr>
          <w:rFonts w:ascii="Arial" w:cs="Arial" w:eastAsia="Arial" w:hAnsi="Arial"/>
          <w:sz w:val="18"/>
          <w:szCs w:val="18"/>
          <w:color w:val="auto"/>
        </w:rPr>
        <w:t>– We have a long track record of championing and supporting independent and diverse voices and using our platforms to bring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storytellers’ vision to life. Encouraging diverse and inclusive voices and points of view – on our screens, on our sets, and in our writer’s rooms – is fundamental to our creative process. It is how we understand, reflect, and speak with insight and authenticity to the wide range of audiences we reach every day. In 2021, over 50% of AMC Networks’ writers’ rooms were staffed with diverse writers.</w:t>
      </w:r>
    </w:p>
    <w:p>
      <w:pPr>
        <w:spacing w:after="0" w:line="7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i w:val="1"/>
          <w:iCs w:val="1"/>
          <w:color w:val="auto"/>
        </w:rPr>
        <w:t xml:space="preserve">High Impact Partnerships </w:t>
      </w:r>
      <w:r>
        <w:rPr>
          <w:rFonts w:ascii="Arial" w:cs="Arial" w:eastAsia="Arial" w:hAnsi="Arial"/>
          <w:sz w:val="16"/>
          <w:szCs w:val="16"/>
          <w:color w:val="auto"/>
        </w:rPr>
        <w:t>– We work with leading industry organizations to ensure there is greater inclusion in the stories we tell. In 2021, we signed</w:t>
      </w:r>
      <w:r>
        <w:rPr>
          <w:rFonts w:ascii="Arial" w:cs="Arial" w:eastAsia="Arial" w:hAnsi="Arial"/>
          <w:sz w:val="16"/>
          <w:szCs w:val="16"/>
          <w:i w:val="1"/>
          <w:iCs w:val="1"/>
          <w:color w:val="auto"/>
        </w:rPr>
        <w:t xml:space="preserve"> </w:t>
      </w:r>
      <w:r>
        <w:rPr>
          <w:rFonts w:ascii="Arial" w:cs="Arial" w:eastAsia="Arial" w:hAnsi="Arial"/>
          <w:sz w:val="16"/>
          <w:szCs w:val="16"/>
          <w:color w:val="auto"/>
        </w:rPr>
        <w:t>on to #ChangeHollywood in partnership with Color of Change and others to use inclusion riders on every AMC Studios production. We are proud to be a launch partner of Coded for Inclusion, a new job matching platform for production crews designed to help change the way hiring happens in Hollywood. Through our partnership in Mentorship Matters, we connect showrunners with emerging writers of color for dynamic year-long mentorships. These are just a few examples of our active partnerships and collaborations through which we strive to empower the next generation of storytellers.</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Talent</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employed 1,739 full-time employees and 287 part-time employees as of December 31, 2021. Our global workforce, as of December 31, 2021, was over 50% women, with 45% of our senior leadership positions (vice president or equivalent and above) held by women, including the Company’s first female Executive Officer, who joined the Company as Chief Financial Officer in January 2021 and who was promoted to a new dual role of Chief Operating Officer and Chief Financial Officer in October 2021. Over 28% of our U.S.-based workforce are people of color.</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aim to attract top talent through our corporate brand and our reputation for innovation and high-quality content, as well as through the many benefits we offer. We aim to retain our talent by emphasizing our competitive rewards; offering opportunities that support employees both personally and professionally; and our commitment to fostering a positive corporate culture.</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performance management practice includes frequent feedback and conversations between managers and team members, and talent reviews designed to identify potential future leaders and inform succession plans. We value continuous learning and development opportunities for our employees, which include: a robust internal mentorship program; dynamic teams that take a cross disciplinary approach to driving innovation and problem solving; leadership development programs; and tuition assistance.</w:t>
      </w:r>
    </w:p>
    <w:p>
      <w:pPr>
        <w:spacing w:after="0" w:line="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benefit offerings are designed to meet the range of needs of our diverse workforce and include: adoption assistance; backup child/elder care; child care resources; college planning; domestic partner coverage; domestic partner tax equalization; gender reassignment surgery; employee assistance programs; financial planning seminars; and a health advocate offering. These resources are intended to support the health, finance, and well-being of our employees.</w:t>
      </w:r>
    </w:p>
    <w:p>
      <w:pPr>
        <w:spacing w:after="0" w:line="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for certain of our productions, the Company, through in-house and third-party production service companies, engages the services of writers, directors, actors and various crew members who are subject to certain specially negotiated collective bargaining agreements. Since these agreements are generally entered into on a per-project basis, negotiations occur on various agreements throughout the year. We believe that our relations with the labor unions and our employees are generally good.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Culture</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Company has a proud past and a long history of innovation and originality in our storytelling. This legacy informs who we are and is imbued in our corporate culture and in our values. We embrace collaboration, openness, approachability, as well as agility and creativity.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445"/>
        <w:spacing w:after="0" w:line="277" w:lineRule="auto"/>
        <w:rPr>
          <w:sz w:val="20"/>
          <w:szCs w:val="20"/>
          <w:color w:val="auto"/>
        </w:rPr>
      </w:pPr>
      <w:r>
        <w:rPr>
          <w:rFonts w:ascii="Arial" w:cs="Arial" w:eastAsia="Arial" w:hAnsi="Arial"/>
          <w:sz w:val="18"/>
          <w:szCs w:val="18"/>
          <w:color w:val="auto"/>
        </w:rPr>
        <w:t>Throughout the year we bring together partners, thought leaders and our creative talent for engaging and eye-opening conversations for our employees about our content, industry trends, and advancing DEI.</w:t>
      </w:r>
    </w:p>
    <w:p>
      <w:pPr>
        <w:spacing w:after="0" w:line="6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Giving and social impact programs and initiatives are an important part of our culture because at AMC Networks we want to be a source for positive change in the communities where we live and work. Through philanthropic efforts, community outreach and strong and lasting partnerships, we support causes aimed at advancing a culture of inclusivity and amplify everyone’s voice. In 2021, we launched a new online giving and volunteering platform for our employees called Give Back at AMCN, dedicated to making an impact in the areas that matter most to our workforce. Employees can research and learn about organizations doing important and difference-making work and make personal charitable donations, which includes an annual company match.</w:t>
      </w:r>
    </w:p>
    <w:p>
      <w:pPr>
        <w:spacing w:after="0" w:line="5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initiatives to foster community and social impact include paid time off for full-time employees for Juneteenth, Election Day, Veterans Day and a volunteer day of their choice.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corporate website is http://www.amcnetworks.com and the investor relations section of our website is located at http://investor.amcnetworks.com.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 wide range of risks may affect our business, financial condition and results of operations,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b w:val="1"/>
          <w:bCs w:val="1"/>
          <w:i w:val="1"/>
          <w:iCs w:val="1"/>
          <w:color w:val="auto"/>
        </w:rPr>
        <w:t>Our business depends on the appeal of our programming to our U.S. and international viewers and our distributors, which may be unpredictable and volatile.</w:t>
      </w:r>
    </w:p>
    <w:p>
      <w:pPr>
        <w:spacing w:after="0" w:line="6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business depends, in part, upon viewer preferences and audience acceptance in the United States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has caused, and could in the future continue to cause, the audience for certain of our programming to decline, which has resulted in, and could in the future continue to result in, a reduction of advertising revenues and jeopardize our bargaining position with distributors. In addition, certain of our competitors may have more flexible programming arrangements, as well as greater amounts of available content, distribution and capital resources, and may react more quickly than we might to shifts in tastes and interests.</w:t>
      </w:r>
    </w:p>
    <w:p>
      <w:pPr>
        <w:spacing w:after="0" w:line="8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To an increasing extent, the success of our business depends on original programming, and our ability to accurately predict how audiences will respond to our original programming is particularly important. Because original programming often involves a greater degree of commitment on our part, as compared to acquired programming that we license from third parties, and because our network branding strategies depend significantly on a relatively small number of original programs such as </w:t>
      </w:r>
      <w:r>
        <w:rPr>
          <w:rFonts w:ascii="Arial" w:cs="Arial" w:eastAsia="Arial" w:hAnsi="Arial"/>
          <w:sz w:val="16"/>
          <w:szCs w:val="16"/>
          <w:i w:val="1"/>
          <w:iCs w:val="1"/>
          <w:color w:val="auto"/>
        </w:rPr>
        <w:t>The Walking Dead</w:t>
      </w:r>
      <w:r>
        <w:rPr>
          <w:rFonts w:ascii="Arial" w:cs="Arial" w:eastAsia="Arial" w:hAnsi="Arial"/>
          <w:sz w:val="16"/>
          <w:szCs w:val="16"/>
          <w:color w:val="auto"/>
        </w:rPr>
        <w:t>,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programming rights in the past, and may incur future programming rights write-offs if it is determined that program rights have limited, or no, future usefulness.</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addition, feature films constitute a significant portion of the programming on our AMC, IFC and SundanceTV programming networks. In general, the popularity of feature-film content on linear television is declining, due in part to the broad availability of such content through an increasing number of distribution platforms. If the popularity of feature-film programming further declines, we may lose viewership, which could increase our costs.</w:t>
      </w:r>
    </w:p>
    <w:p>
      <w:pPr>
        <w:spacing w:after="0" w:line="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If our programming does not gain the level of audience acceptance we expect, or if we are unable to maintain the popularity of our programming, our ratings may suffer, which will negatively affect advertising revenues, and we may have a diminished bargaining position with distributors, which could reduce our distribution revenues. Ratings for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have declined in recent years, which has had a negative effect on our advertising revenues and our financial results. We cannot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assure you that we will be able to maintain the success of any of our current programming or generate sufficient demand and market acceptance for our new programming.</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failure to develop popular new programming to replace programming that is older or ending can have adverse impacts on our business and results of operations.</w:t>
      </w:r>
    </w:p>
    <w:p>
      <w:pPr>
        <w:spacing w:after="0" w:line="6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programming services' success depends upon the availability of programming that is adequate in quantity and quality, and we may be unable to secure or maintain such programming.</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success of our programming services, consisting of linear networks and streaming services, depends upon the availability of quality programming, particularly original programming and films, that is suitable for our target markets. While we produce certain of our original programming through our studio operations, we obtain most of the programming on our services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Competition for programming has increased as the number of programming networks and streaming services has increased. Other programming networks and streaming services that are affiliated with programming sources such as movie or television studios or film libraries may have a competitive advantage over us in this area. In addition to other cable programming networks, we also compete for programming with national broadcast television networks, local broadcast television stations, video on demand services and subscription streaming services, such as Netflix, Hulu, Apple TV, Google TV and Amazon Prime. Some of these competitors have exclusive contracts with motion picture studios or independent motion picture distributors or own film libraries.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cannot assure you that we will ultimately be successful in producing or obtaining the quality programming our networks and streaming services need to be successful.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programming costs may adversely affect our profits.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produce a significant amount of original programming and other content and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and acquired programming are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Netflix, Hulu, Apple TV, Google TV and Amazon Prime, increases our programming content costs.</w:t>
      </w:r>
    </w:p>
    <w:p>
      <w:pPr>
        <w:spacing w:after="0" w:line="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royalty and other payments (See Item 3. – Legal Proceedings for additional information). We believe that disputes of this type are endemic to our business and similar disputes may arise from time to time in the future. An increase in the costs of programming may lead to decreased profitability or otherwise adversely affect our business.</w:t>
      </w:r>
    </w:p>
    <w:p>
      <w:pPr>
        <w:spacing w:after="0" w:line="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Original programming requires substantial financial commitment. In some cases, the financial commitment may be partially offset by foreign, state or local tax incentives. However, there is a risk that the tax incentives will not remain available for the duration of a series. If tax incentives are no longer available, reduced substantially, or cannot be utilized, we may incur higher costs in order to complete the production or produce additional seasons. If we are unable to produce original programming content on a cost effective basis our business, financial condition and results of operations may be materially adversely affected.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efforts to attract and retain streaming subscribers may not be successful, which may adversely affect our business</w:t>
      </w:r>
    </w:p>
    <w:p>
      <w:pPr>
        <w:spacing w:after="0" w:line="104"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7"/>
          <w:szCs w:val="17"/>
          <w:color w:val="auto"/>
        </w:rPr>
        <w:t>Our ability to continue to attract subscribers will depend in part on our ability to consistently provide compelling content choices, effectively market our streaming services, as well as provide a quality experience for subscribers. Furthermore, the relative service levels, content offerings, pricing and related features of competitors to our service may adversely impact our ability to attract and retain subscribers. We incur significant marketing expenditures to attract streaming subscribers, therefore retention of those subscribers is critical to our business model. We must continually add new subscriptions both to replace canceled subscriptions and to grow our streaming services beyond our current subscription base. While we permit multiple users within the same household to share a single account for noncommercial purposes, if account sharing is abused, our ability to add new subscribers may be hindered and our results of operations may be adversely impacted. If we do not grow as expected, given, in particular, that our content costs are largely fixed in nature and contracted over several years, we may not be able to adjust our expenditures or increase our (per subscription) revenues commensurate with the lowered growth rate such that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jc w:val="both"/>
        <w:spacing w:after="0" w:line="231" w:lineRule="auto"/>
        <w:rPr>
          <w:sz w:val="20"/>
          <w:szCs w:val="20"/>
          <w:color w:val="auto"/>
        </w:rPr>
      </w:pPr>
      <w:r>
        <w:rPr>
          <w:rFonts w:ascii="Arial" w:cs="Arial" w:eastAsia="Arial" w:hAnsi="Arial"/>
          <w:sz w:val="18"/>
          <w:szCs w:val="18"/>
          <w:color w:val="auto"/>
        </w:rPr>
        <w:t>our margins, liquidity and results of operation may be adversely impacted. If we are unable to successfully compete with current and new competitors in both retaining our existing subscriptions and attracting new subscriptions, our streaming services will be adversely affected. Further, if excessive numbers of subscribers cancel our services, we may be required to incur significantly higher marketing expenditures than we currently anticipate to replace these subscribers with new subscribers.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intense competition, which may have a negative effect on our profitability or on our ability to expand our business.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programming industry is highly competitive. Our programming networks and streaming services compete with other programming networks and other types of video programming services for marketing and distribution by cable and other multichannel video programming distribution systems and ultimately for viewing by their subscribers. We compete with other providers of programming networks for the right to be carried by a particular cable or other multichannel video programming distribution system and for the right to be carried by such system on a particular "tier" of service. The increasing offerings by virtual MVPDs through alternative distribution methods creates competition for carriage on those platforms. Our programming networks and streaming services compete with other programming networks, streaming services, and other sources of video content to secure desired entertainment programming.</w:t>
      </w:r>
    </w:p>
    <w:p>
      <w:pPr>
        <w:spacing w:after="0" w:line="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Competition for content, audiences and advertising is intense and comes from broadcast television, other cable networks, distributors, including subscription streaming services and virtual multichannel video programming services, social media content distributors, and other entertainment outlets and platforms, as well as from search, social networks, program guides and "second screen" applications.</w:t>
      </w:r>
    </w:p>
    <w:p>
      <w:pPr>
        <w:spacing w:after="0" w:line="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Increased competition from additional entrants into the market for development and production of original programming, such as Apple, Facebook, YouTube, Netflix, Amazon Prime and Hulu, increases our content costs as creating competing high quality, original content requires significant investment. In addition, as competition with these entrants for the creation and acquisition of quality programming continues to escalate, the complexity of negotiations over acquired rights to the content and the value of the rights we acquire or retain may increase, leading to increased acquisition costs, and our ability to successfully acquire content of the highest quality may face greater uncertainty.</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7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MVPDs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6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they may have significant competitive advantages, which could adversely affect our ability to negotiate favorable terms and distribution or otherwise compete effectively in the delivery marketplace. Our competitors could also have preferential access to important technologies, customer data or other competitive information.</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ind w:left="420"/>
        <w:spacing w:after="0" w:line="277" w:lineRule="auto"/>
        <w:rPr>
          <w:sz w:val="20"/>
          <w:szCs w:val="20"/>
          <w:color w:val="auto"/>
        </w:rPr>
      </w:pPr>
      <w:r>
        <w:rPr>
          <w:rFonts w:ascii="Arial" w:cs="Arial" w:eastAsia="Arial" w:hAnsi="Arial"/>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6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derives a substantial portion of its revenues and income from cable television providers and other MVPDs. Subscription streaming services and virtual MVPDs are changing when, where and how audiences consume video content. These changes pose risks to the traditional U.S. television industry, including (i) the disruption of the traditional television content distribution model by subscription streaming services and virtual multichannel video programming services, which are increasing in number and some of which have a significant and growing subscriber base, and (ii) the disruption of the advertising supported television model resulting from increased video consumption through subscription streaming services and virtual multichannel video programming services with no advertising or less advertising than on television networks, and time shifted viewing of television programming. In part as a result of these changes, over the past few years, the number of subscribers to traditional MVPDs in the United States has declined and the U.S. television industry has experienced declines in ratings for programming, which has negatively affected subscription and advertising revenues. Developments in technology and new content delivery products and services have also led to an increasing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some of these initiatives depends in part on the cooperation of measurement companies, advertisers and affiliates and, therefore, is not within our control. We have incurred significant costs to implement our strategy and initiatives, and if they are not successful, our competitive position, businesses and results of operations could be adversely affected.</w:t>
      </w:r>
    </w:p>
    <w:p>
      <w:pPr>
        <w:spacing w:after="0" w:line="76" w:lineRule="exact"/>
        <w:rPr>
          <w:sz w:val="20"/>
          <w:szCs w:val="20"/>
          <w:color w:val="auto"/>
        </w:rPr>
      </w:pPr>
    </w:p>
    <w:p>
      <w:pPr>
        <w:jc w:val="both"/>
        <w:ind w:left="420"/>
        <w:spacing w:after="0" w:line="263" w:lineRule="auto"/>
        <w:rPr>
          <w:sz w:val="20"/>
          <w:szCs w:val="20"/>
          <w:color w:val="auto"/>
        </w:rPr>
      </w:pPr>
      <w:r>
        <w:rPr>
          <w:rFonts w:ascii="Arial" w:cs="Arial" w:eastAsia="Arial" w:hAnsi="Arial"/>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both in the United States and internationally, could have a material adverse effect on our business.</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programming networks depend upon agreements with a limited number of cable television system operators and other MVPDs. The loss of any significant distributor could have a material adverse effect on our consolidated results of operations.</w:t>
      </w:r>
    </w:p>
    <w:p>
      <w:pPr>
        <w:spacing w:after="0" w:line="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Currently our programming networks have distribution agreements with staggered expiration dates through 2028</w:t>
      </w:r>
      <w:r>
        <w:rPr>
          <w:rFonts w:ascii="Arial" w:cs="Arial" w:eastAsia="Arial" w:hAnsi="Arial"/>
          <w:sz w:val="16"/>
          <w:szCs w:val="16"/>
          <w:i w:val="1"/>
          <w:iCs w:val="1"/>
          <w:color w:val="auto"/>
        </w:rPr>
        <w:t>.</w:t>
      </w:r>
      <w:r>
        <w:rPr>
          <w:rFonts w:ascii="Arial" w:cs="Arial" w:eastAsia="Arial" w:hAnsi="Arial"/>
          <w:sz w:val="16"/>
          <w:szCs w:val="16"/>
          <w:color w:val="auto"/>
        </w:rPr>
        <w:t xml:space="preserve"> Failure to renew distribution agreements, or renewal on less favorable terms (including with respect to price, packaging, positioning and other marketing opportunities), or the termination of distribution agreements could have a material adverse effect on our results of operations</w:t>
      </w:r>
      <w:r>
        <w:rPr>
          <w:rFonts w:ascii="Arial" w:cs="Arial" w:eastAsia="Arial" w:hAnsi="Arial"/>
          <w:sz w:val="16"/>
          <w:szCs w:val="16"/>
          <w:i w:val="1"/>
          <w:iCs w:val="1"/>
          <w:color w:val="auto"/>
        </w:rPr>
        <w:t>.</w:t>
      </w:r>
      <w:r>
        <w:rPr>
          <w:rFonts w:ascii="Arial" w:cs="Arial" w:eastAsia="Arial" w:hAnsi="Arial"/>
          <w:sz w:val="16"/>
          <w:szCs w:val="16"/>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we have, in some instances, made upfront payments to distributors in exchange for additional subscribers or have agreed to waive or accept lower subscription fees if certain numbers of additional subscribers are provided. We also may help fund our distributors' efforts to market our programming networks or we may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8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Advertising market conditions in specific markets could cause our revenues and operating results to decline significantly in any given period.</w:t>
      </w:r>
    </w:p>
    <w:p>
      <w:pPr>
        <w:spacing w:after="0" w:line="14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derive substantial revenues from the sale of advertising on a variety of platforms, and a decline in advertising expenditures could have a significant adverse effect on our revenues and operating results in any given period. The strength of the advertising market can fluctuate in response to the economic prospects of specific advertisers or industries, advertisers'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current spending priorities and the economy in general, and this may adversely affect the growth rate of our advertising revenues.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spots and advertising exchanges, some or all of which may not be as advantageous to us as current advertising methods. The increasing number of entertainment choices available to consumers has intensified audience fragmentation and reduced the viewing of content through traditional and virtual multichannel video programming providers, which has caused, and may continue to cause, audience ratings declines for our programming networks and may adversely affect the pricing and volume of advertising</w:t>
      </w:r>
    </w:p>
    <w:p>
      <w:pPr>
        <w:spacing w:after="0" w:line="8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Advertising sales are dependent on audience measurement, and the results of audience measurement techniques can vary independent of the size of the audience for a variety of reasons, including variations in the employed statistical sampling methods.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 which is growing rapidly, is presently not measured by any one consistently applied method. These variations and changes could have a significant effect on advertising revenues.</w:t>
      </w:r>
    </w:p>
    <w:p>
      <w:pPr>
        <w:spacing w:after="0" w:line="56"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6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increasing use of digital formats and technologies heightens this risk. Unauthorized access to our content could result in the premature release of our programming, which may have a significant adverse effect on the value of the affected programming.</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8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53"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must successfully adapt to technological advances in our industry, including alternative distribution platforms. Our ability to exploit new distribution platforms and viewing technologies will affect our ability to maintain or grow our business. New forms of content distribution may provide different economic models and compete with current distribution methods in ways that are not entirely predictable. Such competition has reduced and could continue to reduce demand for our traditional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7"/>
          <w:szCs w:val="17"/>
          <w:color w:val="auto"/>
        </w:rPr>
        <w:t>television offerings or for the offerings of digital platforms and, in turn, reduce our revenue from these sources. Accordingly, we must adapt to changing consumer behavior driven by advances such as virtual MVPDs, video on demand, subscription streaming services, including services such as Netflix, Hulu, Apple TV, Google TV and Amazon Prime and mobile devices. Gaming and other consoles such as Microsoft's Xbox and Roku are establishing themselves as alternative providers of video services. Such changes may impact the revenues we are able to generate from our traditional distribution methods, either by decreasing the viewership of our programming networks on cable and other multichannel video programming distribution systems which are almost entirely directed at television video delivery or by making advertising on our programming networks less valuable to advertisers. If we fail to adapt our distribution methods and content to new technologies, our appeal to our targeted audiences might decline and there could be a negative effect on our business. In addition, advertising revenues could be significantly impacted by new technologies, since advertising sales are dependent on audience measurement provided by third parties, and the results of audience measurement techniques can vary independent of the size of the audience for a variety of reasons, including difficulties related to the employed statistical sampling methods, new distribution platforms and viewing technologies, and the shifting of the marketplace to the use of measurement of different viewer behaviors, such as delayed viewing. Moreover, devices that allow users to fast forward or skip programming, including commercials, are causing changes in consumer behavior that may affect the desirability of our programming services to advertisers.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Operational Risks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risks from doing business internationally.</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62" w:lineRule="exact"/>
        <w:rPr>
          <w:sz w:val="20"/>
          <w:szCs w:val="20"/>
          <w:color w:val="auto"/>
        </w:rPr>
      </w:pPr>
    </w:p>
    <w:p>
      <w:pPr>
        <w:ind w:left="660" w:right="14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policies affecting trade and taxes, including laws and policies relating to the repatriation of funds and withholding taxes, and changes in these laws;</w:t>
      </w:r>
    </w:p>
    <w:p>
      <w:pPr>
        <w:spacing w:after="0" w:line="8" w:lineRule="exact"/>
        <w:rPr>
          <w:rFonts w:ascii="Arial" w:cs="Arial" w:eastAsia="Arial" w:hAnsi="Arial"/>
          <w:sz w:val="18"/>
          <w:szCs w:val="18"/>
          <w:color w:val="auto"/>
        </w:rPr>
      </w:pPr>
    </w:p>
    <w:p>
      <w:pPr>
        <w:ind w:left="660" w:right="76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regulatory requirements, including restrictions on content, imposition of local content quotas and restrictions on foreign ownership;</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controls, tariffs and other trade barriers;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degrees of protection for intellectual property and varying attitudes towards the piracy of intellectual property;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privacy and data protection laws and regulations, as well as data localization requirements, and changes in these laws and requirements;</w:t>
      </w:r>
    </w:p>
    <w:p>
      <w:pPr>
        <w:spacing w:after="0" w:line="86" w:lineRule="exact"/>
        <w:rPr>
          <w:rFonts w:ascii="Arial" w:cs="Arial" w:eastAsia="Arial" w:hAnsi="Arial"/>
          <w:sz w:val="16"/>
          <w:szCs w:val="16"/>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instability of foreign economies and governments;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 and acts of terrorism; and</w:t>
      </w:r>
    </w:p>
    <w:p>
      <w:pPr>
        <w:spacing w:after="0" w:line="63" w:lineRule="exact"/>
        <w:rPr>
          <w:rFonts w:ascii="Arial" w:cs="Arial" w:eastAsia="Arial" w:hAnsi="Arial"/>
          <w:sz w:val="18"/>
          <w:szCs w:val="18"/>
          <w:color w:val="auto"/>
        </w:rPr>
      </w:pPr>
    </w:p>
    <w:p>
      <w:pPr>
        <w:ind w:left="660" w:right="60" w:hanging="247"/>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6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problems in the United States or in other parts of the world could adversely affect our results of operations.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is affected by prevailing economic and financial conditions in the United States and other countries. We derive substantial revenues from advertisers, and these expenditures are sensitive to general economic conditions and consumer buying patterns. Financial instability or a general decline in economic conditions, including as a result of the COVID-19 pandemic, disruptions to financial markets, inflation, recession, high unemployment or geopolitical events in the United States and other countries where our networks are distributed, have in the past adversely affected advertising rates and volume, which has resulted in a decrease in our advertising revenues.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Decreases in consumer discretionary spending in the U.S and other countries where our networks are distributed may affect cable television and other video service subscriptions, in particular with respect to digital service tiers on which certain of our programming networks are carried. This could lead to a decrease in the number of subscribers receiving our programming from MVPDs, which could, in turn, have a negative impact on our viewing subscribers and subscription fee revenues. Similarly, a decrease in viewing subscribers could have a negative impact on the number of viewers actually watching the programs on our programming networks, thereby impacting the rates we are able to charge advertisers.</w:t>
      </w:r>
    </w:p>
    <w:p>
      <w:pPr>
        <w:spacing w:after="0" w:line="1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Economic conditions affect a number of aspects of our businesses worldwide and impact the businesses of advertisers on our networks. Adverse economic conditions have resulted in and could in the future result in advertisers reducing their spending on advertising and negatively affect the ability of those with whom we do business to satisfy their obligations to us.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ind w:right="20"/>
        <w:spacing w:after="0" w:line="311" w:lineRule="auto"/>
        <w:rPr>
          <w:sz w:val="20"/>
          <w:szCs w:val="20"/>
          <w:color w:val="auto"/>
        </w:rPr>
      </w:pPr>
      <w:r>
        <w:rPr>
          <w:rFonts w:ascii="Arial" w:cs="Arial" w:eastAsia="Arial" w:hAnsi="Arial"/>
          <w:sz w:val="16"/>
          <w:szCs w:val="16"/>
          <w:color w:val="auto"/>
        </w:rPr>
        <w:t>worsening of current global economic conditions could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exchange rates could have an adverse effect on our results of operations.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69"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is limited by United States regulatory constraints which may adversely impact our operations.</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MVPDs, our business could be affected.</w:t>
      </w:r>
    </w:p>
    <w:p>
      <w:pPr>
        <w:spacing w:after="0" w:line="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regulation of cable television services,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businesses are subject to risks of adverse regulation by foreign governments.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Programming businesses are subject to the regulations of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8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Existing or proposed legislation and regulations could also significantly affect our business. For example, the E.U. adopted GDPR, which expands the regulation of personal data processing throughout the E.U. and significantly increases penalties for non-compliance. Complying with these laws and regulations could be costly, require us to change our business practices, or limit or restrict aspects of our business in a manner adverse to our business operations. In particular, data privacy laws may require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Our failure to comply with these law and regulations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could result in exposure to enforcement actions by foreign governments, as well as significant negative publicity and reputational damage.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 changes in rules and regulations could have a significant adverse impact on our profitability.</w:t>
      </w:r>
    </w:p>
    <w:p>
      <w:pPr>
        <w:spacing w:after="0" w:line="11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We face continually evolving cybersecurity risks, which could result in the disclosure, theft or destruction of confidential information, disruption of our programming, damage to our brands and reputation, legal exposure and financial losses.</w:t>
      </w:r>
    </w:p>
    <w:p>
      <w:pPr>
        <w:spacing w:after="0" w:line="62"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We maintain information, including confidential and proprietary information regarding our content, distributors, advertisers, viewers and employees, in digital form as necessary to conduct our business. We also rely on third-party vendors to provide certain services in connection with the storage, processing and transmission of digital information. Data maintained in digital form is subject to the risk of cybersecurity attacks,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Remote work arrangements, such as those implemented in response to the COVID-19 pandemic, may increase the risk of cyber incidents, including data breaches. Additionally, outside parties may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71"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b w:val="1"/>
          <w:bCs w:val="1"/>
          <w:i w:val="1"/>
          <w:iCs w:val="1"/>
          <w:color w:val="auto"/>
        </w:rPr>
        <w:t>We rely upon cloud computing services to operate certain aspects of our business and any disruption of or interference with our use of these services would impact our operations and our business would be adversely impacted.</w:t>
      </w:r>
    </w:p>
    <w:p>
      <w:pPr>
        <w:spacing w:after="0" w:line="49"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Cloud computing services provide a distributed computing infrastructure platform for business operations (for example Amazon Web Services or AWS). We have architected our software and computer systems so as to utilize data processing, storage capabilities and other services provided by AWS or other third party provides. Currently, we run the vast majority of our computing on AWS. Given this, along with the fact that we cannot easily switch our AWS operations to another cloud provider, any disruption of or interference with our use of AWS would impact our operations and our business would be adversely impacted.</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If our technology facilities fail or their operations are disrupted, or if we lose access to third party satellites, our performance could be hindered.</w:t>
      </w:r>
    </w:p>
    <w:p>
      <w:pPr>
        <w:spacing w:after="0" w:line="1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which is capable of providing simultaneous playout of AMC, BBCA, SundanceTV, IFC and WEtv in the event of a disruption of operations at our main facility in Bethpage, NY. In the event of a catastrophic failure of the Bethpage facility, the disaster recovery site can be operational on the satellite within one to two hours.</w:t>
      </w:r>
    </w:p>
    <w:p>
      <w:pPr>
        <w:spacing w:after="0" w:line="8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 Further, there are a limited number of communications satellites available for the transmission of programming, and, in the event of a disruption, we may not be able to secure an alternate distribution source in a timely manner.</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b w:val="1"/>
          <w:bCs w:val="1"/>
          <w:i w:val="1"/>
          <w:iCs w:val="1"/>
          <w:color w:val="auto"/>
        </w:rPr>
        <w:t>The loss of any of our key personnel and artistic talent could adversely affect our business.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 party production service companies, we engage the services of writers, directors, actors and various crew members who are subject to certain specially negotiated collective bargaining agreements. Any labor disputes or a strike by one or more unions representing any of these parties who are essential to our original programming could have a material adverse effect on our original programming, disrupt our operations and reduce our revenues. The loss of any significant personnel or artistic talent, or our artistic talent losing their audience base, could also have a material adverse effect on our business.</w:t>
      </w:r>
    </w:p>
    <w:p>
      <w:pPr>
        <w:spacing w:after="0" w:line="70"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 coronavirus, or COVID-19, pandemic has significantly impacted worldwide economic conditions and could have a material adverse effect on our operations and business.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2020, the rapid spread of the COVID-19 pandemic and the continuously evolving responses to combat it have had a negative impact on the global economy. Many of those impacts continued in 2021 despite the availability of vaccines as new variants of COVID-19, including the Delta and Omicron variants, have continued to impact the global economy.</w:t>
      </w:r>
    </w:p>
    <w:p>
      <w:pPr>
        <w:spacing w:after="0" w:line="6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6"/>
          <w:szCs w:val="16"/>
          <w:color w:val="auto"/>
        </w:rPr>
        <w:t>The impact of COVID-19 and measures to prevent its spread have affected and may, in the future, affect our businesses in a number of ways. Beginning in mid-March 2020, we experienced adverse advertising sales impacts and suspended content production, which led to delays in the creation and availability of substantially all of our programming. Although we have recommenced production activities, we cannot guarantee that we will not have to suspend them in the future, temporarily or over a longer term, as a result of the pandemic. In addition, substantially all Company employees continue to work remotely, and the Company continues to restrict business travel. If significant portions of our workforce, including key personnel, are unable to work effectively because of illness, government actions or other restrictions in connection with the COVID-19 pandemic, the impact of the pandemic on our businesses could be exacerbated. In addition, remote work arrangements heighten the operational risks, including cybersecurity risks, to which we are subject. Lack of widespread public acceptance of vaccines has led to the continued spread of COVID-19 variants which has perpetuated the adverse effects of COVID-19 on economic conditions into 2022. Further, even if vaccines become widely used, there can be no assurance that vaccines will ultimately be successful in limiting or stopping the spread of new COVID-19 variants or mitigating the impact of COVID-19 on economic conditions.</w:t>
      </w:r>
    </w:p>
    <w:p>
      <w:pPr>
        <w:spacing w:after="0" w:line="58"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7"/>
          <w:szCs w:val="17"/>
          <w:color w:val="auto"/>
        </w:rPr>
        <w:t>The Company has evaluated and continues to evaluate the potential impact of the COVID-19 pandemic on its consolidated financial statements, including the impairment of goodwill (see Note 9) and indefinite-lived intangible assets and the fair value and collectability of receivables. The COVID-19 pandemic has had a negative impact on the Company's operations since mid-March 2020.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against new variants of COVID-19, and global economic conditions. The Company does not expect the COVID-19 pandemic and its related economic impact to affect its liquidity position or its ongoing ability to meet the covenants in its debt instruments.</w:t>
      </w:r>
    </w:p>
    <w:p>
      <w:pPr>
        <w:spacing w:after="0" w:line="83"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In addition to the risks described above, to the extent that COVID-19 adversely affects our operations and financial condition, it may also heighten other risks described in this section.</w:t>
      </w:r>
    </w:p>
    <w:p>
      <w:pPr>
        <w:spacing w:after="0" w:line="198"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5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acquired companies into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additional operating losses and operating expenses of the businesses we acquired or in which we invested;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integrating acquired technology and rights into our services and unanticipated expenses related to such integration;</w:t>
      </w:r>
    </w:p>
    <w:p>
      <w:pPr>
        <w:spacing w:after="0" w:line="6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successfully further develop an acquired business or technology and any resulting impairment of amounts currently capitalized as intangible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strategic investments to perform as expected or to meet financial projections;</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patent and trademark infringement and data privacy and security claims against the acquired companies, or companies in which we have invested;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or other claims in connection with acquisitions, acquired companies, or companies in which we have invested;</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impairment of relationships with, or failure to retain, employees of acquired companies or our existing employees as a result of integration of new personnel;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integrating operations, systems, and controls as a result of cultural, regulatory, systems, and operational differences;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management of companies in which we invest but do not control;</w:t>
      </w:r>
    </w:p>
    <w:p>
      <w:pPr>
        <w:spacing w:after="0" w:line="6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foreign acquisitions and investments, the impact of particular economic, tax, currency, political, legal and regulatory risks associated with specific countries;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exposure to additional tax liabilities.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6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Although a portion of our revenue and operating income is generated outside the United States, we are subject to potential current U.S. income tax on this income due to our being a U.S. corporation, resulting in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which generally equals certain foreign earnings in excess of 10 percent of the foreign subsidiaries’ tangible business assets. 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expenses. Also, various income tax proposals in the countries in which we operate, such as those relating to fundamental U.S. international tax reform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5"/>
          <w:szCs w:val="15"/>
          <w:b w:val="1"/>
          <w:bCs w:val="1"/>
          <w:i w:val="1"/>
          <w:iCs w:val="1"/>
          <w:color w:val="auto"/>
        </w:rPr>
        <w:t>A significant amount of our book value consists of intangible assets that may not generate cash in the event of a voluntary or involuntary sale.</w:t>
      </w:r>
    </w:p>
    <w:p>
      <w:pPr>
        <w:spacing w:after="0" w:line="1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At December 31, 2021, our consolidated financial statements included approximately $5.7 billion of consolidated total assets, of which approximately $1.1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substantial long-term debt and high leverage could adversely affect our business.</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a significant amount of long-term debt. As of December 31, 2021, we had $2.9 billion principal amount of total long-term debt (excluding finance leases), $675.0 million of which is senior secured debt under our Credit Facility and $2.2 billion of which is senior unsecured debt.</w:t>
      </w:r>
    </w:p>
    <w:p>
      <w:pPr>
        <w:spacing w:after="0" w:line="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make payments on, or repay or refinance, our debt, and to fund planned distributions and capital expenditures, will depend largely upon our future operating performance. Our future performance, to a certain extent, is subject to general economic, financial, competitive, regulatory and other factors that are beyond our control. In addition, our ability to borrow funds in the future to make payments on our debt will depend on the satisfaction of the covenants in the Credit Facility and our other debt agreements, including the indentures governing our notes and other agreements we may enter into in the future.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long-term, we do not expect to generate sufficient cash from operations to repay at maturity our outstanding debt obligations. As a result, we will be dependent upon our ability to access the capital and credit markets. Failure to raise significant amounts of funding to repay these obligations at maturity could adversely affect our business. If we are unable to raise such amounts, we would need to take other actions including selling assets, seeking strategic investments from third parties or reducing other discretionary uses of cash. The Credit Facility and indentures governing our notes restrict, and market or business conditions may limit, our ability to do some of these things.</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 significant portion of our debt bears interest at variable rates. While we have entered into hedging agreements limiting our exposure to higher interest rates, such agreements do not offer complete protection from this risk.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agreements governing our debt contain various covenants that impose restrictions on us that may affect our ability to operate our business.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agreements governing the Credit Facility and the indentures governing our notes contain covenants that, among other things, limit our ability to:</w:t>
      </w:r>
    </w:p>
    <w:p>
      <w:pPr>
        <w:spacing w:after="0" w:line="8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specified types of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Credit Facility requires us to comply with a Cash Flow Ratio and an Interest Coverage Ratio, each as defined in the Credit Facility. Compliance with these covenants may limit our ability to take actions that might be to our advantage or to the advantage of our stockholders.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and maintain these financial ratios. Failure to comply with any of the covenants in our existing or future financing agreements could result in a default under those agreements and under other agreements containing cross-default provisions. A default would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5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borrowings under the Credit Facility, and obtain the ability to incur more debt as a result. If new debt is added to our current debt levels, the related risks we could face would be magnified.</w:t>
      </w:r>
    </w:p>
    <w:p>
      <w:pPr>
        <w:spacing w:after="0" w:line="7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increase our future debt issuance costs and reduce our access to capital.</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debt ratings for our notes are below the "investment grade" category, which results in higher interest costs as well as a reduced pool of potential purchasers of our debt as some investors will not purchase debt securities that are not rated "investment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debt issuance costs and reduce our access to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Controlled Ownership</w:t>
      </w:r>
    </w:p>
    <w:p>
      <w:pPr>
        <w:spacing w:after="0" w:line="121" w:lineRule="exact"/>
        <w:rPr>
          <w:sz w:val="20"/>
          <w:szCs w:val="20"/>
          <w:color w:val="auto"/>
        </w:rPr>
      </w:pPr>
    </w:p>
    <w:p>
      <w:pPr>
        <w:ind w:left="420" w:right="80"/>
        <w:spacing w:after="0" w:line="375" w:lineRule="auto"/>
        <w:rPr>
          <w:sz w:val="20"/>
          <w:szCs w:val="20"/>
          <w:color w:val="auto"/>
        </w:rPr>
      </w:pPr>
      <w:r>
        <w:rPr>
          <w:rFonts w:ascii="Arial" w:cs="Arial" w:eastAsia="Arial" w:hAnsi="Arial"/>
          <w:sz w:val="15"/>
          <w:szCs w:val="15"/>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classes of common stock:</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 A Common Stock, which is entitled to one vote per share and is entitled collectively to elect 25% of our Board of Directors.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 B Common Stock, which is generally entitled to ten votes per share and is entitled collectively to elect the remaining 75% of our Board of Directors.</w:t>
      </w:r>
    </w:p>
    <w:p>
      <w:pPr>
        <w:spacing w:after="0" w:line="6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As of December 31, 2021, the Dolan family, including trusts for the benefit of members of the Dolan family (collectively "the Dolan Family Group"), own all of our Class B Common Stock, approximately 3% of our outstanding Class A Common Stock and approximately 79% of the total voting power of all our outstanding common stock. The members of the Dolan Family Group have executed a voting agreement (the "Stockholders Agreement") that has the effect of causing the voting power of the holders of our Class B Common Stock to be cast as provided therein with respect to all matters to be voted on by holders of Class B Common Stock. Under the Stockholders Agreement, the shares of Class B Common Stock owned by members of the Dolan Family Group are to be voted on all matters 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would be able to do so without obtaining the consent of the Dolan Family Group.</w:t>
      </w:r>
    </w:p>
    <w:p>
      <w:pPr>
        <w:spacing w:after="0" w:line="7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right="20" w:firstLine="445"/>
        <w:spacing w:after="0" w:line="277" w:lineRule="auto"/>
        <w:rPr>
          <w:sz w:val="20"/>
          <w:szCs w:val="20"/>
          <w:color w:val="auto"/>
        </w:rPr>
      </w:pPr>
      <w:r>
        <w:rPr>
          <w:rFonts w:ascii="Arial" w:cs="Arial" w:eastAsia="Arial" w:hAnsi="Arial"/>
          <w:sz w:val="18"/>
          <w:szCs w:val="18"/>
          <w:color w:val="auto"/>
        </w:rPr>
        <w:t>In addition, the affirmative vote or consent of the holders of at least 66 2/3% of the outstanding shares of the Class B Common Stock, voting separately as a class, is required to approve:</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authorization or issuance of any additional shares of Class B Common Stock, and</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amendment, alteration or repeal of any of the provisions of our certificate of incorporation that adversely affects the powers, preferences or rights of the Class B Common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Dolan Family Group has the power to prevent such issuance or amendment.</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63"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for the purposes of The NASDAQ Stock Market LLC ("NASDAQ"), which allows us not to comply with certain of the corporate governance rules of NASDAQ.</w:t>
      </w:r>
    </w:p>
    <w:p>
      <w:pPr>
        <w:spacing w:after="0" w:line="6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8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Future stock sales, including as a result of the exercise of registration rights by certain of our shareholders, could adversely affect the trading price of our Class A Common Stock.</w:t>
      </w:r>
    </w:p>
    <w:p>
      <w:pPr>
        <w:spacing w:after="0" w:line="6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parties have registration rights covering a portion of our shares. We have entered into registration rights agreements with Charles F. Dolan, members of his family, certain Dolan family interests and the Dolan Family Foundation that provide them with "demand" and "piggyback" registration rights with respect to approximately 12.3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84"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share certain executives and directors with Madison Square Garden Sports Corp. ("MSGS") and Madison Square Garden Entertainment Corp. ("MSGE"), which may give rise to conflicts.</w:t>
      </w:r>
    </w:p>
    <w:p>
      <w:pPr>
        <w:spacing w:after="0" w:line="49" w:lineRule="exact"/>
        <w:rPr>
          <w:sz w:val="20"/>
          <w:szCs w:val="20"/>
          <w:color w:val="auto"/>
        </w:rPr>
      </w:pPr>
    </w:p>
    <w:p>
      <w:pPr>
        <w:jc w:val="both"/>
        <w:ind w:firstLine="445"/>
        <w:spacing w:after="0" w:line="235" w:lineRule="auto"/>
        <w:rPr>
          <w:sz w:val="20"/>
          <w:szCs w:val="20"/>
          <w:color w:val="auto"/>
        </w:rPr>
      </w:pPr>
      <w:r>
        <w:rPr>
          <w:rFonts w:ascii="Arial" w:cs="Arial" w:eastAsia="Arial" w:hAnsi="Arial"/>
          <w:sz w:val="17"/>
          <w:szCs w:val="17"/>
          <w:color w:val="auto"/>
        </w:rPr>
        <w:t>One of our executives, Gregg G. Seibert, serves as a Vice Chairman of the Company and as a Vice Chairman of MSGS and MSGE (each, an "Other Entity" and, collectively the "Other Entities"). Each of the Other Entities and the Company are affiliates by virtue of being under common control of the Dolan family. As a result, he will not be devoting his full time and attention to the Company's affairs. Five members of our Board of Directors, including our Chairman, are directors of MSGS and six members of our Board of Directors, including our Chairman, are directors of MSGE. These directors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proxy statement filed with the SEC on April 30, 2021 for a description of our related party transaction approval policy that we have adopted to help address such potential conflicts that may arise.</w:t>
      </w:r>
    </w:p>
    <w:p>
      <w:pPr>
        <w:spacing w:after="0" w:line="90"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amended and restated certificate of incorporation acknowledges that directors and officers of the Company may also be serving as directors, officers, employees, consultants or agents of MSGS, MSGE, and its subsidiaries and that we may engage in material business transactions with such entities (the applicable provisions of the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incorporation, the "Overlap Provisions").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amended and restated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lease approximately 578,000 square feet of space in the United States, including approximately 326,000 square feet of office space that we lease at 11 Penn Plaza, New York, NY 10001, under lease arrangements with remaining terms through 2027. We use this space as our corporate headquarters and as the principal business location of our Company. We also lease approximately 67,000 square-feet of space for our broadcasting and technology center in Bethpage, New York under a lease arrangement with a term through 2029, from which AMC Networks Broadcasting &amp; Technology conducts its operations. In addition, we lease other properties in New York, California, Florida, Maryland and Illinois.</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lease approximately 181,000 square feet of space outside of the U.S., including in Spain, Hungary and the United Kingdom that support our international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properties are adequate for our 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17, 2013, Frank Darabont ("Darabont"), Ferenc, Inc., Darkwoods Productions, Inc., and Creative Artists Agency, LLC (together, the "Plaintiffs"), filed a complaint in New York Supreme Court in connection with Darabont's rendering services as a writer, director and producer of the television series entitled The Walking Dead and the agreement between the parties related thereto. Plaintiffs asserted claims for breach of contract, breach of the covenant of good faith and fair dealing, for an accounting and for declaratory relief.</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18, 2018, Plaintiffs filed a second action in New York Supreme Court in connection with Darabont’s services on The Walking Dead television series and agreements between the parties related thereto. Plaintiffs asserted claims for breach of contract, breach of the covenant of good faith and fair dealing, and declaratory relief. The two actions were consolidated for a joint trial, which was scheduled to begin on April 4, 2022.</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July 16, 2021, the parties entered into a settlement agreement (the “Settlement Agreement”) to resolve the consolidated actions. The Settlement Agreement provides for a cash payment of $200 million (the “Settlement Payment”) to Plaintiffs and future revenue sharing related to certain future streaming exhibition of The Walking Dead and Fear The Walking Dead. With regard to the Settlement Payment, the Company recorded charge of approximately $143 million in the quarter ended June 30, 2021 in consideration for the extinguishment of Plaintiffs’ rights to any compensation in connection with The Walking Dead and any related programs and the dismissal of the actions with prejudice, which amount is net of approximately $57 million of ordinary course accrued participations. The Settlement Agreement also includes customary provisions included in such agreements, including providing for mutual releases, covenants not to sue, waivers, confidentiality, non-disparagement and indemnification for third party claims. On July 21, 2021, the Plaintiffs filed a stipulation to discontinue the consolidated actions, with prejudice.</w:t>
      </w:r>
    </w:p>
    <w:p>
      <w:pPr>
        <w:spacing w:after="0" w:line="7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The Walking Dead, as well as Fear the Walking Dead and/or Talking Dead, and the agreements between the parties related thereto (the "California Walking Dead Litigation"). The California Plaintiffs asserted that the Company had been improperly underpaying the California Plaintiffs under their contracts with the Company and they asserted claims for breach of contract, breach of the covenant of good faith and fair dealing, inducing breach of contract, and liability for violation of Cal. Bus. &amp; Prof. Code § 17200. The California Plaintiffs sought compensatory and punitive damages and restitution. On August 8, 2019, the judge in the California Walking Dead Litigation ordered a trial to resolve certain issues of contract interpretation only. Following eight days of trial in February and March 2020, on July 22, 2020, the judge issued a Statement of Decision finding 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jc w:val="both"/>
        <w:spacing w:after="0" w:line="269" w:lineRule="auto"/>
        <w:rPr>
          <w:sz w:val="20"/>
          <w:szCs w:val="20"/>
          <w:color w:val="auto"/>
        </w:rPr>
      </w:pPr>
      <w:r>
        <w:rPr>
          <w:rFonts w:ascii="Arial" w:cs="Arial" w:eastAsia="Arial" w:hAnsi="Arial"/>
          <w:sz w:val="17"/>
          <w:szCs w:val="17"/>
          <w:color w:val="auto"/>
        </w:rPr>
        <w:t>the Company's favor on all seven matters of contract interpretation before the court in this first phase trial. On January 20, 2021, the California Plaintiffs filed a second amended complaint, eliminating eight named defendants and their claims under Cal. Bus. &amp; Prof. Code § 17200. On May 5, 2021, the California Plaintiffs filed a third amended complaint, repleading in part their claims for alleged breach of the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A May 2, 2022 trial date has been set with regard to claims not addressed in the first phase trial. The parties have resumed discovery in preparation for the May 2, 2022 trial. On January 12, 2022, the Company filed a motion for summary adjudication of many of the remaining claims. A hearing on the motion is scheduled for April 1, 2022. The Company believes that the remaining asserted claims are without merit and will vigorously defend against them. At this time, no determination can be made as to the ultimate outcome of this litigation or the potential liability, if any, on the part of the Company.</w:t>
      </w:r>
    </w:p>
    <w:p>
      <w:pPr>
        <w:spacing w:after="0" w:line="7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536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Class A Common Stock is listed on NASDAQ under the symbol "AMCX." Our Class B Common Stock is not listed on any exchange. Our Class A Common Stock began trading on NASDAQ on July 1, 2011.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Performance Graph</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following graph compares the performance of the Company's Class A Common Stock with the performance of the S&amp;P Mid-Cap 400 Index and a peer group (the "Peer Group Index") by measuring the changes in our Class A Common Stock prices from December 31, 2016 through December 31, 2021.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Discovery Inc., the Walt Disney Company, Fox Corporation (included from March 19, 2019, when trading began), Lions Gate Entertainment Corporation, and ViacomCBS Inc. The chart assumes $100 was invested on December 31, 2016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210185</wp:posOffset>
            </wp:positionV>
            <wp:extent cx="5623560" cy="3197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235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INDEXED RETURNS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Period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 Name / Index</w:t>
            </w:r>
          </w:p>
        </w:tc>
        <w:tc>
          <w:tcPr>
            <w:tcW w:w="1260" w:type="dxa"/>
            <w:vAlign w:val="bottom"/>
            <w:gridSpan w:val="2"/>
          </w:tcPr>
          <w:p>
            <w:pPr>
              <w:ind w:left="220"/>
              <w:spacing w:after="0" w:line="144" w:lineRule="exact"/>
              <w:rPr>
                <w:sz w:val="20"/>
                <w:szCs w:val="20"/>
                <w:color w:val="auto"/>
              </w:rPr>
            </w:pPr>
            <w:r>
              <w:rPr>
                <w:rFonts w:ascii="Arial" w:cs="Arial" w:eastAsia="Arial" w:hAnsi="Arial"/>
                <w:sz w:val="14"/>
                <w:szCs w:val="14"/>
                <w:b w:val="1"/>
                <w:bCs w:val="1"/>
                <w:color w:val="auto"/>
              </w:rPr>
              <w:t>Base Period</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12/31/17</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12/31/18</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12/31/19</w:t>
            </w: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12/31/20</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12/31/21</w:t>
            </w:r>
          </w:p>
        </w:tc>
        <w:tc>
          <w:tcPr>
            <w:tcW w:w="0" w:type="dxa"/>
            <w:vAlign w:val="bottom"/>
          </w:tcPr>
          <w:p>
            <w:pPr>
              <w:spacing w:after="0"/>
              <w:rPr>
                <w:sz w:val="1"/>
                <w:szCs w:val="1"/>
                <w:color w:val="auto"/>
              </w:rPr>
            </w:pPr>
          </w:p>
        </w:tc>
      </w:tr>
      <w:tr>
        <w:trPr>
          <w:trHeight w:val="188"/>
        </w:trPr>
        <w:tc>
          <w:tcPr>
            <w:tcW w:w="370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12/31/16</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AMC Networks Inc.</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103.32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104.85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75.47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68.34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65.80</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S&amp;P MidCap 400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116.24</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103.36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130.44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148.26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184.97</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101.79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126.36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129.30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34" w:name="page35"/>
    <w:bookmarkEnd w:id="34"/>
    <w:p>
      <w:pPr>
        <w:ind w:left="460" w:right="380"/>
        <w:spacing w:after="0" w:line="375" w:lineRule="auto"/>
        <w:rPr>
          <w:sz w:val="20"/>
          <w:szCs w:val="20"/>
          <w:color w:val="auto"/>
        </w:rPr>
      </w:pPr>
      <w:r>
        <w:rPr>
          <w:rFonts w:ascii="Arial" w:cs="Arial" w:eastAsia="Arial" w:hAnsi="Arial"/>
          <w:sz w:val="18"/>
          <w:szCs w:val="18"/>
          <w:color w:val="auto"/>
        </w:rPr>
        <w:t xml:space="preserve">As of February 9, 2022 there were 570 holders of record of our Class A Common Stock and 34 holders of record of our Class B Common Stock. </w:t>
      </w:r>
      <w:r>
        <w:rPr>
          <w:rFonts w:ascii="Arial" w:cs="Arial" w:eastAsia="Arial" w:hAnsi="Arial"/>
          <w:sz w:val="18"/>
          <w:szCs w:val="18"/>
          <w:u w:val="single" w:color="auto"/>
          <w:color w:val="auto"/>
        </w:rPr>
        <w:t>Stock Repurchase Program</w:t>
      </w:r>
    </w:p>
    <w:p>
      <w:pPr>
        <w:spacing w:after="0" w:line="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Company's Board of Directors has authorized a program to repurchase up to $1.5 billion of the Company's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 The Company did not repurchase any shares of its Class A common stock during the year ended December 31, 2021. As of December 31, 2021, the Company has $135.3 million available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8"/>
          <w:szCs w:val="18"/>
          <w:color w:val="auto"/>
        </w:rPr>
        <w:t>. 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This section provides an analysis of our results of operations for the years ended December 31, 2021,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Our discussion is presented on both a consolidated and segment basis. Our two segments are: (i) Domestic Operations and (ii) International and Other.</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provides a discussion of our financial condition as of December 31, 2021 as well as an analysis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for the years ended December 31, 2021, 2020 and 2019. The discussion of our financial condition and liquidity also includes a summary of our primary sources of liquidity.</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 discussion of our accounting policies considered to be important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financial condition and results of operations, and which require significant judgment and estimates on the part of management in their application.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gridSpan w:val="3"/>
          </w:tcPr>
          <w:p>
            <w:pPr>
              <w:ind w:left="1140"/>
              <w:spacing w:after="0"/>
              <w:rPr>
                <w:sz w:val="20"/>
                <w:szCs w:val="20"/>
                <w:color w:val="auto"/>
              </w:rPr>
            </w:pPr>
            <w:r>
              <w:rPr>
                <w:rFonts w:ascii="Arial" w:cs="Arial" w:eastAsia="Arial" w:hAnsi="Arial"/>
                <w:sz w:val="16"/>
                <w:szCs w:val="16"/>
                <w:b w:val="1"/>
                <w:bCs w:val="1"/>
                <w:color w:val="auto"/>
                <w:w w:val="85"/>
              </w:rPr>
              <w:t>Change</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6"/>
                <w:szCs w:val="16"/>
                <w:i w:val="1"/>
                <w:iCs w:val="1"/>
                <w:color w:val="auto"/>
              </w:rPr>
              <w:t>Dollars in thousands, except per share amounts</w:t>
            </w:r>
          </w:p>
        </w:tc>
        <w:tc>
          <w:tcPr>
            <w:tcW w:w="260" w:type="dxa"/>
            <w:vAlign w:val="bottom"/>
          </w:tcPr>
          <w:p>
            <w:pPr>
              <w:spacing w:after="0"/>
              <w:rPr>
                <w:sz w:val="24"/>
                <w:szCs w:val="24"/>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660" w:type="dxa"/>
            <w:vAlign w:val="bottom"/>
            <w:gridSpan w:val="3"/>
          </w:tcPr>
          <w:p>
            <w:pPr>
              <w:ind w:left="200"/>
              <w:spacing w:after="0"/>
              <w:rPr>
                <w:sz w:val="20"/>
                <w:szCs w:val="20"/>
                <w:color w:val="auto"/>
              </w:rPr>
            </w:pPr>
            <w:r>
              <w:rPr>
                <w:rFonts w:ascii="Arial" w:cs="Arial" w:eastAsia="Arial" w:hAnsi="Arial"/>
                <w:sz w:val="16"/>
                <w:szCs w:val="16"/>
                <w:b w:val="1"/>
                <w:bCs w:val="1"/>
                <w:color w:val="auto"/>
              </w:rPr>
              <w:t>2021 vs. 2020</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2020 vs. 2019</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CCEEFF"/>
            </w:tcBorders>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2,580,616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2,381,401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2,563,250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3,077,608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2,814,956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3,060,321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44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(109,365)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(83,948)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489,922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442,644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625,277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40" w:type="dxa"/>
            <w:vAlign w:val="bottom"/>
            <w:gridSpan w:val="4"/>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 xml:space="preserve">Adjusted Operating Income (Loss) </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Domestic Operations</w:t>
            </w:r>
          </w:p>
        </w:tc>
        <w:tc>
          <w:tcPr>
            <w:tcW w:w="17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845,441</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827,954</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986,331</w:t>
            </w:r>
          </w:p>
        </w:tc>
        <w:tc>
          <w:tcPr>
            <w:tcW w:w="14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943,990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firstLine="8"/>
        <w:spacing w:after="0" w:line="273" w:lineRule="auto"/>
        <w:tabs>
          <w:tab w:leader="none" w:pos="209"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Operating Income (Loss), is a non-GAAP financial measures. See the "Non-GAAP Financial Measures" section on page 47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Segment Reporting Changes</w:t>
      </w:r>
    </w:p>
    <w:p>
      <w:pPr>
        <w:spacing w:after="0" w:line="1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we changed our presentation of operating segments, reflecting a reorganized operating structure focused on a multi-platform distribution approach to content monetization. Our streaming services and IFC Films, previously included in the International and Other segment, are now included within Domestic Operations (formerly referred to as the National Networks segment). In addition, certain corporate overhead costs are no longer allocated to the operating segments. Operating segment information for the prior years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93" w:lineRule="auto"/>
        <w:tabs>
          <w:tab w:leader="none" w:pos="655"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Domestic Operations: </w:t>
      </w:r>
      <w:r>
        <w:rPr>
          <w:rFonts w:ascii="Arial" w:cs="Arial" w:eastAsia="Arial" w:hAnsi="Arial"/>
          <w:sz w:val="16"/>
          <w:szCs w:val="16"/>
          <w:color w:val="auto"/>
        </w:rPr>
        <w:t>Includes our programming services and AMC Broadcasting &amp; Technology. Our programming services consist of our five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programming networks, our streaming services, our AMC Studios operation and IFC Films. Our national programming networks are AMC, WE tv, BBC AMERICA, IFC, and SundanceTV. Our streaming services consist of our targeted subscription streaming services (Acorn TV, Shudder, Sundance Now, ALLBLK, and HIDIVE), AMC+ and other streaming initiatives. Our AMC Studios operation produces original programming for our programming services and also licenses such programming worldwide, and IFC Films is our film distribution business. AMC Networks Broadcasting &amp; Technology, our technical services business, primarily services most of the national programming networks.</w:t>
      </w:r>
    </w:p>
    <w:p>
      <w:pPr>
        <w:spacing w:after="0" w:line="56" w:lineRule="exact"/>
        <w:rPr>
          <w:rFonts w:ascii="Arial" w:cs="Arial" w:eastAsia="Arial" w:hAnsi="Arial"/>
          <w:sz w:val="16"/>
          <w:szCs w:val="16"/>
          <w:i w:val="1"/>
          <w:iCs w:val="1"/>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to the consolidated financial statements for additional information relating to the spin-off of the Levity comedy venues business.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our Domestic Operations segment, we earn revenue principally from: (i) the distribution of our programming through our programming services,</w:t>
      </w:r>
    </w:p>
    <w:p>
      <w:pPr>
        <w:spacing w:after="0" w:line="46" w:lineRule="exact"/>
        <w:rPr>
          <w:sz w:val="20"/>
          <w:szCs w:val="20"/>
          <w:color w:val="auto"/>
        </w:rPr>
      </w:pPr>
    </w:p>
    <w:p>
      <w:pPr>
        <w:jc w:val="both"/>
        <w:ind w:firstLine="8"/>
        <w:spacing w:after="0" w:line="268" w:lineRule="auto"/>
        <w:tabs>
          <w:tab w:leader="none" w:pos="2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sale of advertising, and (iii) the licensing of our original programming to distributors, including the distribution of programming of IFC Films. Distribution revenue primarily includes subscription fees paid by distributors to carry our programming services, and content licensing revenue from the licensing of original programming for digital, foreign and home video distribution.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paid on a monthly basis. Content licensing revenue from the licensing of original programming for digital and foreign distribution is recognized upon availability or distribution by the licensee.</w:t>
      </w:r>
    </w:p>
    <w:p>
      <w:pPr>
        <w:spacing w:after="0" w:line="73"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upon the popularity of our programming as measured by Nielsen. Our national programming networks have advertisers representing companies in a broad range of sectors, including the automotive, restaurants/food, health, and telecommunications industries.</w:t>
      </w:r>
    </w:p>
    <w:p>
      <w:pPr>
        <w:spacing w:after="0" w:line="5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Changes in revenue are primarily derived from changes in the contractual subscription rates charged for our services; the number of subscribers; the prices and number of advertising spots on our networks; and the availability, amount and timing of licensing fees earned from the distribution of our original programming. Our revenues may increase over time through contractual rate increases stipulated in our affiliation agreements. In negotiating for additional subscribers or extended carriage, we have agreed, in some instances, to make upfront payments to a distributor which we record as deferred carriage fees and are amortized as a reduction to revenue over the period of the related affiliation agreement. We also may help fund the distributors' efforts to market our networks. We believe that these transactions generate a positive return on investment over the contract period. We seek to increase our advertising revenues by increasing the rates we charge for such advertising, which is directly related to the overall distribution of our programming, penetration of our services on various digital platforms such as Advertising Video-on-Demand ("AVOD") services and the popularity (including within desirable demographic groups) of our services as measured by Nielsen.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jc w:val="both"/>
        <w:ind w:firstLine="445"/>
        <w:spacing w:after="0" w:line="272"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 Content licensing revenues in each quarter may vary based on the timing of availability of our programming to distributors.</w:t>
      </w:r>
    </w:p>
    <w:p>
      <w:pPr>
        <w:spacing w:after="0" w:line="6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expenses, included in technical and operating expenses, represent the largest expense of the Domestic Operations segment and primarily consists of amortization and write-offs of programming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success of our business depends on original programming, both scripted and unscripted, across all of our programming services. These original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services.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program rights that are monetized individually are amortized based on the individual-film-forecast-computation method, while program rights that are monetized as a group are amortized based on projected usage, typically resulting in an accelerated amortization pattern.</w:t>
      </w:r>
    </w:p>
    <w:p>
      <w:pPr>
        <w:spacing w:after="0" w:line="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expenses. Program rights write-offs of $11.1 million, $97.5 million and $38.6 million were recorded for the years ended December 31, 2021, 2020 and 2019, respectively (see further discussion below).</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"Critical Accounting Policies and Estimates" for a discussion of the amortization and write-off of program rights.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International and Other segment primarily includes the operations of AMCNI and 25/7 Media (formerly Levity).</w:t>
      </w:r>
    </w:p>
    <w:p>
      <w:pPr>
        <w:spacing w:after="0" w:line="11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year ended December 31, 2021, distribution revenues represented 79% of the revenues of the International and Other segment. Distribution revenue primarily includes subscription fees paid by distributors or consumers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5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consists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expenses.</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Similar to our Domestic Operations businesses, the most significant business challenges we expect to encounter in our International and Other businesses include programming competition (from both foreign and domestic programmers), limited channel capacity on distributors' platforms, the number of subscribers on those platforms and economic pressures 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spacing w:after="0" w:line="301" w:lineRule="auto"/>
        <w:rPr>
          <w:sz w:val="20"/>
          <w:szCs w:val="20"/>
          <w:color w:val="auto"/>
        </w:rPr>
      </w:pPr>
      <w:r>
        <w:rPr>
          <w:rFonts w:ascii="Arial" w:cs="Arial" w:eastAsia="Arial" w:hAnsi="Arial"/>
          <w:sz w:val="16"/>
          <w:szCs w:val="16"/>
          <w:color w:val="auto"/>
        </w:rPr>
        <w:t>subscription fees. Other significant business challenges unique to our international operations include increased programming costs for international rights and translation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acceptance,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Capital and credit market disruptions, as well as other events such as the COVID-19 pandemic, inflation, international conflict and recession, could cause economic downturns, which may lead to lower demand for our products, such as lower demand for television advertising and a decrease in the number of subscribers receiving our programming services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an interest, which may be significant, in such entity. The noncontrolling owner's interest in the operating results of consolidated subsidiaries are reflected in net (income) loss attributable to noncontrolling interests in our consolidated statements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60" w:type="dxa"/>
            <w:vAlign w:val="bottom"/>
            <w:gridSpan w:val="3"/>
          </w:tcPr>
          <w:p>
            <w:pPr>
              <w:ind w:left="260"/>
              <w:spacing w:after="0"/>
              <w:rPr>
                <w:sz w:val="20"/>
                <w:szCs w:val="20"/>
                <w:color w:val="auto"/>
              </w:rPr>
            </w:pPr>
            <w:r>
              <w:rPr>
                <w:rFonts w:ascii="Arial" w:cs="Arial" w:eastAsia="Arial" w:hAnsi="Arial"/>
                <w:sz w:val="14"/>
                <w:szCs w:val="14"/>
                <w:b w:val="1"/>
                <w:bCs w:val="1"/>
                <w:color w:val="auto"/>
              </w:rPr>
              <w:t>2021 vs. 2020</w:t>
            </w:r>
          </w:p>
        </w:tc>
        <w:tc>
          <w:tcPr>
            <w:tcW w:w="1120" w:type="dxa"/>
            <w:vAlign w:val="bottom"/>
          </w:tcPr>
          <w:p>
            <w:pPr>
              <w:jc w:val="right"/>
              <w:ind w:right="171"/>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211"/>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1,568,576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1,385,115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1,388,542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677,946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2,126,954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1,939,140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2,066,488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3,077,608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2,814,956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3,060,321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360"/>
              <w:spacing w:after="0" w:line="176" w:lineRule="exact"/>
              <w:rPr>
                <w:sz w:val="20"/>
                <w:szCs w:val="20"/>
                <w:color w:val="auto"/>
              </w:rPr>
            </w:pPr>
            <w:r>
              <w:rPr>
                <w:rFonts w:ascii="Arial" w:cs="Arial" w:eastAsia="Arial" w:hAnsi="Arial"/>
                <w:sz w:val="18"/>
                <w:szCs w:val="18"/>
                <w:color w:val="auto"/>
                <w:w w:val="98"/>
              </w:rPr>
              <w:t>Technical and operating (excluding depreciation and</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1,432,083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1,401,591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1,506,985</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480" w:type="dxa"/>
            <w:vAlign w:val="bottom"/>
          </w:tcPr>
          <w:p>
            <w:pPr>
              <w:ind w:left="60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101,098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2,372,312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2,435,044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625,277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4480" w:type="dxa"/>
            <w:vAlign w:val="bottom"/>
          </w:tcPr>
          <w:p>
            <w:pPr>
              <w:ind w:left="680"/>
              <w:spacing w:after="0"/>
              <w:rPr>
                <w:sz w:val="20"/>
                <w:szCs w:val="20"/>
                <w:color w:val="auto"/>
              </w:rPr>
            </w:pPr>
            <w:r>
              <w:rPr>
                <w:rFonts w:ascii="Arial" w:cs="Arial" w:eastAsia="Arial" w:hAnsi="Arial"/>
                <w:sz w:val="18"/>
                <w:szCs w:val="18"/>
                <w:color w:val="auto"/>
                <w:w w:val="97"/>
              </w:rPr>
              <w:t>Net income from operations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374,232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402,379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486,186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279,839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256,988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407,716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vs. 2020</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Subscription revenues increased in our Domestic Operations segment by 15.1% primarily due to an increase in streaming revenues, and in our International and Other segment by 4.5% primarily due to the favorable impact of foreign currency fluctuations at AMCNI.</w:t>
      </w:r>
    </w:p>
    <w:p>
      <w:pPr>
        <w:spacing w:after="0" w:line="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Content licensing and other revenues decreased in our Domestic Operations segment by 3.9% primarily related to the number of distributed original programs as compared to the prior comparable period. Content licensing and other revenues increased in our International and Other segment by 11.5% primarily due to the resumption of production activities at 25/7 Media, which were previously delayed due to the COVID-19 pandemic.</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jc w:val="both"/>
        <w:ind w:firstLine="648"/>
        <w:spacing w:after="0" w:line="308" w:lineRule="auto"/>
        <w:rPr>
          <w:sz w:val="20"/>
          <w:szCs w:val="20"/>
          <w:color w:val="auto"/>
        </w:rPr>
      </w:pPr>
      <w:r>
        <w:rPr>
          <w:rFonts w:ascii="Arial" w:cs="Arial" w:eastAsia="Arial" w:hAnsi="Arial"/>
          <w:sz w:val="17"/>
          <w:szCs w:val="17"/>
          <w:color w:val="auto"/>
        </w:rPr>
        <w:t>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Advertising revenues increased in our Domestic Operations segment and our International and Other segment by 5.4% and 42.1%, respectively, primarily due to higher pricing.</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of our advertising revenues vary based on the timing of our original programming series and the popularity of our programming as measured by Nielsen. Due to these factors, we expect advertising revenues to vary from quarter to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vs. 2019</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Subscription revenues increased in our Domestic Operations segment by 0.8% primarily due to an increase in subscribers to our streaming services, which was offset by a decrease in subscribers to our programming networks. Subscription revenues decreased in our International and Other segment by 4.8% primarily at AMCNI due to the impacts of the COVID 19 pandemic.</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Content licensing and other revenues decreased in our Domestic Operations segment by 16.8% primarily due to reduction in the number of original programs we distributed related to production delays, and in our International and Other segment by 25.3% primarily at 25/7 Media due to the impact of the COVID-19 pandemic on its operations.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Advertising revenues decreased in our Domestic Operations segment and our International and Other segment by 11.4% and 17.1%, respectively, primarily due to lower ratings and a reduction in the number of episodes of our original programming primarily related to the impact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technical and operating expenses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Technical and operating expenses (excluding depreciation and amortization) for 2021 compared to 2020 increased in our Domestic Operations segment by 1.8% primarily due to an increase in other direct program costs, and in our International and Other segment by 0.8% primarily due to an increase at 25/7 Media related to the resumption of production activities.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Technical and operating expenses (excluding depreciation and amortization) for 2020 compared to 2019 decreased in our Domestic Operations segment by 5.8% primarily due to a decrease in program rights amortization and in our International and Other segment by 9.5% primarily at 25/7 Media, due to the impact of the COVID-19 pandemic on its operations.</w:t>
      </w:r>
    </w:p>
    <w:p>
      <w:pPr>
        <w:spacing w:after="0" w:line="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Program rights amortization expense includes write-offs of $12.8 million, $108.3 million and $40.9 million for the years ended December 31, 2021, 2020 and 2019, respectively. Programming write-offs are based on management's periodic assessment of programming usefulness.</w:t>
      </w:r>
    </w:p>
    <w:p>
      <w:pPr>
        <w:spacing w:after="0" w:line="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selling, general and administrative expenses primarily include sales, marketing and advertising expenses, administrative costs and costs of non-production facilities.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(including share-based compensation expenses) for 2021 compared to 2020 increased in our Domestic Operations segment by 39.7% primarily due to higher advertising and subscriber acquisition expenses, and in our International and other segment by 20.4% primarily due increased selling expenses, including commissions at AMCNI, partially offset by a decrease of 9.2% in corporate due to lower stock-based compensation expenses.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(including share-based compensation expenses) for 2020 compared to 2019 increased in our Domestic Operations segment by 8.0% primarily due to increased advertising and subscriber acquisition expenses and decreased in our International and other segment by 19.6% primarily at 25/7 Media primarily due to the impact of the COVID-19 pandemic. Corporate selling, general and administrative expenses increased by 16.4% primarily related to higher administrative costs.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Depreciation and amortization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expenses include depreciation of fixed assets and amortization of finite-lived intangible assets.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for 2021 compared to 2020 decreased primarily in the International and Other segment due to the lower carrying values of long-lived assets resulting from the impairment charge recognized in June 2020.</w:t>
      </w:r>
    </w:p>
    <w:p>
      <w:pPr>
        <w:spacing w:after="0" w:line="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Depreciation and amortization for 2020 compared to 2019 increased primarily in our Domestic Operations segment due to depreciation of equipment at our AMC Networks Broadcasting and Technology facilities, which was partially offset in our International and Other segment from lower depreciation and amortization expenses due to the lower carrying values of long-lived assets resulting from the impairment charge recognized in June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11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included in Impairment and other charges,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6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its obligations, principally related to leases. As a result of this divestiture, the Company recognized a loss on the disposal of $16.6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1"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During 2020, as a result of the continuing impact of the COVID-19 pandemic, we qualitatively assessed whether it was more likely than not that goodwill and long-lived assets were impaired. Based on our then current projections and updated forecasts, we determined that sufficient indicators of potential impairment of long-lived assets existed and, in connection with the preparation of the Company's second quarter financial information, the Company performed a recoverability test of certain long-lived asset groups within the AMCNI reporting unit. This resulted in an impairment charge of $97.1 million primarily related to certain identifiable intangible assets, as well as property and equipment, and operating lease right-of-use assets. The Company then performed a goodwill impairment test and determined that the carrying value of the AMCNI reporting unit exceeded its fair value, resulting in an impairment charge of $25.1 million.</w:t>
      </w:r>
    </w:p>
    <w:p>
      <w:pPr>
        <w:spacing w:after="0" w:line="8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In December 2019, in connection with the preparation of our fourth quarter financial information, we performed our annual goodwill impairment test and concluded that the estimated fair value of our AMCNI reporting unit declined to less than its carrying amount. The decrease in the estimated fair value was in response to current and expected trends across the International television broadcasting markets, as well as a decrease in the financial multiples used to estimate the fair value using the market approach. As a result, we recognized an impairment charge of $98.0 million in 2019, reflecting a partial write-down of the goodwill associated with the AMCNI reporting unit. Additionally, during 2019, in connection with the dispositions of certain businesses, AMCNI recognized impairment charges of $8.6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related charges</w:t>
      </w:r>
    </w:p>
    <w:p>
      <w:pPr>
        <w:spacing w:after="0" w:line="104"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6"/>
          <w:szCs w:val="16"/>
          <w:color w:val="auto"/>
        </w:rPr>
        <w:t>For 2021, restructuring and other related charges consisted of (i) $6.1 million at AMCNI related to severance costs and the termination of distribution in certain international territories and (ii) $4.3 million of severance costs associated with the restructuring plan announced in November 2020.</w:t>
      </w:r>
    </w:p>
    <w:p>
      <w:pPr>
        <w:spacing w:after="0" w:line="1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November 2020, management commenced a restructuring plan (the “2020 Plan”) designed to streamline the Company’s operations through a reduction of its domestic workforce. The 2020 Plan was intended to improve the organizational design of the Company through the elimination of certain roles and centralization of certain functional areas of the Company. In connection with the 2020 Plan, the Company incurred severance costs of $21.2 million. Additionally during 2020, the Company incurred restructuring charges of $13.9 million related to costs associated with the termination of distribution in certain territories, as well as severance and other personnel related costs associated with previously disclosed restructuring activities.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2" w:name="page43"/>
    <w:bookmarkEnd w:id="42"/>
    <w:p>
      <w:pPr>
        <w:jc w:val="both"/>
        <w:ind w:firstLine="445"/>
        <w:spacing w:after="0" w:line="257" w:lineRule="auto"/>
        <w:rPr>
          <w:sz w:val="20"/>
          <w:szCs w:val="20"/>
          <w:color w:val="auto"/>
        </w:rPr>
      </w:pPr>
      <w:r>
        <w:rPr>
          <w:rFonts w:ascii="Arial" w:cs="Arial" w:eastAsia="Arial" w:hAnsi="Arial"/>
          <w:sz w:val="18"/>
          <w:szCs w:val="18"/>
          <w:color w:val="auto"/>
        </w:rPr>
        <w:t>Restructuring and other related charges of $40.9 million for 2019 primarily related to the management re-organization commenced in September 2019. In connection with this re-organization, a number of roles were eliminated to improve the effectiveness of management while reducing the cost structure of the Company. As a result, we incurred restructuring charges of $26.0 million. In addition, charges associated with the our streaming services re-organization consisted of severance and other personnel related costs of $1.9 million and programming write-offs of $13.0 million related to a change in programming strategy.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10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operating income for 2021 compared to 2020 was primarily attributable to an increase in revenues of $262.7 million partially offset by increases in selling, general and administrative expenses of $182.9 million and in technical and operating expenses of $30.5 million.</w:t>
      </w:r>
    </w:p>
    <w:p>
      <w:pPr>
        <w:spacing w:after="0" w:line="14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decrease in operating income for 2020 compared to 2019 was primarily attributable to a decrease in revenues of $245.4 million and an increase in selling, general and administrative expense of $29.4 million, partially offset by a decrease in technical and operating expense of $105.4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interest expense, net for 2021 compared to 2020 was primarily due to lower interest income, partially offset by lower average interest rates on our outstanding senior notes and credit facility.</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interest expense, net for 2020 compared to 2019 was primarily due to lower interest rates on our credit facility and lower average outstanding long-term debt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extinguishment of debt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year ended December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we redeemed $200 million principal amount of the then-outstanding $600 million principal amount of our 4.75% Notes due December 2022. The loss on extinguishment of debt for the year ended December 31, 2020 of $2.9 million represents the redemption premium, the write-off of a portion of the unamortized discount and deferred financing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Miscellaneous, net</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decrease in miscellaneous, net of $46.0 million in 2021 compared to 2020 was primarily related to a decrease of $64.1 million in net realized and unrealized gains from certain marketable equity securities, partially offset by a $16.1 million favorable variance in the foreign currency remeasurement of monetary assets and liabilities (principally intercompany loans) that are denominated in currencies other than the underlying functional currency of the applicable entity.</w:t>
      </w:r>
    </w:p>
    <w:p>
      <w:pPr>
        <w:spacing w:after="0" w:line="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miscellaneous, net of $77.2 million in 2020 compared to 2019 was primarily related to an increase in net realized and unrealized gains of $92.0 million from certain marketable equity securities, partially offset by an unfavorable variance of $15.0 million in the foreign currency remeasurement of monetary assets and liabilities (principally intercompany loans) that are denominated in currencies other than the underlying functional currency of the applicable entity.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Income tax expense was $94.4 million for 2021, representing an effective tax rate of 25%. The effective tax rate differs from the federal statutory rate of 21% due primarily to state and local income tax expense of $11.7 million, tax expense of $9.6 million resulting from a net increase in valuation allowances for foreign deferred tax assets, tax expense of $8.3 million related to non-deductible compensation expense, partially offset by $5.5 million of tax benefit related to nontaxable income attributable to noncontrolling interests and tax benefit of $4.7 million for excess tax benefits related to share-based compensation.</w:t>
      </w:r>
    </w:p>
    <w:p>
      <w:pPr>
        <w:spacing w:after="0" w:line="8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Income tax expense was $145.4 million for 2020, representing an effective tax rate of 36%. The effective tax rate differs from the federal statutory rate of 21% due primarily to tax expense of $41.7 million resulting from a net increase in valuation allowances for foreign deferred tax assets; state and local income tax expense of $14.7 million, tax expense of $8.4 million for excess tax deficiencies related to share-based compensation and tax expense from foreign operations of $6.8 million partially offset by tax benefit of $5.3 million relating to uncertain tax positions (including accrued interest).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jc w:val="both"/>
        <w:ind w:firstLine="445"/>
        <w:spacing w:after="0" w:line="259" w:lineRule="auto"/>
        <w:rPr>
          <w:sz w:val="20"/>
          <w:szCs w:val="20"/>
          <w:color w:val="auto"/>
        </w:rPr>
      </w:pPr>
      <w:r>
        <w:rPr>
          <w:rFonts w:ascii="Arial" w:cs="Arial" w:eastAsia="Arial" w:hAnsi="Arial"/>
          <w:sz w:val="18"/>
          <w:szCs w:val="18"/>
          <w:color w:val="auto"/>
        </w:rPr>
        <w:t>Income tax expense was $78.5 million for 2019, representing an effective tax rate of 16%. The effective tax rate differs from the federal statutory rate of 21% due primarily to tax benefit of $21.0 million resulting from a net decrease in valuation allowances for foreign deferred tax assets, tax benefit of $11.5 million from a deferred tax adjustment to record the impact of an investment tax credit under the deferral method of accounting, partially offset by state and local income tax expense of $12.2 million and $9.0 of tax expense from foreign operations.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Change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2021 vs. 2020</w:t>
            </w: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211"/>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1,318,732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1,145,970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1,137,358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1,735,630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1,658,997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2,580,616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2,381,401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2,563,250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56"/>
        </w:trPr>
        <w:tc>
          <w:tcPr>
            <w:tcW w:w="4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Technical and operating (excluding depreciation and</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(1,150,564)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(1,130,166)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(1,199,159)</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(383,725)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23"/>
        </w:trPr>
        <w:tc>
          <w:tcPr>
            <w:tcW w:w="4480" w:type="dxa"/>
            <w:vAlign w:val="bottom"/>
          </w:tcPr>
          <w:p>
            <w:pPr>
              <w:ind w:left="300"/>
              <w:spacing w:after="0"/>
              <w:rPr>
                <w:sz w:val="20"/>
                <w:szCs w:val="20"/>
                <w:color w:val="auto"/>
              </w:rPr>
            </w:pPr>
            <w:r>
              <w:rPr>
                <w:rFonts w:ascii="Arial" w:cs="Arial" w:eastAsia="Arial" w:hAnsi="Arial"/>
                <w:sz w:val="18"/>
                <w:szCs w:val="18"/>
                <w:color w:val="auto"/>
              </w:rPr>
              <w:t>Segment adjusted 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 Selling, general and administrative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vs. 2020</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Subscription revenues increased primarily related to a 99.7% increase in streaming revenues driven by an increase in subscribers to our streaming services, partially offset by a low single-digit decline in affiliate revenue.</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Subscription revenues include revenues related to the Company's streaming services of approximately $370.8 million, $185.6 million and $95.9 million for 2021, 2020 and 2019, respectively. Aggregate paid subscribers to our streaming services were 9.04 million, 6.1 million and 2.4 million at December 31, 2021, 2020 and 2019, respectively.</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Content licensing and other revenues decreased primarily related to the number of distributed original programs as compared to the prior comparable period.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Advertising revenues increased primarily attributable to higher pricing and ad-supported streaming growth, partially offset by lower ratings.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vs. 2019</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Subscription revenues increased primarily due to an increase in subscribers to our streaming services, which was mostly offset by a decrease in subscribers to our programming networks.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Content licensing and other revenues decreased due to reduction in the number of original programs we distributed related to production delays.</w:t>
      </w:r>
    </w:p>
    <w:p>
      <w:pPr>
        <w:spacing w:after="0" w:line="14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Advertising revenues decreased primarily attributable to lower ratings and a reduction in the number of episodes of our original programming primarily related to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7"/>
          <w:szCs w:val="17"/>
          <w:color w:val="auto"/>
        </w:rPr>
        <w:t>The following table presents certain subscriber information for our domestic programming networks at December 31, 2021, 2020 and 2019:</w:t>
      </w:r>
    </w:p>
    <w:p>
      <w:pPr>
        <w:spacing w:after="0" w:line="15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129"/>
        </w:trPr>
        <w:tc>
          <w:tcPr>
            <w:tcW w:w="5020" w:type="dxa"/>
            <w:vAlign w:val="bottom"/>
          </w:tcPr>
          <w:p>
            <w:pPr>
              <w:spacing w:after="0"/>
              <w:rPr>
                <w:sz w:val="11"/>
                <w:szCs w:val="11"/>
                <w:color w:val="auto"/>
              </w:rPr>
            </w:pPr>
          </w:p>
        </w:tc>
        <w:tc>
          <w:tcPr>
            <w:tcW w:w="1460" w:type="dxa"/>
            <w:vAlign w:val="bottom"/>
            <w:tcBorders>
              <w:top w:val="single" w:sz="8" w:color="auto"/>
            </w:tcBorders>
          </w:tcPr>
          <w:p>
            <w:pPr>
              <w:ind w:left="60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left="508"/>
              <w:spacing w:after="0" w:line="129"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tcPr>
          <w:p>
            <w:pPr>
              <w:jc w:val="right"/>
              <w:ind w:right="515"/>
              <w:spacing w:after="0" w:line="129"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6480" w:type="dxa"/>
            <w:vAlign w:val="bottom"/>
            <w:gridSpan w:val="2"/>
          </w:tcPr>
          <w:p>
            <w:pPr>
              <w:ind w:left="5900"/>
              <w:spacing w:after="0"/>
              <w:rPr>
                <w:sz w:val="20"/>
                <w:szCs w:val="20"/>
                <w:color w:val="auto"/>
              </w:rPr>
            </w:pPr>
            <w:r>
              <w:rPr>
                <w:rFonts w:ascii="Arial" w:cs="Arial" w:eastAsia="Arial" w:hAnsi="Arial"/>
                <w:sz w:val="14"/>
                <w:szCs w:val="14"/>
                <w:b w:val="1"/>
                <w:bCs w:val="1"/>
                <w:color w:val="auto"/>
              </w:rPr>
              <w:t>2021</w:t>
            </w:r>
          </w:p>
        </w:tc>
        <w:tc>
          <w:tcPr>
            <w:tcW w:w="21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6"/>
                <w:szCs w:val="16"/>
                <w:color w:val="auto"/>
              </w:rPr>
            </w:pPr>
          </w:p>
        </w:tc>
        <w:tc>
          <w:tcPr>
            <w:tcW w:w="1780" w:type="dxa"/>
            <w:vAlign w:val="bottom"/>
          </w:tcPr>
          <w:p>
            <w:pPr>
              <w:jc w:val="right"/>
              <w:ind w:right="795"/>
              <w:spacing w:after="0"/>
              <w:rPr>
                <w:sz w:val="20"/>
                <w:szCs w:val="20"/>
                <w:color w:val="auto"/>
              </w:rPr>
            </w:pPr>
            <w:r>
              <w:rPr>
                <w:rFonts w:ascii="Arial" w:cs="Arial" w:eastAsia="Arial" w:hAnsi="Arial"/>
                <w:sz w:val="14"/>
                <w:szCs w:val="14"/>
                <w:b w:val="1"/>
                <w:bCs w:val="1"/>
                <w:color w:val="auto"/>
              </w:rPr>
              <w:t>2019</w:t>
            </w: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Programming Networks:</w:t>
            </w:r>
          </w:p>
        </w:tc>
        <w:tc>
          <w:tcPr>
            <w:tcW w:w="1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AMC</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78,300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83,600</w:t>
            </w:r>
          </w:p>
        </w:tc>
        <w:tc>
          <w:tcPr>
            <w:tcW w:w="1780" w:type="dxa"/>
            <w:vAlign w:val="bottom"/>
          </w:tcPr>
          <w:p>
            <w:pPr>
              <w:jc w:val="right"/>
              <w:spacing w:after="0"/>
              <w:rPr>
                <w:sz w:val="20"/>
                <w:szCs w:val="20"/>
                <w:color w:val="auto"/>
              </w:rPr>
            </w:pPr>
            <w:r>
              <w:rPr>
                <w:rFonts w:ascii="Arial" w:cs="Arial" w:eastAsia="Arial" w:hAnsi="Arial"/>
                <w:sz w:val="18"/>
                <w:szCs w:val="18"/>
                <w:color w:val="auto"/>
              </w:rPr>
              <w:t>85,100</w:t>
            </w:r>
          </w:p>
        </w:tc>
      </w:tr>
      <w:tr>
        <w:trPr>
          <w:trHeight w:val="229"/>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 tv</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75,500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77,600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78,200</w:t>
            </w:r>
          </w:p>
        </w:tc>
      </w:tr>
      <w:tr>
        <w:trPr>
          <w:trHeight w:val="230"/>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BBC AMERICA</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73,000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76,100</w:t>
            </w:r>
          </w:p>
        </w:tc>
        <w:tc>
          <w:tcPr>
            <w:tcW w:w="1780" w:type="dxa"/>
            <w:vAlign w:val="bottom"/>
          </w:tcPr>
          <w:p>
            <w:pPr>
              <w:jc w:val="right"/>
              <w:spacing w:after="0"/>
              <w:rPr>
                <w:sz w:val="20"/>
                <w:szCs w:val="20"/>
                <w:color w:val="auto"/>
              </w:rPr>
            </w:pPr>
            <w:r>
              <w:rPr>
                <w:rFonts w:ascii="Arial" w:cs="Arial" w:eastAsia="Arial" w:hAnsi="Arial"/>
                <w:sz w:val="18"/>
                <w:szCs w:val="18"/>
                <w:color w:val="auto"/>
              </w:rPr>
              <w:t>77,000</w:t>
            </w:r>
          </w:p>
        </w:tc>
      </w:tr>
      <w:tr>
        <w:trPr>
          <w:trHeight w:val="229"/>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IFC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68,000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70,700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71,400</w:t>
            </w:r>
          </w:p>
        </w:tc>
      </w:tr>
      <w:tr>
        <w:trPr>
          <w:trHeight w:val="230"/>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SundanceTV</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65,900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66,100</w:t>
            </w:r>
          </w:p>
        </w:tc>
        <w:tc>
          <w:tcPr>
            <w:tcW w:w="1780" w:type="dxa"/>
            <w:vAlign w:val="bottom"/>
          </w:tcPr>
          <w:p>
            <w:pPr>
              <w:jc w:val="right"/>
              <w:spacing w:after="0"/>
              <w:rPr>
                <w:sz w:val="20"/>
                <w:szCs w:val="20"/>
                <w:color w:val="auto"/>
              </w:rPr>
            </w:pPr>
            <w:r>
              <w:rPr>
                <w:rFonts w:ascii="Arial" w:cs="Arial" w:eastAsia="Arial" w:hAnsi="Arial"/>
                <w:sz w:val="18"/>
                <w:szCs w:val="18"/>
                <w:color w:val="auto"/>
              </w:rPr>
              <w:t>66,800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(1) Estimated U.S. subscribers as measured by Nielsen.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Technical and operating expenses (excluding depreciation and amortization) for 2021 compared to 2020 increased primarily due to an increase in other direct program costs, partially offset by a decrease in program rights amortization primarily attributable to the mix of original programming as compared to the prior comparable period.</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Technical and operating expenses (excluding depreciation and amortization) for 2020 compared to 2019 decreased primarily due to a decrease in program rights amortization primarily attributable to a decrease in the amount of original programming for our programming networks as compared to the prior comparable period, which was impacted by the production delays resulting from the COVID-19 pandemic. This decrease was partially offset by increased program rights amortization related to our streaming services. In addition, other direct programming costs decreased.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Program rights amortization expense includes write-offs of $11.1 million, $97.5 million and $38.6 million for 2021,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Programming write-offs are based on management's periodic assessment of programming usefulness.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(excluding share-based compensation expenses) for 2021 compared to 2020 increased primarily due to higher advertising and subscriber acquisition expenses related to our streaming services partially offset by a decrease in advertising and marketing expenses related to the mix of original programming at our networks.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expenses (excluding share-based compensation expenses) for 2020 compared to 2019 increased principally due to increased advertising and subscriber acquisition expenses for our streaming services partially offset by a decrease in advertising and marketing expenses related to the mix of original programming at our networks, which was impacted by the COVID-19 pandemic. Additionally, general and administrative costs were lower across substantially all expense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segment adjusted operating income for 2021 compared to 2020 was primarily attributable to an increase in revenues of $199.2 million, partially offset by increases in selling, general and administrative expenses of $164.3 million and in technical and operating expenses of $20.4 million.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segment adjusted operating income for 2020 compared to 2019 was primarily attributable to a decrease in revenues of $181.8 million, an increase in selling, general and administrative expenses of $48.5 million, partially offset by a decrease in technical and operating expenses of $69.0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 vs. 2020</w:t>
            </w: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23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249,844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239,145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251,184</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4.5 %</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187,073</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11.5 %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378,891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438,257</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7.1 %</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89,659</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42.1 %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527,916</w:t>
            </w:r>
          </w:p>
        </w:tc>
        <w:tc>
          <w:tcPr>
            <w:tcW w:w="1780" w:type="dxa"/>
            <w:vAlign w:val="bottom"/>
            <w:tcBorders>
              <w:bottom w:val="single" w:sz="8" w:color="CCEEFF"/>
            </w:tcBorders>
            <w:gridSpan w:val="2"/>
          </w:tcPr>
          <w:p>
            <w:pPr>
              <w:jc w:val="right"/>
              <w:ind w:right="288"/>
              <w:spacing w:after="0"/>
              <w:rPr>
                <w:sz w:val="20"/>
                <w:szCs w:val="20"/>
                <w:color w:val="auto"/>
              </w:rPr>
            </w:pPr>
            <w:r>
              <w:rPr>
                <w:rFonts w:ascii="Arial" w:cs="Arial" w:eastAsia="Arial" w:hAnsi="Arial"/>
                <w:sz w:val="18"/>
                <w:szCs w:val="18"/>
                <w:color w:val="auto"/>
              </w:rPr>
              <w:t>12.8 %</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Technical and operating (excluding depreciation and</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(303,045)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(300,681)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(332,241)</w:t>
            </w:r>
          </w:p>
        </w:tc>
        <w:tc>
          <w:tcPr>
            <w:tcW w:w="1780" w:type="dxa"/>
            <w:vAlign w:val="bottom"/>
            <w:gridSpan w:val="2"/>
            <w:vMerge w:val="restart"/>
            <w:shd w:val="clear" w:color="auto" w:fill="CCEEFF"/>
          </w:tcPr>
          <w:p>
            <w:pPr>
              <w:jc w:val="right"/>
              <w:ind w:right="288"/>
              <w:spacing w:after="0"/>
              <w:rPr>
                <w:sz w:val="20"/>
                <w:szCs w:val="20"/>
                <w:color w:val="auto"/>
              </w:rPr>
            </w:pPr>
            <w:r>
              <w:rPr>
                <w:rFonts w:ascii="Arial" w:cs="Arial" w:eastAsia="Arial" w:hAnsi="Arial"/>
                <w:sz w:val="18"/>
                <w:szCs w:val="18"/>
                <w:color w:val="auto"/>
              </w:rPr>
              <w:t>0.8 %</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78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(128,339)</w:t>
            </w:r>
          </w:p>
        </w:tc>
        <w:tc>
          <w:tcPr>
            <w:tcW w:w="1780" w:type="dxa"/>
            <w:vAlign w:val="bottom"/>
            <w:tcBorders>
              <w:bottom w:val="single" w:sz="8" w:color="CCEEFF"/>
            </w:tcBorders>
            <w:gridSpan w:val="2"/>
          </w:tcPr>
          <w:p>
            <w:pPr>
              <w:jc w:val="right"/>
              <w:ind w:right="288"/>
              <w:spacing w:after="0"/>
              <w:rPr>
                <w:sz w:val="20"/>
                <w:szCs w:val="20"/>
                <w:color w:val="auto"/>
              </w:rPr>
            </w:pPr>
            <w:r>
              <w:rPr>
                <w:rFonts w:ascii="Arial" w:cs="Arial" w:eastAsia="Arial" w:hAnsi="Arial"/>
                <w:sz w:val="18"/>
                <w:szCs w:val="18"/>
                <w:color w:val="auto"/>
              </w:rPr>
              <w:t>20.4 %</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178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70.9 %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4"/>
          <w:szCs w:val="14"/>
          <w:color w:val="auto"/>
        </w:rPr>
        <w:t>(1) Selling, general and administrative excludes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-92710</wp:posOffset>
            </wp:positionV>
            <wp:extent cx="24517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vs. 2020</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Subscription revenues increased primarily due to the favorable impact of foreign currency fluctuations at AMCNI.</w:t>
      </w:r>
    </w:p>
    <w:p>
      <w:pPr>
        <w:spacing w:after="0" w:line="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Content licensing and other revenues increased primarily due to the resumption of production activities at 25/7 Media, which were previously delayed due to the COVID-19 pandemic.</w:t>
      </w:r>
    </w:p>
    <w:p>
      <w:pPr>
        <w:spacing w:after="0" w:line="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Advertising revenues increased primarily related to higher pricing and an increase in ratings, as well as the favorable impact of foreign currency translation.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vs.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Subscription revenues decreased primarily due to the impacts of the COVID 19 pandemic.</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Content licensing and other revenues decreased primarily at 25/7 Media, due to the impact of the COVID-19 pandemic on its operations, which resulted in the temporary closure of the comedy venues (which were spun off in March 2021).</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revenues decreased primarily related to pricing and lower demand resulting from the impact of the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for 2021 compared to 2020 increased primarily due to an increase at 25/7 Media related to the resumption of production activities, partially offset by lower program rights amortization at AMCNI.</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Technical and operating expenses (excluding depreciation and amortization) for 2020 compared to 2019 decreased primarily at 25/7 Media due to the impact of the COVID-19 pandemic on its operations, which resulted in production stoppages and temporary closure of comedy venues.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Program rights amortization expense includes write-offs of $1.7 million, $10.8 million and $2.3 million for 2021,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Programming write-offs are based on management's periodic assessment of programming usefulness.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for 2021 compared to 2020 increased primarily related to increased selling expenses, including commissions at AMCNI, partially offset by a decrease in administrative expenses at 25/7 Media related to the spin off of the comedy venues in March 2021.</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general and administrative expenses for the 2020 compared to 2019 decreased mainly at 25/7 Media primarily due to the impact of the COVID-19 pandemic, as well as at AMCNI.</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increase in segment adjusted operating income for 2021 compared to 2020 was primarily attributable to an increase in revenues of $58.1 million, partially offset by increases in selling, general and administrative expenses of $21.2 million.</w:t>
      </w:r>
    </w:p>
    <w:p>
      <w:pPr>
        <w:spacing w:after="0" w:line="6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decrease in segment adjusted operating income for 2020 compared to 2019 was primarily attributable to a decrease in revenue of 74.7 million, partially offset by lower technical and operating expense of $31.6 million, and lower selling, general and administrative expense of $24.5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 Inter-segment Eliminations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Corporate / Inter-segment Eliminations results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jc w:val="right"/>
              <w:ind w:right="528"/>
              <w:spacing w:after="0"/>
              <w:rPr>
                <w:sz w:val="20"/>
                <w:szCs w:val="20"/>
                <w:color w:val="auto"/>
              </w:rPr>
            </w:pPr>
            <w:r>
              <w:rPr>
                <w:rFonts w:ascii="Arial" w:cs="Arial" w:eastAsia="Arial" w:hAnsi="Arial"/>
                <w:sz w:val="14"/>
                <w:szCs w:val="14"/>
                <w:b w:val="1"/>
                <w:bCs w:val="1"/>
                <w:color w:val="auto"/>
              </w:rPr>
              <w:t>2021 vs. 2020</w:t>
            </w:r>
          </w:p>
        </w:tc>
        <w:tc>
          <w:tcPr>
            <w:tcW w:w="1120" w:type="dxa"/>
            <w:vAlign w:val="bottom"/>
            <w:tcBorders>
              <w:bottom w:val="single" w:sz="8" w:color="CCEEFF"/>
            </w:tcBorders>
          </w:tcPr>
          <w:p>
            <w:pPr>
              <w:jc w:val="right"/>
              <w:ind w:right="174"/>
              <w:spacing w:after="0"/>
              <w:rPr>
                <w:sz w:val="20"/>
                <w:szCs w:val="20"/>
                <w:color w:val="auto"/>
              </w:rPr>
            </w:pPr>
            <w:r>
              <w:rPr>
                <w:rFonts w:ascii="Arial" w:cs="Arial" w:eastAsia="Arial" w:hAnsi="Arial"/>
                <w:sz w:val="14"/>
                <w:szCs w:val="14"/>
                <w:b w:val="1"/>
                <w:bCs w:val="1"/>
                <w:color w:val="auto"/>
                <w:w w:val="93"/>
              </w:rPr>
              <w:t>2020 vs. 2019</w:t>
            </w: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(30,845)</w:t>
            </w:r>
          </w:p>
        </w:tc>
        <w:tc>
          <w:tcPr>
            <w:tcW w:w="1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56"/>
        </w:trPr>
        <w:tc>
          <w:tcPr>
            <w:tcW w:w="4460" w:type="dxa"/>
            <w:vAlign w:val="bottom"/>
          </w:tcPr>
          <w:p>
            <w:pPr>
              <w:ind w:left="20"/>
              <w:spacing w:after="0" w:line="156" w:lineRule="exact"/>
              <w:rPr>
                <w:sz w:val="20"/>
                <w:szCs w:val="20"/>
                <w:color w:val="auto"/>
              </w:rPr>
            </w:pPr>
            <w:r>
              <w:rPr>
                <w:rFonts w:ascii="Arial" w:cs="Arial" w:eastAsia="Arial" w:hAnsi="Arial"/>
                <w:sz w:val="18"/>
                <w:szCs w:val="18"/>
                <w:color w:val="auto"/>
              </w:rPr>
              <w:t>Technical and operating (excluding depreciation and</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21,526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24,415</w:t>
            </w:r>
          </w:p>
        </w:tc>
        <w:tc>
          <w:tcPr>
            <w:tcW w:w="1800" w:type="dxa"/>
            <w:vAlign w:val="bottom"/>
            <w:gridSpan w:val="2"/>
            <w:vMerge w:val="restart"/>
          </w:tcPr>
          <w:p>
            <w:pPr>
              <w:jc w:val="right"/>
              <w:ind w:right="288"/>
              <w:spacing w:after="0"/>
              <w:rPr>
                <w:sz w:val="20"/>
                <w:szCs w:val="20"/>
                <w:color w:val="auto"/>
              </w:rPr>
            </w:pPr>
            <w:r>
              <w:rPr>
                <w:rFonts w:ascii="Arial" w:cs="Arial" w:eastAsia="Arial" w:hAnsi="Arial"/>
                <w:sz w:val="18"/>
                <w:szCs w:val="18"/>
                <w:color w:val="auto"/>
              </w:rPr>
              <w:t>(26.4)%</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(103,247)</w:t>
            </w:r>
          </w:p>
        </w:tc>
        <w:tc>
          <w:tcPr>
            <w:tcW w:w="1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0.2 %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(109,677)</w:t>
            </w:r>
          </w:p>
        </w:tc>
        <w:tc>
          <w:tcPr>
            <w:tcW w:w="1800" w:type="dxa"/>
            <w:vAlign w:val="bottom"/>
            <w:gridSpan w:val="2"/>
          </w:tcPr>
          <w:p>
            <w:pPr>
              <w:jc w:val="right"/>
              <w:ind w:right="288"/>
              <w:spacing w:after="0"/>
              <w:rPr>
                <w:sz w:val="20"/>
                <w:szCs w:val="20"/>
                <w:color w:val="auto"/>
              </w:rPr>
            </w:pPr>
            <w:r>
              <w:rPr>
                <w:rFonts w:ascii="Arial" w:cs="Arial" w:eastAsia="Arial" w:hAnsi="Arial"/>
                <w:sz w:val="18"/>
                <w:szCs w:val="18"/>
                <w:color w:val="auto"/>
              </w:rPr>
              <w:t>2.4 %</w:t>
            </w:r>
          </w:p>
        </w:tc>
        <w:tc>
          <w:tcPr>
            <w:tcW w:w="112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 Selling, general and administrative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net</w:t>
      </w:r>
    </w:p>
    <w:p>
      <w:pPr>
        <w:spacing w:after="0" w:line="10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Revenue eliminations are primarily related to inter-segment licensing revenues recognized between the Domestic Operations and International and Other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(excluding depreciation and amortization)</w:t>
      </w:r>
    </w:p>
    <w:p>
      <w:pPr>
        <w:spacing w:after="0" w:line="10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Technical and operating eliminations are primarily related to inter-segment programming amortization recognized between the Domestic Operations and International and Other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Selling, general and administrative expenses for 2021 compared to 2020 increased primarily due to higher employee related costs, offset by lower administrative costs.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Selling, general and administrative expenses for 2020 compared to 2019 increased primarily related to higher administrative costs.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7" w:name="page48"/>
    <w:bookmarkEnd w:id="47"/>
    <w:p>
      <w:pPr>
        <w:ind w:right="20"/>
        <w:spacing w:after="0" w:line="277" w:lineRule="auto"/>
        <w:rPr>
          <w:sz w:val="20"/>
          <w:szCs w:val="20"/>
          <w:color w:val="auto"/>
        </w:rPr>
      </w:pPr>
      <w:r>
        <w:rPr>
          <w:rFonts w:ascii="Arial" w:cs="Arial" w:eastAsia="Arial" w:hAnsi="Arial"/>
          <w:sz w:val="18"/>
          <w:szCs w:val="18"/>
          <w:color w:val="auto"/>
        </w:rPr>
        <w:t>performance and/or liquidity presented in accordance with GAAP. Since AOI is not a measure of performance calculated in accordance with GAAP, this measure may not be comparable to similar measures with similar titles used by other companies.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operating income (loss) to AOI for the periods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Year Ended December 31, 2021</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47,925</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159,610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845,441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816,070</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Year Ended December 31, 2020</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(109,365)</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52,908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122,227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827,954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48,725</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(110,068)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0"/>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Year Ended December 31, 2019</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64,133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106,603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986,331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67,336</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(109,677)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943,990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8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On February 8, 2021, the Company issued $1.0 billion in aggregate principal amount of 4.25% senior notes due 2029 (the “4.25% Notes due 2029”)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w:t>
      </w:r>
    </w:p>
    <w:p>
      <w:pPr>
        <w:spacing w:after="0" w:line="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the Company entered into Amendment No. 1 (“Amendment No. 1”) to its existing credit agreement (the "Credit Agreement").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Board of Directors has authorized a program to repurchase up to $1.5 billion of its outstanding shares of common stock (the "Stock Repurchase Program"). The Stock Repurchase Program has no pre-established closing date and may be suspended or discontinued at any time. The Company did not repurchase any shares of its Class A common stock during 2021. As of December 31, 2021, the Company had $135.3 million available for repurchase under the Stock Repurchase Program.</w:t>
      </w:r>
    </w:p>
    <w:p>
      <w:pPr>
        <w:spacing w:after="0" w:line="7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w:t>
      </w:r>
    </w:p>
    <w:p>
      <w:pPr>
        <w:spacing w:after="0" w:line="5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of December 31, 2021, our consolidated cash and cash equivalents balance of $892.2 million includes approximately $255.0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5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summary of cash flows provided by (used in)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483,748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(89,707)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(131,126)</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262,915</w:t>
            </w:r>
          </w:p>
        </w:tc>
      </w:tr>
      <w:tr>
        <w:trPr>
          <w:trHeight w:val="21"/>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Net cash provided by operating activities for 2021, 2020 and 2019 amounted to $143.5 million, $748.7 million, and $483.7 million, respectively. In 2021, net cash provided by operating activities resulted primarily from $1.4 billion of net income before amortization of program rights, depreciation and amortization, share-based compensation and other non-cash items, a decrease in prepaid expenses and other assets of $183.9 million, and an increase in accounts payable, accrued liabilities and other liabilities of $129.4 million. Partially offsetting these increases were payments for program rights of $1,297.8 million. Changes in all other assets and liabilities during the year resulted in a decrease in cash of $70.2 million.</w:t>
      </w:r>
    </w:p>
    <w:p>
      <w:pPr>
        <w:spacing w:after="0" w:line="6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2020, net cash provided by operating activities resulted primarily from $1.5 billion of net income before amortization of program rights, depreciation and amortization, share-based compensation and other non-cash items, a decrease in accounts receivable, trade of $63.3 million due to the timing of cash receipts, a decrease in prepaid expenses and other assets of $64.1 million, and an increase in accounts payable, accrued liabilities and other liabilities of $16.0 million. Partially offsetting these increases were payments for program rights of $850.0 million. Changes in all other assets and liabilities during the year resulted in an increase in cash of $5.1 million.</w:t>
      </w:r>
    </w:p>
    <w:p>
      <w:pPr>
        <w:spacing w:after="0" w:line="8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2019, net cash provided by operating activities resulted from $1.7 billion of net income before amortization of program rights, depreciation and amortization, share-based compensation and other non-cash items, which was partially offset by payments for program rights of $969.9 million, an increase in prepaid expenses and other assets of $142.3 million primarily related to an increase in production tax credits and taxes receivable, an increase in accounts receivable, trade of $43.3 million due to the timing of cash receipts, and a decrease in accounts payable, accrued liabilities and other liabilities of $28.4 million primarily as a result of lower employee related liabilities. Changes in all other assets and liabilities during the year resulted in a decrease in cash of $5.1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used in investing activities for 2021, 2020 and 2019 was $26.6 million, $35.2 million and $89.7 million, respectively. In 2021, net cash used in investing activities was primarily related to the acquisition of investments of $30.3 million, payments for the acquisition of a business of $62.1 million, and capital expenditures of $42.6 million, partially offset by proceeds from the sales of investments of $95.4 million and the collection of a loan for $20.0 million. All other changes in investing activities resulted in an decrease of $7.0 million.</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2020, net cash used in investing activities was primarily related to capital expenditures of $46.6 million, partially offset by proceeds from the sales of investments of $10.0 million.</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2019, net cash used in investing activities was primarily related to capital expenditures of $91.6 million, primarily related to leasehold improvements, and the purchase of investments of $3.5 million, partially offset by a return of capital from investees of $5.4 million.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Net cash used in financing activities 2021, 2020 and 2019 was $84.1 million, $648.0 million, and $131.1 million, respectively. In 2021, financing activities primarily consisted of principal payments, net of proceeds, on long-term debt (including the redemption of $400 million of 4.75% Notes due December 2022 and $600 million of 5.00% Notes due April 2024) of $30.5 million, taxes paid in lieu of shares issued for equity-based compensation of $32.9 million, and distributions to noncontrolling interests of $29.4 million and payments on finance leases of $3.8 million, partially offset by proceeds from the exercise of stock options of $12.1 million and contributions from noncontrolling interests of $2.7 million.</w:t>
      </w:r>
    </w:p>
    <w:p>
      <w:pPr>
        <w:spacing w:after="0" w:line="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2020, financing activities primarily consisted of purchases of Class A Common Stock of $356.7 million under our Stock Repurchase Program, principal payments on long-term debt of $262.3 million, taxes paid in lieu of shares issued for equity-based compensation of $16.0 million, and distributions to noncontrolling members of $15.8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0" w:name="page51"/>
    <w:bookmarkEnd w:id="50"/>
    <w:p>
      <w:pPr>
        <w:jc w:val="both"/>
        <w:ind w:firstLine="445"/>
        <w:spacing w:after="0" w:line="263" w:lineRule="auto"/>
        <w:rPr>
          <w:sz w:val="20"/>
          <w:szCs w:val="20"/>
          <w:color w:val="auto"/>
        </w:rPr>
      </w:pPr>
      <w:r>
        <w:rPr>
          <w:rFonts w:ascii="Arial" w:cs="Arial" w:eastAsia="Arial" w:hAnsi="Arial"/>
          <w:sz w:val="18"/>
          <w:szCs w:val="18"/>
          <w:color w:val="auto"/>
        </w:rPr>
        <w:t>In 2019, financing activities primarily consisted of purchases of Class A Common Stock of $70.6 million under our Stock Repurchase Program, principal payments on long-term debt of $23.0 million, taxes paid in lieu of shares issued for equity-based compensation of $23.0 million, and distributions to noncontrolling members of $15.6 million.</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principal amount of long-term debt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52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Term Loan A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4.75% Notes due December 2022</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68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29"/>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Principal amount of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2,875,000</w:t>
            </w:r>
          </w:p>
        </w:tc>
      </w:tr>
      <w:tr>
        <w:trPr>
          <w:trHeight w:val="21"/>
        </w:trPr>
        <w:tc>
          <w:tcPr>
            <w:tcW w:w="8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60" w:right="20" w:hanging="647"/>
        <w:spacing w:after="0" w:line="277" w:lineRule="auto"/>
        <w:tabs>
          <w:tab w:leader="none" w:pos="9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December 31, 2021. Total undrawn revolver commitments are available to be drawn for general corporate purposes of the Company.</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8, 2021, we issued $1.0 billion aggregate principal amount of 4.25% senior notes due February 15, 2029 (the “4.25% Notes due 2029”) in a registered public offering and received net proceeds of $982.3 million, after deducting underwriting discounts and commissions and expenses. We used such proceeds to redeem (i) the remaining $400 million principal amount of our 4.75% senior notes due 2022 and (ii) $600 million principal amount of our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we incurred a loss on extinguishment of debt for the year ended December 31, 2021 of $22.1 million representing the redemption premium and the write-off of a portion of the unamortized discount and deferred financing costs.</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2022. In connection with the redemption, we incurred a loss on extinguishment of debt for the year ended December 31, 2020 of $2.9 million representing the redemption premium and the write-off of a portion of the unamortized discount and deferred financing costs.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 information regarding our outstanding indebtedness and the significant terms and provisions of our Senior Secured Credit Facility and our Senior Notes is discussed in Note 11 to the accompanying consolidated financial statements included in this Annual Report on Form 10-K and is incorporated herein by reference.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Debt of AMC Networks as of December 31, 2021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guarantee (provided that such Guarantor Subsidiary does not have any preferred stock outstanding at such time that is not held by AMC Networks or another Guarantor Subsidiary).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w w:val="92"/>
              </w:rPr>
              <w:t>Year Ended December 31, 2021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Year Ended December 31, 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Parent 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4"/>
              </w:rPr>
              <w:t>Guarantor Subsidiaries</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2,137,263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1,947,893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1,713,682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1,441,889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314,283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472,985</w:t>
            </w:r>
          </w:p>
        </w:tc>
        <w:tc>
          <w:tcPr>
            <w:tcW w:w="100" w:type="dxa"/>
            <w:vAlign w:val="bottom"/>
          </w:tcPr>
          <w:p>
            <w:pPr>
              <w:spacing w:after="0"/>
              <w:rPr>
                <w:sz w:val="17"/>
                <w:szCs w:val="17"/>
                <w:color w:val="auto"/>
              </w:rPr>
            </w:pPr>
          </w:p>
        </w:tc>
        <w:tc>
          <w:tcPr>
            <w:tcW w:w="1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Arial" w:cs="Arial" w:eastAsia="Arial" w:hAnsi="Arial"/>
                <w:sz w:val="18"/>
                <w:szCs w:val="18"/>
                <w:color w:val="auto"/>
              </w:rPr>
              <w:t>337,810</w:t>
            </w:r>
          </w:p>
        </w:tc>
        <w:tc>
          <w:tcPr>
            <w:tcW w:w="100" w:type="dxa"/>
            <w:vAlign w:val="bottom"/>
          </w:tcPr>
          <w:p>
            <w:pPr>
              <w:spacing w:after="0"/>
              <w:rPr>
                <w:sz w:val="17"/>
                <w:szCs w:val="17"/>
                <w:color w:val="auto"/>
              </w:rPr>
            </w:pPr>
          </w:p>
        </w:tc>
        <w:tc>
          <w:tcPr>
            <w:tcW w:w="10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486,092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6"/>
                <w:szCs w:val="16"/>
                <w:b w:val="1"/>
                <w:bCs w:val="1"/>
                <w:color w:val="auto"/>
                <w:w w:val="90"/>
              </w:rPr>
              <w:t>December 31, 2021</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672"/>
              <w:spacing w:after="0"/>
              <w:rPr>
                <w:sz w:val="20"/>
                <w:szCs w:val="20"/>
                <w:color w:val="auto"/>
              </w:rPr>
            </w:pPr>
            <w:r>
              <w:rPr>
                <w:rFonts w:ascii="Arial" w:cs="Arial" w:eastAsia="Arial" w:hAnsi="Arial"/>
                <w:sz w:val="16"/>
                <w:szCs w:val="16"/>
                <w:b w:val="1"/>
                <w:bCs w:val="1"/>
                <w:color w:val="auto"/>
                <w:w w:val="91"/>
              </w:rPr>
              <w:t>December 31, 2020</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7"/>
                <w:szCs w:val="17"/>
                <w:color w:val="auto"/>
              </w:rPr>
            </w:pPr>
          </w:p>
        </w:tc>
        <w:tc>
          <w:tcPr>
            <w:tcW w:w="1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Guarantor Subsidiaries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Guarantor Subsidiaries</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25,749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74,649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1,242,724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1,291,630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4,010,028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3,633,383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3,729.996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3,151,581</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27,091</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100,969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671,041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124,886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545,105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331,860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3,023,726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10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believe the following critical accounting policies comprise the more significant judgments and estimates used in the preparation of our consolidated financial statements: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Program Rights</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Licensed rights to programming, including feature films and episodic series, are stated at the lower of 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or accelerated basis, based on the expected exploitation strategy of the rights, over a period not to exceed the respective license periods. We periodically review the remaining useful lives of our licensed program rights based on several factors, including expected future revenue generation from airings on our networks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7"/>
          <w:szCs w:val="17"/>
          <w:color w:val="auto"/>
        </w:rPr>
        <w:t>and other exploitation opportunities, ratings, type and quality of program material, standards and practices and fitness for exhibition through various forms of distribution. If it is determined that film or other program rights have limited, or no, future programming usefulness, the remaining useful life of such rights is adjusted accordingly, which may result in the accelerated amortization or write-off of such costs to technical and operating expense.</w:t>
      </w:r>
    </w:p>
    <w:p>
      <w:pPr>
        <w:spacing w:after="0" w:line="9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Owned original programming costs, including estimated participation and residual costs qualifying for capitalization, are recorded as program rights on the consolidated balance sheet. Program rights that are predominantly monetized individually are amortized to technical and operating expense over their estimated useful lives, commencing upon the first airing, based on attributable revenue for airings to date as a percentage of total projected attributable revenue ("ultimate revenue") under the individual-film-forecast-computation method. Program rights that are monetized as a group are amortized based on projected usage, typically resulting in an accelerated amortization pattern. We base our estimates of ultimate revenue primarily on distribution and advertising revenues historically generated from similar content in comparable markets, and projected program usage. Projected program usage is based on our current expectation of future exhibitions. We periodically review ultimate revenue estimates and projected program usage and revise our assumptions if necessary, which could either accelerate or delay the timing of amortization expense or result in a write-down of unamortized costs to fair value. For example, a program's strong performance could result in increased usage and increased attributable revenues in a particular period, resulting in accelerated amortization of costs in that period. Poor ratings may result in the reduction of attributable revenue from planned usage or the abandonment of a program, which would require a write-off of any unamortized costs. Actual attributable revenue and exhibitions may vary from our projections due to factors such as market acceptance, levels of distribution and advertising revenue, resulting in changes to our decisions regarding planned program usage. A failure to adjust for a downward change in estimates of ultimate revenue could result in the understatement of program rights amortization expense for the period. Any capitalized development costs for programs that we determine will not be produced are also written off. Historically, other than instances of write-offs associated with our decisions to abandon programming, actual ultimate revenue amounts have not significantly differed from our estimates of ultimate revenue.</w:t>
      </w:r>
    </w:p>
    <w:p>
      <w:pPr>
        <w:spacing w:after="0" w:line="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rights write-offs of $12.8 million, $108.3 million and $40.9 million were recorded for the years ended December 31, 2021, 2020 and 2019,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Useful Lives of Affiliate Intangible Assets</w:t>
      </w:r>
    </w:p>
    <w:p>
      <w:pPr>
        <w:spacing w:after="0" w:line="117"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carrying amount of our intangible assets as of December 31, 2021 is $399.4 million, of which $294.9 million is comprised of affiliate relationships acquired in business combinations. Useful lives of affiliate relationships (ranging from 6 to 25 years) are initially determined based upon weighted average remaining terms of agreements in place with major distributors when purchase accounting is applied, plus an assumption for expected renewals. We periodically update our assumption for expected renewals based on recent experience and known or expected trends. We have historically been successful in renewing our major affiliation agreements and expect to renew such agreements in the future. However, if renewal trends deteriorate in the future (e.g., failure to renew, or renewals with significantly shorter terms), we may revise the remaining useful lives of affiliate intangible assets, resulting in higher amortization expenses in future periods. In June 2020, we recognized impairment charges associated with certain intangible assets. See Note 9 to the accompanying consolidated financial statements included in this Annual Report on Form 10-K for additional details.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 Standards Update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Company recognizes goodwill impairment as the difference between the carrying amount of a reporting unit and its fair value, but not to exceed the carrying amount of goodwill.</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5"/>
              </w:rPr>
              <w:t>December 31, 2021</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353,470</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and Other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355,874</w:t>
            </w:r>
          </w:p>
        </w:tc>
      </w:tr>
      <w:tr>
        <w:trPr>
          <w:trHeight w:val="248"/>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709,344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Based on our annual and interim impairment tests for goodwill during 2021 and 2020, we recognized no impairment charges for the year ended December 31, 2021 and $25.1 million for the year ended December 31, 2020. See Note 9 to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accompanying consolidated financial statements included in this Annual Report on Form 10-K for additional details.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December 31, 2021, the fair value of our fixed rate debt of $2.22 billion was higher than its carrying value of $2.17 billion by $45.1 million. The fair value of these financial instruments is estimated based on reference to quoted market prices for these or comparable securities. A hypothetical 100 basis point decrease in interest rates prevailing at December 31, 2021 would increase the estimated fair value of our fixed rate debt by approximately $69.0 million to approximately $2.29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may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2021, we have $2.9 billion principal amount of debt outstanding (excluding finance leases), of which $675.0 million principal amount outstanding under the Credit Facility is subject to variable interest rates. A hypothetical 100 basis point increase in interest rates prevailing at December 31, 2021 would increase our annual interest expense by approximately $6.6 million. The interest rate paid on approximately 77% of our debt (excluding finance leases) as of December 31, 2021 is fixed.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our international expansion in recent years, we expect the exposure to foreign currency fluctuations will have a more significant impact on our financial position and results of operations.</w:t>
      </w:r>
    </w:p>
    <w:p>
      <w:pPr>
        <w:spacing w:after="0" w:line="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recognized foreign currency transaction gains (losses) of $12.2 million, $(4.0) million and $11.1 million for the years ended December 31, 2021, 2020 and 2019, respectively, resulting from the translation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Such amount is included in miscellaneous, net in the consolidated statements of income.</w:t>
      </w:r>
    </w:p>
    <w:p>
      <w:pPr>
        <w:spacing w:after="0" w:line="8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Financial Statements required by this Item 8 appear beginning on page 63 of this Annual Report, and are incorporated by reference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December 31, 2021,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Report on Internal Control over Financial Reporting</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jc w:val="both"/>
        <w:ind w:firstLine="8"/>
        <w:spacing w:after="0" w:line="253" w:lineRule="auto"/>
        <w:tabs>
          <w:tab w:leader="none" w:pos="2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the Company's Chief Executive Officer and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2021.</w:t>
      </w:r>
    </w:p>
    <w:p>
      <w:pPr>
        <w:spacing w:after="0" w:line="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Independent Registered Public Accounting Firm</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KPMG LLP, an independent registered public accounting firm, as stated in their attestation report appearing on page F-1.</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December 31, 2021, there were no changes in the Company's internal control over financial reporting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Information relating to our directors, executive officers and corporate governance will be included in our definitive Proxy Statement for our 2022 Annual Meeting of Stockholders, which will be filed within 120 days of the year ended December 31, 2021 (the "2022 Proxy Statement"), which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relating to executive compensation will be included in the 2022 Proxy Statement, which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relating to the beneficial ownership of our common stock and related stockholder matters will be included in the 2022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included in the 2022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relating to principal accountant fees and services will be included in the 2022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part of the Form 10-K: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statements as indicated in the index set forth on page 63.</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Schedules other than that listed above have been omitted, since they are either not applicable, not required or the information is included elsewhere herein.</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8"/>
              </w:rPr>
              <w:t>INDEX TO EXHIBITS</w:t>
            </w:r>
          </w:p>
        </w:tc>
        <w:tc>
          <w:tcPr>
            <w:tcW w:w="47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gridSpan w:val="29"/>
            <w:vMerge w:val="restart"/>
          </w:tcPr>
          <w:p>
            <w:pPr>
              <w:ind w:left="5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0" w:type="dxa"/>
            <w:vAlign w:val="bottom"/>
            <w:tcBorders>
              <w:bottom w:val="single" w:sz="8" w:color="auto"/>
            </w:tcBorders>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2.1</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35"/>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Agreement and Plan of Merger, dated as of July 29, 2018, by and among RLJE, the Company (solely for the purposes of Section 10.7</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thereof), DEH and Merger Sub (incorporated by reference to Exhibit 2.1 to the Company's Current Report on Form 8-K filed July 30,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2018).</w:t>
              </w:r>
            </w:hyperlink>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3.1(i)</w:t>
            </w: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Amended and Restated Certificate of Incorporation of AMC Networks Inc. (incorporated by reference to Exhibit 99.4 to the Company's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Current Report on Form 8-K filed on July 1, 2011).</w:t>
              </w:r>
            </w:hyperlink>
          </w:p>
        </w:tc>
        <w:tc>
          <w:tcPr>
            <w:tcW w:w="61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rPr>
              <w:t>3.1(ii)</w:t>
            </w: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Amended and Restated By-Laws of AMC Networks Inc. (incorporated by reference to Exhibit 99.5 to the Company's Current Report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Form 8-K filed on July 1,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Form of Registration Rights Agreement between AMC Networks Inc. and The Charles F. Dolan Children Trusts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reference to Exhibit 3.5 to the Company's Amendment No. 5 to Registration Statement on Form 10 filed on June 6, 2011).</w:t>
              </w:r>
            </w:hyperlink>
          </w:p>
        </w:tc>
        <w:tc>
          <w:tcPr>
            <w:tcW w:w="52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5"/>
              </w:rPr>
            </w:pPr>
            <w:hyperlink r:id="rId101">
              <w:r>
                <w:rPr>
                  <w:rFonts w:ascii="Arial" w:cs="Arial" w:eastAsia="Arial" w:hAnsi="Arial"/>
                  <w:sz w:val="18"/>
                  <w:szCs w:val="18"/>
                  <w:color w:val="0000FF"/>
                  <w:w w:val="95"/>
                </w:rPr>
                <w:t>Form of Registration Rights Agreement between AMC Networks Inc. and The Dolan Family Affiliates (incorporated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Exhibit 3.6 to the Company's Amendment No. 5 to Registration Statement on Form 10 filed on June 6, 2011).</w:t>
              </w:r>
            </w:hyperlink>
          </w:p>
        </w:tc>
        <w:tc>
          <w:tcPr>
            <w:tcW w:w="166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Registration Rights Agreement, dated as of June 30, 2011, among AMC Networks Inc., the subsidiary guarantors named therein, Merrill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4"/>
          </w:tcPr>
          <w:p>
            <w:pPr>
              <w:spacing w:after="0" w:line="156" w:lineRule="exact"/>
              <w:rPr>
                <w:rFonts w:ascii="Arial" w:cs="Arial" w:eastAsia="Arial" w:hAnsi="Arial"/>
                <w:sz w:val="18"/>
                <w:szCs w:val="18"/>
                <w:color w:val="0000FF"/>
                <w:w w:val="96"/>
              </w:rPr>
            </w:pPr>
            <w:hyperlink r:id="rId102">
              <w:r>
                <w:rPr>
                  <w:rFonts w:ascii="Arial" w:cs="Arial" w:eastAsia="Arial" w:hAnsi="Arial"/>
                  <w:sz w:val="18"/>
                  <w:szCs w:val="18"/>
                  <w:color w:val="0000FF"/>
                  <w:w w:val="96"/>
                </w:rPr>
                <w:t>Lynch, Pierce, Fenner &amp; Smith Incorporated and J.P. Morgan Securities LLC, as representatives of the several initial purchasers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(incorporated by reference to Exhibit 99.2 to the Company's Current Report on Form 8-K filed on July 1, 2011).</w:t>
              </w:r>
            </w:hyperlink>
          </w:p>
        </w:tc>
        <w:tc>
          <w:tcPr>
            <w:tcW w:w="2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Indenture dated as of March 30, 2016, by and among AMC Networks Inc., as Issuer, each of the guarantors party thereto and U.S. Bank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National Association, as Trustee (incorporated by reference to Exhibit 4.1 to the Company's Current Report on Form 8-K filed on July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03">
              <w:r>
                <w:rPr>
                  <w:rFonts w:ascii="Arial" w:cs="Arial" w:eastAsia="Arial" w:hAnsi="Arial"/>
                  <w:sz w:val="18"/>
                  <w:szCs w:val="18"/>
                  <w:color w:val="0000FF"/>
                  <w:w w:val="88"/>
                </w:rPr>
                <w:t>28, 2017).</w:t>
              </w:r>
            </w:hyperlink>
          </w:p>
        </w:tc>
        <w:tc>
          <w:tcPr>
            <w:tcW w:w="5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First Supplemental Indenture, dated as of March 30, 2016, to the Indenture, dated as of March 30, 2016, by and among AMC Networks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Inc., as Issuer, each of the guarantors party thereto and U.S. Bank National Association, as Trustee, relating to the AMC Networks Inc.</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5"/>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5.</w:t>
              </w:r>
              <w:r>
                <w:rPr>
                  <w:rFonts w:ascii="Arial" w:cs="Arial" w:eastAsia="Arial" w:hAnsi="Arial"/>
                  <w:sz w:val="18"/>
                  <w:szCs w:val="18"/>
                  <w:u w:val="single" w:color="auto"/>
                  <w:color w:val="0000FF"/>
                  <w:w w:val="92"/>
                </w:rPr>
                <w:t>00%</w:t>
              </w:r>
              <w:r>
                <w:rPr>
                  <w:rFonts w:ascii="Arial" w:cs="Arial" w:eastAsia="Arial" w:hAnsi="Arial"/>
                  <w:sz w:val="18"/>
                  <w:szCs w:val="18"/>
                  <w:color w:val="0000FF"/>
                  <w:w w:val="92"/>
                </w:rPr>
                <w:t xml:space="preserve"> Senior Notes due April 1, 2024 (incorporated by reference to Exhibit 4.1 to the Company's Current Report on Form 8-K filed 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March 30, 2016).</w:t>
              </w:r>
            </w:hyperlink>
          </w:p>
        </w:tc>
        <w:tc>
          <w:tcPr>
            <w:tcW w:w="8500" w:type="dxa"/>
            <w:vAlign w:val="bottom"/>
            <w:tcBorders>
              <w:top w:val="single" w:sz="8" w:color="0000FF"/>
            </w:tcBorders>
            <w:gridSpan w:val="25"/>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Second Supplemental Indenture, dated as of July 28, 2017 to the Indenture, dated as of March 30, 2016, among AMC Networks, as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0"/>
          </w:tcPr>
          <w:p>
            <w:pPr>
              <w:spacing w:after="0" w:line="15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issuer, the Guarantors and U.S. Bank National Association, as Trustee, and Form of Notes (incorporated by reference to Exhibit 4.2</w:t>
              </w:r>
            </w:hyperlink>
          </w:p>
        </w:tc>
        <w:tc>
          <w:tcPr>
            <w:tcW w:w="440" w:type="dxa"/>
            <w:vAlign w:val="bottom"/>
            <w:gridSpan w:val="15"/>
          </w:tcPr>
          <w:p>
            <w:pPr>
              <w:ind w:left="60"/>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the Company's Current Report on Form 8-K filed on July 28,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4.9</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Third Supplemental Indenture, dated as of February 8, 2021, to the Indenture, dated as of March 30, 2016, among AMC Networks, as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24"/>
          </w:tcPr>
          <w:p>
            <w:pPr>
              <w:spacing w:after="0" w:line="182"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issuer, the Guarantors and U.S. Bank National Association, as Trustee, and Form of Notes (incorporated by reference to Exhibit 4.2 to</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the Company's Current Report on Form 8-K filed on February 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4.10</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Description of AMC Networks Inc.'s Securities Registered under Section 12 of the Exchange Act (incorporated by reference to Exhibit</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tcBorders>
              <w:top w:val="single" w:sz="8" w:color="0000FF"/>
              <w:bottom w:val="single" w:sz="8" w:color="0000FF"/>
            </w:tcBorders>
            <w:gridSpan w:val="11"/>
          </w:tcPr>
          <w:p>
            <w:pPr>
              <w:spacing w:after="0" w:line="163"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10</w:t>
              </w:r>
              <w:r>
                <w:rPr>
                  <w:rFonts w:ascii="Arial" w:cs="Arial" w:eastAsia="Arial" w:hAnsi="Arial"/>
                  <w:sz w:val="18"/>
                  <w:szCs w:val="18"/>
                  <w:color w:val="0000FF"/>
                  <w:w w:val="90"/>
                </w:rPr>
                <w:t xml:space="preserve"> to the Company's Annual Report on Form 10-K for the year ended December 31, 2020).</w:t>
              </w:r>
            </w:hyperlink>
          </w:p>
        </w:tc>
        <w:tc>
          <w:tcPr>
            <w:tcW w:w="34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Form of Tax Disaffiliation Agreement between Cablevision Systems Corporation and AMC Networks Inc. (incorporated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Exhibit 10.2 to the Company's Amendment No. 5 to Registration Statement on Form 10 filed on June 6,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10"/>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Standstill Agreement by and among AMC Networks Inc. and The Dolan Family Group (incorporated by reference to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Exhibit 10.5 to the Company's Amendment No. 5 to Registration Statement on Form 10 filed on June 6, 2011).</w:t>
              </w:r>
            </w:hyperlink>
          </w:p>
        </w:tc>
        <w:tc>
          <w:tcPr>
            <w:tcW w:w="5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10"/>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5"/>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Second Amended and Restated Credit Agreement, dated as of July 28, 2017, among AMC Networks and its subsidiary, AMC Network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Entertainment LLC, as the initial borrowers, certain of AMC Networks’ subsidiaries, as restricted subsidiaries, JPMorgan Chase Bank,</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N.A., as Administrative Agent, Collateral Agent and an L/C Issuer and the lenders party thereto (incorporated by reference to Exhibit</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July 28, 2017).</w:t>
              </w:r>
            </w:hyperlink>
          </w:p>
        </w:tc>
        <w:tc>
          <w:tcPr>
            <w:tcW w:w="4160" w:type="dxa"/>
            <w:vAlign w:val="bottom"/>
            <w:tcBorders>
              <w:top w:val="single" w:sz="8" w:color="0000FF"/>
            </w:tcBorders>
            <w:gridSpan w:val="12"/>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gridSpan w:val="8"/>
          </w:tcPr>
          <w:p>
            <w:pPr>
              <w:jc w:val="right"/>
              <w:ind w:right="468"/>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60" w:type="dxa"/>
            <w:vAlign w:val="bottom"/>
          </w:tcPr>
          <w:p>
            <w:pPr>
              <w:jc w:val="center"/>
              <w:ind w:right="250"/>
              <w:spacing w:after="0"/>
              <w:rPr>
                <w:sz w:val="20"/>
                <w:szCs w:val="20"/>
                <w:color w:val="auto"/>
              </w:rPr>
            </w:pPr>
            <w:r>
              <w:rPr>
                <w:rFonts w:ascii="Arial" w:cs="Arial" w:eastAsia="Arial" w:hAnsi="Arial"/>
                <w:sz w:val="18"/>
                <w:szCs w:val="18"/>
                <w:color w:val="auto"/>
                <w:w w:val="85"/>
              </w:rPr>
              <w:t>10.4</w:t>
            </w:r>
          </w:p>
        </w:tc>
        <w:tc>
          <w:tcPr>
            <w:tcW w:w="9900" w:type="dxa"/>
            <w:vAlign w:val="bottom"/>
            <w:gridSpan w:val="37"/>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Amendment No. 1, dated as of February 8, 2021, to the Second Amended and Restated Credit Agreement, dated as of July 28, 2017, in</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740" w:type="dxa"/>
            <w:vAlign w:val="bottom"/>
            <w:tcBorders>
              <w:top w:val="single" w:sz="8" w:color="0000FF"/>
            </w:tcBorders>
            <w:gridSpan w:val="31"/>
          </w:tcPr>
          <w:p>
            <w:pPr>
              <w:spacing w:after="0" w:line="182" w:lineRule="exact"/>
              <w:rPr>
                <w:rFonts w:ascii="Arial" w:cs="Arial" w:eastAsia="Arial" w:hAnsi="Arial"/>
                <w:sz w:val="18"/>
                <w:szCs w:val="18"/>
                <w:color w:val="0000FF"/>
                <w:w w:val="96"/>
              </w:rPr>
            </w:pPr>
            <w:hyperlink r:id="rId113">
              <w:r>
                <w:rPr>
                  <w:rFonts w:ascii="Arial" w:cs="Arial" w:eastAsia="Arial" w:hAnsi="Arial"/>
                  <w:sz w:val="18"/>
                  <w:szCs w:val="18"/>
                  <w:color w:val="0000FF"/>
                  <w:w w:val="96"/>
                </w:rPr>
                <w:t>each case, among AMC Networks and its subsidiary, AMC Network Entertainment LLC, as the initial borrowers, certain of AMC</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89"/>
              </w:rPr>
            </w:pPr>
            <w:hyperlink r:id="rId113">
              <w:r>
                <w:rPr>
                  <w:rFonts w:ascii="Arial" w:cs="Arial" w:eastAsia="Arial" w:hAnsi="Arial"/>
                  <w:sz w:val="18"/>
                  <w:szCs w:val="18"/>
                  <w:color w:val="0000FF"/>
                  <w:w w:val="89"/>
                </w:rPr>
                <w:t>Networks’ subsidiaries, as restricted subsidiaries, Bank of America, N.A., as an L/C Issuer, the lenders party thereto and JPMorgan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440" w:type="dxa"/>
            <w:vAlign w:val="bottom"/>
            <w:gridSpan w:val="25"/>
          </w:tcPr>
          <w:p>
            <w:pPr>
              <w:spacing w:after="0" w:line="182"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Chase Bank, N.A., as Administrative Agent, Collateral Agent and an L/C Issuer (incorporated by reference to Exhibit 10.1 to the</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Company’s Current Report on Form 8-K filed on February 8, 2021)</w:t>
              </w:r>
            </w:hyperlink>
          </w:p>
        </w:tc>
        <w:tc>
          <w:tcPr>
            <w:tcW w:w="440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360" w:type="dxa"/>
            <w:vAlign w:val="bottom"/>
          </w:tcPr>
          <w:p>
            <w:pPr>
              <w:jc w:val="center"/>
              <w:ind w:right="250"/>
              <w:spacing w:after="0"/>
              <w:rPr>
                <w:sz w:val="20"/>
                <w:szCs w:val="20"/>
                <w:color w:val="auto"/>
              </w:rPr>
            </w:pPr>
            <w:r>
              <w:rPr>
                <w:rFonts w:ascii="Arial" w:cs="Arial" w:eastAsia="Arial" w:hAnsi="Arial"/>
                <w:sz w:val="18"/>
                <w:szCs w:val="18"/>
                <w:color w:val="auto"/>
                <w:w w:val="85"/>
              </w:rPr>
              <w:t>10.5</w:t>
            </w:r>
          </w:p>
        </w:tc>
        <w:tc>
          <w:tcPr>
            <w:tcW w:w="9900" w:type="dxa"/>
            <w:vAlign w:val="bottom"/>
            <w:gridSpan w:val="37"/>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AMC Networks Inc. Amended and Restated 2011 Stock Plan For Non-Employee Directors (incorporated by reference to Exhibit 10.2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the Company’s Quarterly Report on Form 10-Q filed on August 5, 2020)</w:t>
              </w:r>
            </w:hyperlink>
          </w:p>
        </w:tc>
        <w:tc>
          <w:tcPr>
            <w:tcW w:w="458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250"/>
              <w:spacing w:after="0"/>
              <w:rPr>
                <w:sz w:val="20"/>
                <w:szCs w:val="20"/>
                <w:color w:val="auto"/>
              </w:rPr>
            </w:pPr>
            <w:r>
              <w:rPr>
                <w:rFonts w:ascii="Arial" w:cs="Arial" w:eastAsia="Arial" w:hAnsi="Arial"/>
                <w:sz w:val="18"/>
                <w:szCs w:val="18"/>
                <w:color w:val="auto"/>
                <w:w w:val="85"/>
              </w:rPr>
              <w:t>10.6</w:t>
            </w:r>
          </w:p>
        </w:tc>
        <w:tc>
          <w:tcPr>
            <w:tcW w:w="9900" w:type="dxa"/>
            <w:vAlign w:val="bottom"/>
            <w:gridSpan w:val="37"/>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Form of Employment Agreement by and between AMC Networks Inc. and Charles F. Dolan (incorporated by reference to Exhibit 10.13</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to the Company's Amendment No. 5 to Registration Statement on Form 10 filed on June 6,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tcPr>
          <w:p>
            <w:pPr>
              <w:jc w:val="center"/>
              <w:ind w:right="250"/>
              <w:spacing w:after="0"/>
              <w:rPr>
                <w:sz w:val="20"/>
                <w:szCs w:val="20"/>
                <w:color w:val="auto"/>
              </w:rPr>
            </w:pPr>
            <w:r>
              <w:rPr>
                <w:rFonts w:ascii="Arial" w:cs="Arial" w:eastAsia="Arial" w:hAnsi="Arial"/>
                <w:sz w:val="18"/>
                <w:szCs w:val="18"/>
                <w:color w:val="auto"/>
                <w:w w:val="85"/>
              </w:rPr>
              <w:t>10.7</w:t>
            </w:r>
          </w:p>
        </w:tc>
        <w:tc>
          <w:tcPr>
            <w:tcW w:w="9900" w:type="dxa"/>
            <w:vAlign w:val="bottom"/>
            <w:gridSpan w:val="37"/>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Amendment to Employment Agreement, dated as of September 15, 2020, by and between AMC Networks Inc. and Charles F. Dolan</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(incorporated by reference to Exhibit 10.1 to the Company's Current Report on Form 8-K filed on September 15, 2020).</w:t>
              </w:r>
            </w:hyperlink>
          </w:p>
        </w:tc>
        <w:tc>
          <w:tcPr>
            <w:tcW w:w="9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250"/>
              <w:spacing w:after="0"/>
              <w:rPr>
                <w:sz w:val="20"/>
                <w:szCs w:val="20"/>
                <w:color w:val="auto"/>
              </w:rPr>
            </w:pPr>
            <w:r>
              <w:rPr>
                <w:rFonts w:ascii="Arial" w:cs="Arial" w:eastAsia="Arial" w:hAnsi="Arial"/>
                <w:sz w:val="18"/>
                <w:szCs w:val="18"/>
                <w:color w:val="auto"/>
                <w:w w:val="85"/>
              </w:rPr>
              <w:t>10.8</w:t>
            </w:r>
          </w:p>
        </w:tc>
        <w:tc>
          <w:tcPr>
            <w:tcW w:w="9160" w:type="dxa"/>
            <w:vAlign w:val="bottom"/>
            <w:tcBorders>
              <w:bottom w:val="single" w:sz="8" w:color="0000FF"/>
            </w:tcBorders>
            <w:gridSpan w:val="15"/>
          </w:tcPr>
          <w:p>
            <w:pPr>
              <w:spacing w:after="0"/>
              <w:rPr>
                <w:rFonts w:ascii="Arial" w:cs="Arial" w:eastAsia="Arial" w:hAnsi="Arial"/>
                <w:sz w:val="18"/>
                <w:szCs w:val="18"/>
                <w:color w:val="0000FF"/>
                <w:w w:val="89"/>
              </w:rPr>
            </w:pPr>
            <w:hyperlink r:id="rId117">
              <w:r>
                <w:rPr>
                  <w:rFonts w:ascii="Arial" w:cs="Arial" w:eastAsia="Arial" w:hAnsi="Arial"/>
                  <w:sz w:val="18"/>
                  <w:szCs w:val="18"/>
                  <w:color w:val="0000FF"/>
                  <w:w w:val="89"/>
                </w:rPr>
                <w:t>Amended and Restated Employment Agreement dated December 11, 2020, between AMC Networks Inc. and Joshua W. Sapan</w:t>
              </w:r>
            </w:hyperlink>
          </w:p>
        </w:tc>
        <w:tc>
          <w:tcPr>
            <w:tcW w:w="7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400" w:type="dxa"/>
            <w:vAlign w:val="bottom"/>
            <w:tcBorders>
              <w:bottom w:val="single" w:sz="8" w:color="0000FF"/>
            </w:tcBorders>
            <w:gridSpan w:val="24"/>
          </w:tcPr>
          <w:p>
            <w:pPr>
              <w:spacing w:after="0" w:line="182"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(incorporated by reference to Exhibit 10.9 to the Company’s Annual Report on Form 10-K for the year ended December 31, 2020)</w:t>
              </w:r>
            </w:hyperlink>
          </w:p>
        </w:tc>
        <w:tc>
          <w:tcPr>
            <w:tcW w:w="5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250"/>
              <w:spacing w:after="0"/>
              <w:rPr>
                <w:sz w:val="20"/>
                <w:szCs w:val="20"/>
                <w:color w:val="auto"/>
              </w:rPr>
            </w:pPr>
            <w:r>
              <w:rPr>
                <w:rFonts w:ascii="Arial" w:cs="Arial" w:eastAsia="Arial" w:hAnsi="Arial"/>
                <w:sz w:val="18"/>
                <w:szCs w:val="18"/>
                <w:color w:val="auto"/>
                <w:w w:val="85"/>
              </w:rPr>
              <w:t>10.9</w:t>
            </w:r>
          </w:p>
        </w:tc>
        <w:tc>
          <w:tcPr>
            <w:tcW w:w="9900" w:type="dxa"/>
            <w:vAlign w:val="bottom"/>
            <w:gridSpan w:val="37"/>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Amendment, dated August 23, 2021, to Amended and Restated Employment Agreement, dated December 11, 2020, by and between</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9900" w:type="dxa"/>
            <w:vAlign w:val="bottom"/>
            <w:gridSpan w:val="37"/>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AMC Networks Inc. and Joshua W. Sapan (incorporated by reference to Exhibit 10.1 to the Company’s Quarterly Report on Form 10-Q</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18">
              <w:r>
                <w:rPr>
                  <w:rFonts w:ascii="Arial" w:cs="Arial" w:eastAsia="Arial" w:hAnsi="Arial"/>
                  <w:sz w:val="18"/>
                  <w:szCs w:val="18"/>
                  <w:color w:val="0000FF"/>
                  <w:w w:val="88"/>
                </w:rPr>
                <w:t>for the quarter ended September 30, 2021)</w:t>
              </w:r>
            </w:hyperlink>
          </w:p>
        </w:tc>
        <w:tc>
          <w:tcPr>
            <w:tcW w:w="6720" w:type="dxa"/>
            <w:vAlign w:val="bottom"/>
            <w:tcBorders>
              <w:top w:val="single" w:sz="8" w:color="0000FF"/>
            </w:tcBorders>
            <w:gridSpan w:val="30"/>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10.10</w:t>
            </w:r>
          </w:p>
        </w:tc>
        <w:tc>
          <w:tcPr>
            <w:tcW w:w="9900" w:type="dxa"/>
            <w:vAlign w:val="bottom"/>
            <w:gridSpan w:val="37"/>
          </w:tcPr>
          <w:p>
            <w:pPr>
              <w:spacing w:after="0"/>
              <w:rPr>
                <w:rFonts w:ascii="Arial" w:cs="Arial" w:eastAsia="Arial" w:hAnsi="Arial"/>
                <w:sz w:val="18"/>
                <w:szCs w:val="18"/>
                <w:color w:val="0000FF"/>
                <w:w w:val="91"/>
              </w:rPr>
            </w:pPr>
            <w:hyperlink r:id="rId119">
              <w:r>
                <w:rPr>
                  <w:rFonts w:ascii="Arial" w:cs="Arial" w:eastAsia="Arial" w:hAnsi="Arial"/>
                  <w:sz w:val="18"/>
                  <w:szCs w:val="18"/>
                  <w:color w:val="0000FF"/>
                  <w:w w:val="91"/>
                </w:rPr>
                <w:t>Employment Agreement, dated August 23, 2021, by and between AMC Networks Inc. and Matthew Blank (incorporated by reference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988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Exhibit 10.2 to the Company’s Quarterly Report on Form 10-Q for the quarter ended September 30,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10.11</w:t>
            </w:r>
          </w:p>
        </w:tc>
        <w:tc>
          <w:tcPr>
            <w:tcW w:w="9900" w:type="dxa"/>
            <w:vAlign w:val="bottom"/>
            <w:gridSpan w:val="37"/>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Employment Agreement, dated August 24, 2021, by and between AMC Networks Inc. and Michael J. Sherin III (incorporated by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6" w:lineRule="exact"/>
              <w:rPr>
                <w:rFonts w:ascii="Arial" w:cs="Arial" w:eastAsia="Arial" w:hAnsi="Arial"/>
                <w:sz w:val="18"/>
                <w:szCs w:val="18"/>
                <w:color w:val="0000FF"/>
                <w:w w:val="98"/>
              </w:rPr>
            </w:pPr>
            <w:hyperlink r:id="rId120">
              <w:r>
                <w:rPr>
                  <w:rFonts w:ascii="Arial" w:cs="Arial" w:eastAsia="Arial" w:hAnsi="Arial"/>
                  <w:sz w:val="18"/>
                  <w:szCs w:val="18"/>
                  <w:color w:val="0000FF"/>
                  <w:w w:val="98"/>
                </w:rPr>
                <w:t>reference to Exhibit 10.3 to the Company’s Quarterly Report on Form 10-Q for the quarter ended September 30,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10.12</w:t>
            </w:r>
          </w:p>
        </w:tc>
        <w:tc>
          <w:tcPr>
            <w:tcW w:w="9900" w:type="dxa"/>
            <w:vAlign w:val="bottom"/>
            <w:gridSpan w:val="37"/>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Amended and Restated Employment Agreement dated October 13, 2016 by and between AMC Networks Inc. and Edward A. Carroll</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(incorporated by reference to Exhibit 10.1 to the Company's Current Report on Form 8-K filed on October 14, 2016).</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10.13</w:t>
            </w:r>
          </w:p>
        </w:tc>
        <w:tc>
          <w:tcPr>
            <w:tcW w:w="9900" w:type="dxa"/>
            <w:vAlign w:val="bottom"/>
            <w:gridSpan w:val="37"/>
          </w:tcPr>
          <w:p>
            <w:pPr>
              <w:spacing w:after="0"/>
              <w:rPr>
                <w:rFonts w:ascii="Arial" w:cs="Arial" w:eastAsia="Arial" w:hAnsi="Arial"/>
                <w:sz w:val="18"/>
                <w:szCs w:val="18"/>
                <w:color w:val="0000FF"/>
                <w:w w:val="97"/>
              </w:rPr>
            </w:pPr>
            <w:hyperlink r:id="rId122">
              <w:r>
                <w:rPr>
                  <w:rFonts w:ascii="Arial" w:cs="Arial" w:eastAsia="Arial" w:hAnsi="Arial"/>
                  <w:sz w:val="18"/>
                  <w:szCs w:val="18"/>
                  <w:color w:val="0000FF"/>
                  <w:w w:val="97"/>
                </w:rPr>
                <w:t>Separation Agreement, dated September 28, 2021, by and between AMC Networks Inc. and Edward A. Carroll (incorporated by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9240" w:type="dxa"/>
            <w:vAlign w:val="bottom"/>
            <w:tcBorders>
              <w:top w:val="single" w:sz="8" w:color="0000FF"/>
            </w:tcBorders>
            <w:gridSpan w:val="17"/>
          </w:tcPr>
          <w:p>
            <w:pPr>
              <w:spacing w:after="0" w:line="169" w:lineRule="exact"/>
              <w:rPr>
                <w:rFonts w:ascii="Arial" w:cs="Arial" w:eastAsia="Arial" w:hAnsi="Arial"/>
                <w:sz w:val="18"/>
                <w:szCs w:val="18"/>
                <w:color w:val="0000FF"/>
                <w:w w:val="97"/>
              </w:rPr>
            </w:pPr>
            <w:hyperlink r:id="rId122">
              <w:r>
                <w:rPr>
                  <w:rFonts w:ascii="Arial" w:cs="Arial" w:eastAsia="Arial" w:hAnsi="Arial"/>
                  <w:sz w:val="18"/>
                  <w:szCs w:val="18"/>
                  <w:color w:val="0000FF"/>
                  <w:w w:val="97"/>
                </w:rPr>
                <w:t>reference to Exhibit 10.4 to the Company’s Quarterly Report on Form 10-Q for the quarter ended September 30, 2021)</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6"/>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10.14</w:t>
            </w:r>
          </w:p>
        </w:tc>
        <w:tc>
          <w:tcPr>
            <w:tcW w:w="9900" w:type="dxa"/>
            <w:vAlign w:val="bottom"/>
            <w:gridSpan w:val="37"/>
          </w:tcPr>
          <w:p>
            <w:pPr>
              <w:spacing w:after="0"/>
              <w:rPr>
                <w:rFonts w:ascii="Arial" w:cs="Arial" w:eastAsia="Arial" w:hAnsi="Arial"/>
                <w:sz w:val="18"/>
                <w:szCs w:val="18"/>
                <w:color w:val="0000FF"/>
                <w:w w:val="97"/>
              </w:rPr>
            </w:pPr>
            <w:hyperlink r:id="rId123">
              <w:r>
                <w:rPr>
                  <w:rFonts w:ascii="Arial" w:cs="Arial" w:eastAsia="Arial" w:hAnsi="Arial"/>
                  <w:sz w:val="18"/>
                  <w:szCs w:val="18"/>
                  <w:color w:val="0000FF"/>
                  <w:w w:val="97"/>
                </w:rPr>
                <w:t>Employment Agreement dated October 12, 2018 by and between AMC Networks Inc. and James G. Gallagher (incorporated by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reference to Exhibit 10.2 to the Company’s Current Report on Form 8-K filed on October 12, 2018).</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270"/>
              <w:spacing w:after="0"/>
              <w:rPr>
                <w:sz w:val="20"/>
                <w:szCs w:val="20"/>
                <w:color w:val="auto"/>
              </w:rPr>
            </w:pPr>
            <w:r>
              <w:rPr>
                <w:rFonts w:ascii="Arial" w:cs="Arial" w:eastAsia="Arial" w:hAnsi="Arial"/>
                <w:sz w:val="18"/>
                <w:szCs w:val="18"/>
                <w:color w:val="auto"/>
                <w:w w:val="88"/>
              </w:rPr>
              <w:t>10.15</w:t>
            </w: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vMerge w:val="continue"/>
          </w:tcPr>
          <w:p>
            <w:pPr>
              <w:spacing w:after="0"/>
              <w:rPr>
                <w:sz w:val="24"/>
                <w:szCs w:val="24"/>
                <w:color w:val="auto"/>
              </w:rPr>
            </w:pPr>
          </w:p>
        </w:tc>
        <w:tc>
          <w:tcPr>
            <w:tcW w:w="9900" w:type="dxa"/>
            <w:vAlign w:val="bottom"/>
            <w:gridSpan w:val="37"/>
          </w:tcPr>
          <w:p>
            <w:pPr>
              <w:spacing w:after="0"/>
              <w:rPr>
                <w:rFonts w:ascii="Arial" w:cs="Arial" w:eastAsia="Arial" w:hAnsi="Arial"/>
                <w:sz w:val="18"/>
                <w:szCs w:val="18"/>
                <w:color w:val="0000FF"/>
                <w:w w:val="95"/>
              </w:rPr>
            </w:pPr>
            <w:hyperlink r:id="rId124">
              <w:r>
                <w:rPr>
                  <w:rFonts w:ascii="Arial" w:cs="Arial" w:eastAsia="Arial" w:hAnsi="Arial"/>
                  <w:sz w:val="18"/>
                  <w:szCs w:val="18"/>
                  <w:color w:val="0000FF"/>
                  <w:w w:val="95"/>
                </w:rPr>
                <w:t>Employment Agreement between AMC Networks Inc. and Donna Coleman, dated October 16, 2020 (incorporated by reference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3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Exhibit 10.1 to the Company's Current Report on Form 8-K filed on October 16, 2020)</w:t>
              </w:r>
            </w:hyperlink>
          </w:p>
        </w:tc>
        <w:tc>
          <w:tcPr>
            <w:tcW w:w="28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jc w:val="center"/>
              <w:ind w:right="270"/>
              <w:spacing w:after="0"/>
              <w:rPr>
                <w:sz w:val="20"/>
                <w:szCs w:val="20"/>
                <w:color w:val="auto"/>
              </w:rPr>
            </w:pPr>
            <w:r>
              <w:rPr>
                <w:rFonts w:ascii="Arial" w:cs="Arial" w:eastAsia="Arial" w:hAnsi="Arial"/>
                <w:sz w:val="18"/>
                <w:szCs w:val="18"/>
                <w:color w:val="auto"/>
                <w:w w:val="88"/>
              </w:rPr>
              <w:t>10.16</w:t>
            </w: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60" w:type="dxa"/>
            <w:vAlign w:val="bottom"/>
            <w:vMerge w:val="continue"/>
          </w:tcPr>
          <w:p>
            <w:pPr>
              <w:spacing w:after="0"/>
              <w:rPr>
                <w:sz w:val="24"/>
                <w:szCs w:val="24"/>
                <w:color w:val="auto"/>
              </w:rPr>
            </w:pPr>
          </w:p>
        </w:tc>
        <w:tc>
          <w:tcPr>
            <w:tcW w:w="9900" w:type="dxa"/>
            <w:vAlign w:val="bottom"/>
            <w:gridSpan w:val="37"/>
          </w:tcPr>
          <w:p>
            <w:pPr>
              <w:spacing w:after="0"/>
              <w:rPr>
                <w:rFonts w:ascii="Arial" w:cs="Arial" w:eastAsia="Arial" w:hAnsi="Arial"/>
                <w:sz w:val="18"/>
                <w:szCs w:val="18"/>
                <w:color w:val="0000FF"/>
                <w:w w:val="96"/>
              </w:rPr>
            </w:pPr>
            <w:hyperlink r:id="rId125">
              <w:r>
                <w:rPr>
                  <w:rFonts w:ascii="Arial" w:cs="Arial" w:eastAsia="Arial" w:hAnsi="Arial"/>
                  <w:sz w:val="18"/>
                  <w:szCs w:val="18"/>
                  <w:color w:val="0000FF"/>
                  <w:w w:val="96"/>
                </w:rPr>
                <w:t>Employment Agreement dated January 12, 2021, between AMC Networks Inc. and Christina Spade (incorporated by reference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34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Exhibit 10.15 to the Company's Annual Report on Form 10-K for the year ended December 31, 2020)</w:t>
              </w:r>
            </w:hyperlink>
          </w:p>
        </w:tc>
        <w:tc>
          <w:tcPr>
            <w:tcW w:w="320" w:type="dxa"/>
            <w:vAlign w:val="bottom"/>
            <w:gridSpan w:val="8"/>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10.17</w:t>
            </w:r>
          </w:p>
        </w:tc>
        <w:tc>
          <w:tcPr>
            <w:tcW w:w="9900" w:type="dxa"/>
            <w:vAlign w:val="bottom"/>
            <w:gridSpan w:val="37"/>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Amendment, dated November 19, 2021, to Employment Agreement dated January 12, 2021, by and between AMC Networks Inc. and</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110">
              <w:r>
                <w:rPr>
                  <w:rFonts w:ascii="Arial" w:cs="Arial" w:eastAsia="Arial" w:hAnsi="Arial"/>
                  <w:sz w:val="18"/>
                  <w:szCs w:val="18"/>
                  <w:color w:val="0000FF"/>
                  <w:w w:val="88"/>
                </w:rPr>
                <w:t>Christina Spade.</w:t>
              </w:r>
            </w:hyperlink>
          </w:p>
        </w:tc>
        <w:tc>
          <w:tcPr>
            <w:tcW w:w="8460" w:type="dxa"/>
            <w:vAlign w:val="bottom"/>
            <w:tcBorders>
              <w:top w:val="single" w:sz="8" w:color="0000FF"/>
            </w:tcBorders>
            <w:gridSpan w:val="28"/>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10.18</w:t>
            </w:r>
          </w:p>
        </w:tc>
        <w:tc>
          <w:tcPr>
            <w:tcW w:w="9900" w:type="dxa"/>
            <w:vAlign w:val="bottom"/>
            <w:gridSpan w:val="37"/>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Form of AMC Networks Inc. Non-Employee Director Award Agreement (incorporated by reference to Exhibit 10.22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Amendment No. 5 to Registration Statement on Form 10 filed on June 6, 2011).</w:t>
              </w:r>
            </w:hyperlink>
          </w:p>
        </w:tc>
        <w:tc>
          <w:tcPr>
            <w:tcW w:w="3960" w:type="dxa"/>
            <w:vAlign w:val="bottom"/>
            <w:tcBorders>
              <w:top w:val="single" w:sz="8" w:color="0000FF"/>
            </w:tcBorders>
            <w:gridSpan w:val="24"/>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10.19</w:t>
            </w:r>
          </w:p>
        </w:tc>
        <w:tc>
          <w:tcPr>
            <w:tcW w:w="9900" w:type="dxa"/>
            <w:vAlign w:val="bottom"/>
            <w:gridSpan w:val="37"/>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Form of AMC Networks Inc. Non-Employee Director Agreement (incorporated by reference to Exhibit 10.4 to the Company's Quarterly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Report on Form 10-Q for the quarter ended June 30, 2012).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6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tcPr>
          <w:p>
            <w:pPr>
              <w:jc w:val="center"/>
              <w:ind w:right="270"/>
              <w:spacing w:after="0"/>
              <w:rPr>
                <w:sz w:val="20"/>
                <w:szCs w:val="20"/>
                <w:color w:val="auto"/>
              </w:rPr>
            </w:pPr>
            <w:r>
              <w:rPr>
                <w:rFonts w:ascii="Arial" w:cs="Arial" w:eastAsia="Arial" w:hAnsi="Arial"/>
                <w:sz w:val="18"/>
                <w:szCs w:val="18"/>
                <w:color w:val="auto"/>
                <w:w w:val="88"/>
              </w:rPr>
              <w:t>10.20</w:t>
            </w:r>
          </w:p>
        </w:tc>
        <w:tc>
          <w:tcPr>
            <w:tcW w:w="9900" w:type="dxa"/>
            <w:vAlign w:val="bottom"/>
            <w:gridSpan w:val="37"/>
          </w:tcPr>
          <w:p>
            <w:pPr>
              <w:spacing w:after="0"/>
              <w:rPr>
                <w:rFonts w:ascii="Arial" w:cs="Arial" w:eastAsia="Arial" w:hAnsi="Arial"/>
                <w:sz w:val="18"/>
                <w:szCs w:val="18"/>
                <w:color w:val="0000FF"/>
                <w:w w:val="97"/>
              </w:rPr>
            </w:pPr>
            <w:hyperlink r:id="rId128">
              <w:r>
                <w:rPr>
                  <w:rFonts w:ascii="Arial" w:cs="Arial" w:eastAsia="Arial" w:hAnsi="Arial"/>
                  <w:sz w:val="18"/>
                  <w:szCs w:val="18"/>
                  <w:color w:val="0000FF"/>
                  <w:w w:val="97"/>
                </w:rPr>
                <w:t>Restricted Stock Unit Agreement dated October 13, 2016, between AMC Networks Inc. and Edward A,. Carroll (incorporated by</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reference to Exhibit 10.2 to the Company's Current Report on Form 8-K filed on October 14, 2016).</w:t>
              </w:r>
            </w:hyperlink>
          </w:p>
        </w:tc>
        <w:tc>
          <w:tcPr>
            <w:tcW w:w="6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360" w:type="dxa"/>
            <w:vAlign w:val="bottom"/>
          </w:tcPr>
          <w:p>
            <w:pPr>
              <w:spacing w:after="0"/>
              <w:rPr>
                <w:sz w:val="24"/>
                <w:szCs w:val="24"/>
                <w:color w:val="auto"/>
              </w:rPr>
            </w:pPr>
          </w:p>
        </w:tc>
        <w:tc>
          <w:tcPr>
            <w:tcW w:w="4880" w:type="dxa"/>
            <w:vAlign w:val="bottom"/>
            <w:tcBorders>
              <w:top w:val="single" w:sz="8" w:color="0000FF"/>
            </w:tcBorders>
            <w:gridSpan w:val="4"/>
          </w:tcPr>
          <w:p>
            <w:pPr>
              <w:ind w:left="4180"/>
              <w:spacing w:after="0"/>
              <w:rPr>
                <w:sz w:val="20"/>
                <w:szCs w:val="20"/>
                <w:color w:val="auto"/>
              </w:rPr>
            </w:pPr>
            <w:r>
              <w:rPr>
                <w:rFonts w:ascii="Arial" w:cs="Arial" w:eastAsia="Arial" w:hAnsi="Arial"/>
                <w:sz w:val="18"/>
                <w:szCs w:val="18"/>
                <w:color w:val="auto"/>
              </w:rPr>
              <w:t>59</w:t>
            </w:r>
          </w:p>
        </w:tc>
        <w:tc>
          <w:tcPr>
            <w:tcW w:w="3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59" w:name="page60"/>
    <w:bookmarkEnd w:id="59"/>
    <w:tbl>
      <w:tblPr>
        <w:tblLayout w:type="fixed"/>
        <w:tblInd w:w="120" w:type="dxa"/>
        <w:tblCellMar>
          <w:top w:w="0" w:type="dxa"/>
          <w:left w:w="0" w:type="dxa"/>
          <w:bottom w:w="0" w:type="dxa"/>
          <w:right w:w="0" w:type="dxa"/>
        </w:tblCellMar>
      </w:tblPr>
      <w:tr>
        <w:trPr>
          <w:trHeight w:val="207"/>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10.21</w:t>
            </w:r>
          </w:p>
        </w:tc>
        <w:tc>
          <w:tcPr>
            <w:tcW w:w="9740" w:type="dxa"/>
            <w:vAlign w:val="bottom"/>
            <w:gridSpan w:val="16"/>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AMC Networks Inc. Amended and Restated 2016 Employee Stock Plan (incorporated by reference to Exhibit 10.1 to the Company’s</w:t>
              </w:r>
            </w:hyperlink>
          </w:p>
        </w:tc>
      </w:tr>
      <w:tr>
        <w:trPr>
          <w:trHeight w:val="183"/>
        </w:trPr>
        <w:tc>
          <w:tcPr>
            <w:tcW w:w="106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Quarterly Report on Form 10-Q filed on August 5, 2020)</w:t>
              </w:r>
            </w:hyperlink>
          </w:p>
        </w:tc>
        <w:tc>
          <w:tcPr>
            <w:tcW w:w="54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8"/>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10.22</w:t>
            </w: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AMC Networks Inc. 2016 Executive Cash Incentive Plan (incorporated by reference to Appendix B to the Company's Definitive Proxy</w:t>
              </w:r>
            </w:hyperlink>
          </w:p>
        </w:tc>
      </w:tr>
      <w:tr>
        <w:trPr>
          <w:trHeight w:val="156"/>
        </w:trPr>
        <w:tc>
          <w:tcPr>
            <w:tcW w:w="1060" w:type="dxa"/>
            <w:vAlign w:val="bottom"/>
          </w:tcPr>
          <w:p>
            <w:pPr>
              <w:spacing w:after="0"/>
              <w:rPr>
                <w:sz w:val="13"/>
                <w:szCs w:val="13"/>
                <w:color w:val="auto"/>
              </w:rPr>
            </w:pPr>
          </w:p>
        </w:tc>
        <w:tc>
          <w:tcPr>
            <w:tcW w:w="9740" w:type="dxa"/>
            <w:vAlign w:val="bottom"/>
            <w:gridSpan w:val="16"/>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Statement filed on April 28, 2016).</w:t>
              </w:r>
            </w:hyperlink>
          </w:p>
        </w:tc>
      </w:tr>
      <w:tr>
        <w:trPr>
          <w:trHeight w:val="20"/>
        </w:trPr>
        <w:tc>
          <w:tcPr>
            <w:tcW w:w="10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10.23</w:t>
            </w:r>
          </w:p>
        </w:tc>
        <w:tc>
          <w:tcPr>
            <w:tcW w:w="9740" w:type="dxa"/>
            <w:vAlign w:val="bottom"/>
            <w:gridSpan w:val="16"/>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Shared Executive Space Cost Sharing Arrangement (incorporated by reference to Exhibit 10.1 to the Company's Quarterly Report on</w:t>
              </w:r>
            </w:hyperlink>
          </w:p>
        </w:tc>
      </w:tr>
      <w:tr>
        <w:trPr>
          <w:trHeight w:val="156"/>
        </w:trPr>
        <w:tc>
          <w:tcPr>
            <w:tcW w:w="10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Form 10-Q for the quarter ended June 30, 2016).</w:t>
              </w:r>
            </w:hyperlink>
          </w:p>
        </w:tc>
        <w:tc>
          <w:tcPr>
            <w:tcW w:w="60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4"/>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10.24</w:t>
            </w:r>
          </w:p>
        </w:tc>
        <w:tc>
          <w:tcPr>
            <w:tcW w:w="9740" w:type="dxa"/>
            <w:vAlign w:val="bottom"/>
            <w:gridSpan w:val="16"/>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Form of Performance Restricted Stock Unit Award Agreement (incorporated by reference to Exhibit 10.21 on Form 10-K for the year</w:t>
              </w:r>
            </w:hyperlink>
          </w:p>
        </w:tc>
      </w:tr>
      <w:tr>
        <w:trPr>
          <w:trHeight w:val="155"/>
        </w:trPr>
        <w:tc>
          <w:tcPr>
            <w:tcW w:w="106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34">
              <w:r>
                <w:rPr>
                  <w:rFonts w:ascii="Arial" w:cs="Arial" w:eastAsia="Arial" w:hAnsi="Arial"/>
                  <w:sz w:val="18"/>
                  <w:szCs w:val="18"/>
                  <w:color w:val="0000FF"/>
                  <w:w w:val="88"/>
                </w:rPr>
                <w:t>ended December 31, 2017).</w:t>
              </w:r>
            </w:hyperlink>
          </w:p>
        </w:tc>
        <w:tc>
          <w:tcPr>
            <w:tcW w:w="7640" w:type="dxa"/>
            <w:vAlign w:val="bottom"/>
            <w:tcBorders>
              <w:top w:val="single" w:sz="8" w:color="0000FF"/>
            </w:tcBorders>
            <w:gridSpan w:val="13"/>
          </w:tcPr>
          <w:p>
            <w:pPr>
              <w:spacing w:after="0"/>
              <w:rPr>
                <w:sz w:val="13"/>
                <w:szCs w:val="13"/>
                <w:color w:val="auto"/>
              </w:rPr>
            </w:pPr>
          </w:p>
        </w:tc>
        <w:tc>
          <w:tcPr>
            <w:tcW w:w="100" w:type="dxa"/>
            <w:vAlign w:val="bottom"/>
          </w:tcPr>
          <w:p>
            <w:pPr>
              <w:spacing w:after="0"/>
              <w:rPr>
                <w:sz w:val="13"/>
                <w:szCs w:val="13"/>
                <w:color w:val="auto"/>
              </w:rPr>
            </w:pPr>
          </w:p>
        </w:tc>
      </w:tr>
      <w:tr>
        <w:trPr>
          <w:trHeight w:val="358"/>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10.25</w:t>
            </w:r>
          </w:p>
        </w:tc>
        <w:tc>
          <w:tcPr>
            <w:tcW w:w="9740" w:type="dxa"/>
            <w:vAlign w:val="bottom"/>
            <w:gridSpan w:val="16"/>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Form of Restricted Stock Unit Award Agreement (incorporated by reference to Exhibit 10.22 on Form 10-K for the year ended</w:t>
              </w:r>
            </w:hyperlink>
          </w:p>
        </w:tc>
      </w:tr>
      <w:tr>
        <w:trPr>
          <w:trHeight w:val="156"/>
        </w:trPr>
        <w:tc>
          <w:tcPr>
            <w:tcW w:w="1060" w:type="dxa"/>
            <w:vAlign w:val="bottom"/>
          </w:tcPr>
          <w:p>
            <w:pPr>
              <w:spacing w:after="0"/>
              <w:rPr>
                <w:sz w:val="13"/>
                <w:szCs w:val="13"/>
                <w:color w:val="auto"/>
              </w:rPr>
            </w:pPr>
          </w:p>
        </w:tc>
        <w:tc>
          <w:tcPr>
            <w:tcW w:w="91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December 31, 2017).</w:t>
              </w:r>
            </w:hyperlink>
          </w:p>
        </w:tc>
        <w:tc>
          <w:tcPr>
            <w:tcW w:w="4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10.26</w:t>
            </w:r>
          </w:p>
        </w:tc>
        <w:tc>
          <w:tcPr>
            <w:tcW w:w="9740" w:type="dxa"/>
            <w:vAlign w:val="bottom"/>
            <w:gridSpan w:val="16"/>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Form of Performance Cash Award Agreement (incorporated by reference to Exhibit 10.1 to the Company's Quarterly Report on Form</w:t>
              </w:r>
            </w:hyperlink>
          </w:p>
        </w:tc>
      </w:tr>
      <w:tr>
        <w:trPr>
          <w:trHeight w:val="156"/>
        </w:trPr>
        <w:tc>
          <w:tcPr>
            <w:tcW w:w="106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10-Q for the quarter ended March 31, 2020).</w:t>
              </w:r>
            </w:hyperlink>
          </w:p>
        </w:tc>
        <w:tc>
          <w:tcPr>
            <w:tcW w:w="6400" w:type="dxa"/>
            <w:vAlign w:val="bottom"/>
            <w:tcBorders>
              <w:top w:val="single" w:sz="8" w:color="0000FF"/>
            </w:tcBorders>
            <w:gridSpan w:val="10"/>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64"/>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10.27</w:t>
            </w:r>
          </w:p>
        </w:tc>
        <w:tc>
          <w:tcPr>
            <w:tcW w:w="33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Form of Performance Cash Award Agreement</w:t>
              </w:r>
            </w:hyperlink>
          </w:p>
        </w:tc>
        <w:tc>
          <w:tcPr>
            <w:tcW w:w="6420" w:type="dxa"/>
            <w:vAlign w:val="bottom"/>
            <w:gridSpan w:val="11"/>
          </w:tcPr>
          <w:p>
            <w:pPr>
              <w:spacing w:after="0"/>
              <w:rPr>
                <w:sz w:val="22"/>
                <w:szCs w:val="22"/>
                <w:color w:val="auto"/>
              </w:rPr>
            </w:pPr>
          </w:p>
        </w:tc>
      </w:tr>
      <w:tr>
        <w:trPr>
          <w:trHeight w:val="263"/>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10.28</w:t>
            </w:r>
          </w:p>
        </w:tc>
        <w:tc>
          <w:tcPr>
            <w:tcW w:w="9740" w:type="dxa"/>
            <w:vAlign w:val="bottom"/>
            <w:gridSpan w:val="16"/>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Master Services Agreement, dated February 8, 2019, by and between Rainbow Media Holdings LLC and 605 LLC (incorporated by</w:t>
              </w:r>
            </w:hyperlink>
          </w:p>
        </w:tc>
      </w:tr>
      <w:tr>
        <w:trPr>
          <w:trHeight w:val="156"/>
        </w:trPr>
        <w:tc>
          <w:tcPr>
            <w:tcW w:w="106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reference to Exhibit 10.1 to the Company's Quarterly Report on Form 10-Q for the quarter ended March 31, 2019).</w:t>
              </w:r>
            </w:hyperlink>
          </w:p>
        </w:tc>
        <w:tc>
          <w:tcPr>
            <w:tcW w:w="1240" w:type="dxa"/>
            <w:vAlign w:val="bottom"/>
            <w:tcBorders>
              <w:top w:val="single" w:sz="8" w:color="0000FF"/>
            </w:tcBorders>
            <w:gridSpan w:val="2"/>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264"/>
        </w:trPr>
        <w:tc>
          <w:tcPr>
            <w:tcW w:w="1060" w:type="dxa"/>
            <w:vAlign w:val="bottom"/>
          </w:tcPr>
          <w:p>
            <w:pPr>
              <w:jc w:val="right"/>
              <w:ind w:right="570"/>
              <w:spacing w:after="0"/>
              <w:rPr>
                <w:sz w:val="20"/>
                <w:szCs w:val="20"/>
                <w:color w:val="auto"/>
              </w:rPr>
            </w:pPr>
            <w:r>
              <w:rPr>
                <w:rFonts w:ascii="Arial" w:cs="Arial" w:eastAsia="Arial" w:hAnsi="Arial"/>
                <w:sz w:val="18"/>
                <w:szCs w:val="18"/>
                <w:color w:val="auto"/>
                <w:w w:val="84"/>
              </w:rPr>
              <w:t>10.29</w:t>
            </w:r>
          </w:p>
        </w:tc>
        <w:tc>
          <w:tcPr>
            <w:tcW w:w="43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27">
              <w:r>
                <w:rPr>
                  <w:rFonts w:ascii="Arial" w:cs="Arial" w:eastAsia="Arial" w:hAnsi="Arial"/>
                  <w:sz w:val="18"/>
                  <w:szCs w:val="18"/>
                  <w:color w:val="0000FF"/>
                  <w:w w:val="91"/>
                </w:rPr>
                <w:t>AMC Networks Inc. Executive Deferred Compensation Plan</w:t>
              </w:r>
            </w:hyperlink>
          </w:p>
        </w:tc>
        <w:tc>
          <w:tcPr>
            <w:tcW w:w="5360" w:type="dxa"/>
            <w:vAlign w:val="bottom"/>
            <w:gridSpan w:val="8"/>
          </w:tcPr>
          <w:p>
            <w:pPr>
              <w:spacing w:after="0"/>
              <w:rPr>
                <w:sz w:val="22"/>
                <w:szCs w:val="22"/>
                <w:color w:val="auto"/>
              </w:rPr>
            </w:pPr>
          </w:p>
        </w:tc>
      </w:tr>
    </w:tbl>
    <w:p>
      <w:pPr>
        <w:spacing w:after="0" w:line="134" w:lineRule="exact"/>
        <w:rPr>
          <w:sz w:val="20"/>
          <w:szCs w:val="20"/>
          <w:color w:val="auto"/>
        </w:rPr>
      </w:pPr>
    </w:p>
    <w:p>
      <w:pPr>
        <w:ind w:left="1180" w:hanging="943"/>
        <w:spacing w:after="0"/>
        <w:tabs>
          <w:tab w:leader="none" w:pos="1180" w:val="left"/>
        </w:tabs>
        <w:numPr>
          <w:ilvl w:val="0"/>
          <w:numId w:val="31"/>
        </w:numPr>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Subsidiaries of the Registrant.</w:t>
        </w:r>
      </w:hyperlink>
    </w:p>
    <w:p>
      <w:pPr>
        <w:spacing w:after="0" w:line="130" w:lineRule="exact"/>
        <w:rPr>
          <w:rFonts w:ascii="Arial" w:cs="Arial" w:eastAsia="Arial" w:hAnsi="Arial"/>
          <w:sz w:val="18"/>
          <w:szCs w:val="18"/>
          <w:u w:val="single" w:color="auto"/>
          <w:color w:val="0000FF"/>
        </w:rPr>
      </w:pPr>
    </w:p>
    <w:p>
      <w:pPr>
        <w:ind w:left="1180" w:hanging="943"/>
        <w:spacing w:after="0"/>
        <w:tabs>
          <w:tab w:leader="none" w:pos="1180" w:val="left"/>
        </w:tabs>
        <w:numPr>
          <w:ilvl w:val="0"/>
          <w:numId w:val="31"/>
        </w:numPr>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List of Guarantor Subsidiaries.</w:t>
        </w:r>
      </w:hyperlink>
    </w:p>
    <w:p>
      <w:pPr>
        <w:spacing w:after="0" w:line="90" w:lineRule="exact"/>
        <w:rPr>
          <w:rFonts w:ascii="Arial" w:cs="Arial" w:eastAsia="Arial" w:hAnsi="Arial"/>
          <w:sz w:val="18"/>
          <w:szCs w:val="18"/>
          <w:u w:val="single" w:color="auto"/>
          <w:color w:val="0000FF"/>
        </w:rPr>
      </w:pPr>
    </w:p>
    <w:p>
      <w:pPr>
        <w:ind w:left="1180" w:hanging="943"/>
        <w:spacing w:after="0"/>
        <w:tabs>
          <w:tab w:leader="none" w:pos="1180" w:val="left"/>
        </w:tabs>
        <w:numPr>
          <w:ilvl w:val="0"/>
          <w:numId w:val="31"/>
        </w:numPr>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Consent of Independent Registered Public Accounting Firm.</w:t>
        </w:r>
      </w:hyperlink>
    </w:p>
    <w:p>
      <w:pPr>
        <w:spacing w:after="0" w:line="117" w:lineRule="exact"/>
        <w:rPr>
          <w:rFonts w:ascii="Arial" w:cs="Arial" w:eastAsia="Arial" w:hAnsi="Arial"/>
          <w:sz w:val="18"/>
          <w:szCs w:val="18"/>
          <w:u w:val="single" w:color="auto"/>
          <w:color w:val="0000FF"/>
        </w:rPr>
      </w:pPr>
    </w:p>
    <w:p>
      <w:pPr>
        <w:ind w:left="1180" w:hanging="943"/>
        <w:spacing w:after="0"/>
        <w:tabs>
          <w:tab w:leader="none" w:pos="1180" w:val="left"/>
        </w:tabs>
        <w:numPr>
          <w:ilvl w:val="0"/>
          <w:numId w:val="31"/>
        </w:numPr>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Power of Attorney (included on the signature page to this Annual Report on Form 10-K).</w:t>
        </w:r>
      </w:hyperlink>
    </w:p>
    <w:p>
      <w:pPr>
        <w:spacing w:after="0" w:line="100"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7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43">
              <w:r>
                <w:rPr>
                  <w:rFonts w:ascii="Arial" w:cs="Arial" w:eastAsia="Arial" w:hAnsi="Arial"/>
                  <w:sz w:val="18"/>
                  <w:szCs w:val="18"/>
                  <w:color w:val="0000FF"/>
                  <w:w w:val="91"/>
                </w:rPr>
                <w:t>Certification of Chief Executive Officer pursuant to Section 302 of the Sarbanes-Oxley Act of 2002.</w:t>
              </w:r>
            </w:hyperlink>
          </w:p>
        </w:tc>
      </w:tr>
      <w:tr>
        <w:trPr>
          <w:trHeight w:val="304"/>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7180" w:type="dxa"/>
            <w:vAlign w:val="bottom"/>
            <w:tcBorders>
              <w:bottom w:val="single" w:sz="8" w:color="0000FF"/>
            </w:tcBorders>
          </w:tcPr>
          <w:p>
            <w:pPr>
              <w:spacing w:after="0"/>
              <w:rPr>
                <w:rFonts w:ascii="Arial" w:cs="Arial" w:eastAsia="Arial" w:hAnsi="Arial"/>
                <w:sz w:val="18"/>
                <w:szCs w:val="18"/>
                <w:color w:val="0000FF"/>
                <w:w w:val="92"/>
              </w:rPr>
            </w:pPr>
            <w:hyperlink w:anchor="page144">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r>
    </w:tbl>
    <w:p>
      <w:pPr>
        <w:spacing w:after="0" w:line="121" w:lineRule="exact"/>
        <w:rPr>
          <w:sz w:val="20"/>
          <w:szCs w:val="20"/>
          <w:color w:val="auto"/>
        </w:rPr>
      </w:pPr>
    </w:p>
    <w:p>
      <w:pPr>
        <w:ind w:left="1180" w:right="200" w:hanging="943"/>
        <w:spacing w:after="0" w:line="235" w:lineRule="auto"/>
        <w:tabs>
          <w:tab w:leader="none" w:pos="1180" w:val="left"/>
        </w:tabs>
        <w:numPr>
          <w:ilvl w:val="0"/>
          <w:numId w:val="32"/>
        </w:numPr>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145">
        <w:r>
          <w:rPr>
            <w:rFonts w:ascii="Arial" w:cs="Arial" w:eastAsia="Arial" w:hAnsi="Arial"/>
            <w:sz w:val="18"/>
            <w:szCs w:val="18"/>
            <w:u w:val="single" w:color="auto"/>
            <w:color w:val="0000FF"/>
          </w:rPr>
          <w:t>U.S.C. Section 1350.</w:t>
        </w:r>
      </w:hyperlink>
    </w:p>
    <w:p>
      <w:pPr>
        <w:spacing w:after="0" w:line="94"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480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800" w:type="dxa"/>
            <w:vAlign w:val="bottom"/>
          </w:tcPr>
          <w:p>
            <w:pPr>
              <w:ind w:left="2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80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800" w:type="dxa"/>
            <w:vAlign w:val="bottom"/>
          </w:tcPr>
          <w:p>
            <w:pPr>
              <w:ind w:left="2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026" w:right="4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February 16, 2022</w:t>
            </w:r>
          </w:p>
        </w:tc>
        <w:tc>
          <w:tcPr>
            <w:tcW w:w="7840" w:type="dxa"/>
            <w:vAlign w:val="bottom"/>
            <w:gridSpan w:val="2"/>
          </w:tcPr>
          <w:p>
            <w:pPr>
              <w:ind w:left="1380"/>
              <w:spacing w:after="0"/>
              <w:rPr>
                <w:sz w:val="20"/>
                <w:szCs w:val="20"/>
                <w:color w:val="auto"/>
              </w:rPr>
            </w:pPr>
            <w:r>
              <w:rPr>
                <w:rFonts w:ascii="Arial" w:cs="Arial" w:eastAsia="Arial" w:hAnsi="Arial"/>
                <w:sz w:val="18"/>
                <w:szCs w:val="18"/>
                <w:color w:val="auto"/>
              </w:rPr>
              <w:t>By:  /s/ Christina Spade</w:t>
            </w:r>
          </w:p>
        </w:tc>
      </w:tr>
      <w:tr>
        <w:trPr>
          <w:trHeight w:val="222"/>
        </w:trPr>
        <w:tc>
          <w:tcPr>
            <w:tcW w:w="3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Matthew Blank and Christina Spade,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Name</w:t>
            </w:r>
          </w:p>
        </w:tc>
        <w:tc>
          <w:tcPr>
            <w:tcW w:w="5400" w:type="dxa"/>
            <w:vAlign w:val="bottom"/>
            <w:gridSpan w:val="3"/>
          </w:tcPr>
          <w:p>
            <w:pPr>
              <w:ind w:left="2900"/>
              <w:spacing w:after="0"/>
              <w:rPr>
                <w:sz w:val="20"/>
                <w:szCs w:val="20"/>
                <w:color w:val="auto"/>
              </w:rPr>
            </w:pPr>
            <w:r>
              <w:rPr>
                <w:rFonts w:ascii="Arial" w:cs="Arial" w:eastAsia="Arial" w:hAnsi="Arial"/>
                <w:sz w:val="14"/>
                <w:szCs w:val="14"/>
                <w:color w:val="auto"/>
              </w:rPr>
              <w:t>Title</w:t>
            </w:r>
          </w:p>
        </w:tc>
        <w:tc>
          <w:tcPr>
            <w:tcW w:w="1480" w:type="dxa"/>
            <w:vAlign w:val="bottom"/>
          </w:tcPr>
          <w:p>
            <w:pPr>
              <w:spacing w:after="0"/>
              <w:rPr>
                <w:sz w:val="14"/>
                <w:szCs w:val="14"/>
                <w:color w:val="auto"/>
              </w:rPr>
            </w:pPr>
          </w:p>
        </w:tc>
        <w:tc>
          <w:tcPr>
            <w:tcW w:w="1100" w:type="dxa"/>
            <w:vAlign w:val="bottom"/>
            <w:gridSpan w:val="2"/>
          </w:tcPr>
          <w:p>
            <w:pPr>
              <w:jc w:val="center"/>
              <w:ind w:right="840"/>
              <w:spacing w:after="0"/>
              <w:rPr>
                <w:sz w:val="20"/>
                <w:szCs w:val="20"/>
                <w:color w:val="auto"/>
              </w:rPr>
            </w:pPr>
            <w:r>
              <w:rPr>
                <w:rFonts w:ascii="Arial" w:cs="Arial" w:eastAsia="Arial" w:hAnsi="Arial"/>
                <w:sz w:val="14"/>
                <w:szCs w:val="14"/>
                <w:color w:val="auto"/>
                <w:w w:val="87"/>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20"/>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/s/ Matthew Blank</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00" w:type="dxa"/>
            <w:vAlign w:val="bottom"/>
          </w:tcPr>
          <w:p>
            <w:pPr>
              <w:ind w:left="440"/>
              <w:spacing w:after="0"/>
              <w:rPr>
                <w:sz w:val="20"/>
                <w:szCs w:val="20"/>
                <w:color w:val="auto"/>
              </w:rPr>
            </w:pPr>
            <w:r>
              <w:rPr>
                <w:rFonts w:ascii="Arial" w:cs="Arial" w:eastAsia="Arial" w:hAnsi="Arial"/>
                <w:sz w:val="18"/>
                <w:szCs w:val="18"/>
                <w:color w:val="auto"/>
              </w:rPr>
              <w:t>Interim Chief Executive Officer</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Matthew Blank</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Christina Spade</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Chief Operating Officer and Chief Financial Officer</w:t>
            </w: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Christina Spade</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J. Sherin III</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and Chief Accounting Officer</w:t>
            </w: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Michael J. Sherin III</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James L.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Chairman of the Board of Directors</w:t>
            </w: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James L.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Charles F.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Chairman Emeritus and Director</w:t>
            </w: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Charles F.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William J. Bell</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William J. Bell</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99"/>
        </w:trPr>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Kristin A. Dolan</w:t>
            </w:r>
          </w:p>
        </w:tc>
        <w:tc>
          <w:tcPr>
            <w:tcW w:w="540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February 16, 2022</w:t>
            </w:r>
          </w:p>
        </w:tc>
      </w:tr>
      <w:tr>
        <w:trPr>
          <w:trHeight w:val="224"/>
        </w:trPr>
        <w:tc>
          <w:tcPr>
            <w:tcW w:w="3260" w:type="dxa"/>
            <w:vAlign w:val="bottom"/>
            <w:gridSpan w:val="3"/>
          </w:tcPr>
          <w:p>
            <w:pPr>
              <w:ind w:left="20"/>
              <w:spacing w:after="0"/>
              <w:rPr>
                <w:sz w:val="20"/>
                <w:szCs w:val="20"/>
                <w:color w:val="auto"/>
              </w:rPr>
            </w:pPr>
            <w:r>
              <w:rPr>
                <w:rFonts w:ascii="Arial" w:cs="Arial" w:eastAsia="Arial" w:hAnsi="Arial"/>
                <w:sz w:val="18"/>
                <w:szCs w:val="18"/>
                <w:color w:val="auto"/>
              </w:rPr>
              <w:t>Kristin A.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958"/>
        </w:trPr>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00" w:type="dxa"/>
            <w:vAlign w:val="bottom"/>
          </w:tcPr>
          <w:p>
            <w:pPr>
              <w:ind w:left="228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Aidan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Aidan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F.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Patrick F.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C. Dolan</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Thomas C. Dolan</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Sweeney</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Brian G. Sweeney</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Vincent Tese</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Vincent Tese</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Leonard Tow</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Leonard Tow</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Van Zandt</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David E. Van Zandt</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9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 E. Vogel</w:t>
            </w:r>
          </w:p>
        </w:tc>
        <w:tc>
          <w:tcPr>
            <w:tcW w:w="37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980" w:type="dxa"/>
            <w:vAlign w:val="bottom"/>
          </w:tcPr>
          <w:p>
            <w:pPr>
              <w:ind w:left="264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260" w:type="dxa"/>
            <w:vAlign w:val="bottom"/>
          </w:tcPr>
          <w:p>
            <w:pPr>
              <w:ind w:left="20"/>
              <w:spacing w:after="0"/>
              <w:rPr>
                <w:sz w:val="20"/>
                <w:szCs w:val="20"/>
                <w:color w:val="auto"/>
              </w:rPr>
            </w:pPr>
            <w:r>
              <w:rPr>
                <w:rFonts w:ascii="Arial" w:cs="Arial" w:eastAsia="Arial" w:hAnsi="Arial"/>
                <w:sz w:val="18"/>
                <w:szCs w:val="18"/>
                <w:color w:val="auto"/>
              </w:rPr>
              <w:t>Carl E. Vogel</w:t>
            </w:r>
          </w:p>
        </w:tc>
        <w:tc>
          <w:tcPr>
            <w:tcW w:w="3700" w:type="dxa"/>
            <w:vAlign w:val="bottom"/>
          </w:tcPr>
          <w:p>
            <w:pPr>
              <w:spacing w:after="0"/>
              <w:rPr>
                <w:sz w:val="19"/>
                <w:szCs w:val="19"/>
                <w:color w:val="auto"/>
              </w:rPr>
            </w:pPr>
          </w:p>
        </w:tc>
        <w:tc>
          <w:tcPr>
            <w:tcW w:w="3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35" w:right="639" w:bottom="1440" w:gutter="0" w:footer="0" w:header="0"/>
        </w:sectPr>
      </w:pPr>
    </w:p>
    <w:bookmarkStart w:id="62" w:name="page63"/>
    <w:bookmarkEnd w:id="62"/>
    <w:p>
      <w:pPr>
        <w:jc w:val="center"/>
        <w:ind w:right="-279"/>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20" w:type="dxa"/>
            <w:vAlign w:val="bottom"/>
            <w:gridSpan w:val="8"/>
          </w:tcPr>
          <w:p>
            <w:pPr>
              <w:spacing w:after="0"/>
              <w:rPr>
                <w:sz w:val="20"/>
                <w:szCs w:val="20"/>
                <w:color w:val="auto"/>
              </w:rPr>
            </w:pPr>
            <w:r>
              <w:rPr>
                <w:rFonts w:ascii="Arial" w:cs="Arial" w:eastAsia="Arial" w:hAnsi="Arial"/>
                <w:sz w:val="18"/>
                <w:szCs w:val="18"/>
                <w:b w:val="1"/>
                <w:bCs w:val="1"/>
                <w:color w:val="auto"/>
                <w:w w:val="96"/>
              </w:rPr>
              <w:t>Consolidated Financial Statements as of December 31, 2021 and 2020 and for the years ended December 31, 2021, 2020 and 2019</w:t>
            </w:r>
          </w:p>
        </w:tc>
        <w:tc>
          <w:tcPr>
            <w:tcW w:w="260" w:type="dxa"/>
            <w:vAlign w:val="bottom"/>
          </w:tcPr>
          <w:p>
            <w:pPr>
              <w:spacing w:after="0"/>
              <w:rPr>
                <w:sz w:val="20"/>
                <w:szCs w:val="20"/>
                <w:color w:val="auto"/>
              </w:rPr>
            </w:pPr>
          </w:p>
        </w:tc>
      </w:tr>
      <w:tr>
        <w:trPr>
          <w:trHeight w:val="297"/>
        </w:trPr>
        <w:tc>
          <w:tcPr>
            <w:tcW w:w="10620" w:type="dxa"/>
            <w:vAlign w:val="bottom"/>
            <w:gridSpan w:val="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ID:185)</w:t>
            </w:r>
          </w:p>
        </w:tc>
        <w:tc>
          <w:tcPr>
            <w:tcW w:w="260" w:type="dxa"/>
            <w:vAlign w:val="bottom"/>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F-1</w:t>
              </w:r>
            </w:hyperlink>
          </w:p>
        </w:tc>
      </w:tr>
      <w:tr>
        <w:trPr>
          <w:trHeight w:val="210"/>
        </w:trPr>
        <w:tc>
          <w:tcPr>
            <w:tcW w:w="4280" w:type="dxa"/>
            <w:vAlign w:val="bottom"/>
            <w:tcBorders>
              <w:top w:val="single" w:sz="8" w:color="0000FF"/>
            </w:tcBorders>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Consolidated Balance Sheets</w:t>
              </w:r>
            </w:hyperlink>
          </w:p>
        </w:tc>
        <w:tc>
          <w:tcPr>
            <w:tcW w:w="6340" w:type="dxa"/>
            <w:vAlign w:val="bottom"/>
          </w:tcPr>
          <w:p>
            <w:pPr>
              <w:spacing w:after="0"/>
              <w:rPr>
                <w:sz w:val="18"/>
                <w:szCs w:val="18"/>
                <w:color w:val="auto"/>
              </w:rPr>
            </w:pPr>
          </w:p>
        </w:tc>
        <w:tc>
          <w:tcPr>
            <w:tcW w:w="260" w:type="dxa"/>
            <w:vAlign w:val="bottom"/>
            <w:tcBorders>
              <w:top w:val="single" w:sz="8" w:color="0000FF"/>
            </w:tcBorders>
          </w:tcPr>
          <w:p>
            <w:pPr>
              <w:spacing w:after="0"/>
              <w:rPr>
                <w:rFonts w:ascii="Arial" w:cs="Arial" w:eastAsia="Arial" w:hAnsi="Arial"/>
                <w:sz w:val="18"/>
                <w:szCs w:val="18"/>
                <w:color w:val="0000FF"/>
                <w:w w:val="88"/>
              </w:rPr>
            </w:pPr>
            <w:hyperlink w:anchor="page66">
              <w:r>
                <w:rPr>
                  <w:rFonts w:ascii="Arial" w:cs="Arial" w:eastAsia="Arial" w:hAnsi="Arial"/>
                  <w:sz w:val="18"/>
                  <w:szCs w:val="18"/>
                  <w:color w:val="0000FF"/>
                  <w:w w:val="88"/>
                </w:rPr>
                <w:t>F-4</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10620" w:type="dxa"/>
            <w:vAlign w:val="bottom"/>
            <w:gridSpan w:val="8"/>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Consolidated Statements of Income</w:t>
              </w:r>
            </w:hyperlink>
          </w:p>
        </w:tc>
        <w:tc>
          <w:tcPr>
            <w:tcW w:w="260" w:type="dxa"/>
            <w:vAlign w:val="bottom"/>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F-5</w:t>
              </w:r>
            </w:hyperlink>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7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Consolidated Statements of Comprehensive Income</w:t>
              </w:r>
            </w:hyperlink>
          </w:p>
        </w:tc>
        <w:tc>
          <w:tcPr>
            <w:tcW w:w="6880" w:type="dxa"/>
            <w:vAlign w:val="bottom"/>
            <w:gridSpan w:val="2"/>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8">
              <w:r>
                <w:rPr>
                  <w:rFonts w:ascii="Arial" w:cs="Arial" w:eastAsia="Arial" w:hAnsi="Arial"/>
                  <w:sz w:val="18"/>
                  <w:szCs w:val="18"/>
                  <w:color w:val="0000FF"/>
                  <w:w w:val="88"/>
                </w:rPr>
                <w:t>F-6</w:t>
              </w:r>
            </w:hyperlink>
          </w:p>
        </w:tc>
      </w:tr>
      <w:tr>
        <w:trPr>
          <w:trHeight w:val="209"/>
        </w:trPr>
        <w:tc>
          <w:tcPr>
            <w:tcW w:w="10620" w:type="dxa"/>
            <w:vAlign w:val="bottom"/>
            <w:gridSpan w:val="8"/>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Consolidated Statements of Stockholders’ Equity</w:t>
              </w:r>
            </w:hyperlink>
          </w:p>
        </w:tc>
        <w:tc>
          <w:tcPr>
            <w:tcW w:w="260" w:type="dxa"/>
            <w:vAlign w:val="bottom"/>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F-7</w:t>
              </w:r>
            </w:hyperlink>
          </w:p>
        </w:tc>
      </w:tr>
      <w:tr>
        <w:trPr>
          <w:trHeight w:val="210"/>
        </w:trPr>
        <w:tc>
          <w:tcPr>
            <w:tcW w:w="3540" w:type="dxa"/>
            <w:vAlign w:val="bottom"/>
            <w:tcBorders>
              <w:top w:val="single" w:sz="8" w:color="0000FF"/>
            </w:tcBorders>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Cash Flows</w:t>
              </w:r>
            </w:hyperlink>
          </w:p>
        </w:tc>
        <w:tc>
          <w:tcPr>
            <w:tcW w:w="7080" w:type="dxa"/>
            <w:vAlign w:val="bottom"/>
            <w:gridSpan w:val="3"/>
          </w:tcPr>
          <w:p>
            <w:pPr>
              <w:spacing w:after="0"/>
              <w:rPr>
                <w:sz w:val="18"/>
                <w:szCs w:val="18"/>
                <w:color w:val="auto"/>
              </w:rPr>
            </w:pPr>
          </w:p>
        </w:tc>
        <w:tc>
          <w:tcPr>
            <w:tcW w:w="260" w:type="dxa"/>
            <w:vAlign w:val="bottom"/>
            <w:tcBorders>
              <w:top w:val="single" w:sz="8" w:color="0000FF"/>
            </w:tcBorders>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F-8</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Notes to Consolidated Financial Statements</w:t>
              </w:r>
            </w:hyperlink>
          </w:p>
        </w:tc>
        <w:tc>
          <w:tcPr>
            <w:tcW w:w="260" w:type="dxa"/>
            <w:vAlign w:val="bottom"/>
          </w:tcPr>
          <w:p>
            <w:pPr>
              <w:spacing w:after="0"/>
              <w:rPr>
                <w:rFonts w:ascii="Arial" w:cs="Arial" w:eastAsia="Arial" w:hAnsi="Arial"/>
                <w:sz w:val="18"/>
                <w:szCs w:val="18"/>
                <w:color w:val="0000FF"/>
                <w:w w:val="88"/>
              </w:rPr>
            </w:pPr>
            <w:hyperlink w:anchor="page71">
              <w:r>
                <w:rPr>
                  <w:rFonts w:ascii="Arial" w:cs="Arial" w:eastAsia="Arial" w:hAnsi="Arial"/>
                  <w:sz w:val="18"/>
                  <w:szCs w:val="18"/>
                  <w:color w:val="0000FF"/>
                  <w:w w:val="88"/>
                </w:rPr>
                <w:t>F-9</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Schedule II—Valuation and Qualifying Accounts</w:t>
              </w:r>
            </w:hyperlink>
          </w:p>
        </w:tc>
        <w:tc>
          <w:tcPr>
            <w:tcW w:w="260" w:type="dxa"/>
            <w:vAlign w:val="bottom"/>
          </w:tcPr>
          <w:p>
            <w:pPr>
              <w:spacing w:after="0"/>
              <w:rPr>
                <w:rFonts w:ascii="Arial" w:cs="Arial" w:eastAsia="Arial" w:hAnsi="Arial"/>
                <w:sz w:val="18"/>
                <w:szCs w:val="18"/>
                <w:color w:val="0000FF"/>
                <w:w w:val="85"/>
              </w:rPr>
            </w:pPr>
            <w:hyperlink w:anchor="page108">
              <w:r>
                <w:rPr>
                  <w:rFonts w:ascii="Arial" w:cs="Arial" w:eastAsia="Arial" w:hAnsi="Arial"/>
                  <w:sz w:val="18"/>
                  <w:szCs w:val="18"/>
                  <w:color w:val="0000FF"/>
                  <w:w w:val="85"/>
                </w:rPr>
                <w:t>S-1</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60" w:top="891" w:right="659" w:bottom="1440" w:gutter="0" w:footer="0" w:header="0"/>
        </w:sectPr>
      </w:pPr>
    </w:p>
    <w:bookmarkStart w:id="63" w:name="page64"/>
    <w:bookmarkEnd w:id="6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AMC Networks Inc. and subsidiaries (the Company) as of December 31, 2021 and 2020, the related consolidated statements of income, comprehensive income, stockholders’ equity, and cash flows for each of the years in the three-year period ended December 31, 2021, and the related notes and financial statement schedule II (collectively, the consolidated financial statements). In our opinion, the consolidated financial statements present fairly, in all material respects, the financial position of the Company as of December 31, 2021and 2020, and the results of its operations and its cash flows for each of the years in the three-year period ended December 31, 2021, in conformity with U.S. generally accepted accounting principles.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16, 2022,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program rights as of January 1, 2020 due to the adoption of Accounting Standards Update (ASU) No. 2019-02, Improvements to Accounting for Costs of Films and License Agreements for Program Materials.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Audit Matters</w:t>
      </w:r>
    </w:p>
    <w:p>
      <w:pPr>
        <w:spacing w:after="0" w:line="63"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carrying value of goodwill in the AMC Networks International (AMCNI) reporting unit</w:t>
      </w:r>
    </w:p>
    <w:p>
      <w:pPr>
        <w:spacing w:after="0" w:line="6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 9 to the consolidated financial statements, the Company’s goodwill balance for the International and Other segment was $355.9 million at December 31, 2021, which includes its AMCNI reporting unit. The Company performs goodwill impairment testing at the reporting unit level on an annual basis during the fourth quarter of each fiscal year as of December 1, and whenever events and changes in circumstances indicate that the carrying value of a reporting unit might exceed its fair value.</w:t>
      </w:r>
    </w:p>
    <w:p>
      <w:pPr>
        <w:spacing w:after="0" w:line="7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identified the assessment of the carrying value of goodwill in the AMCNI reporting unit as a critical audit matter. Revenue growth rates, long-term growth rate and the discount rate used by the Company to estimate the fair value of the reporting unit involved challenging auditor judgment and could have a significant effect on the Company’s assessment of the carrying value of the reporting unit’s goodwill.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4" w:name="page65"/>
    <w:bookmarkEnd w:id="64"/>
    <w:p>
      <w:pPr>
        <w:jc w:val="both"/>
        <w:ind w:left="34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impairment process, including controls over the selection of the revenue growth rates, long-term growth rate and the discount rate used to estimate the fair value of the reporting unit. We performed sensitivity analyses over the revenue growth rates, long-term growth rate and discount rate assumptions. We evaluated the Company’s forecasted reporting unit revenue growth rate assumptions by comparing the assumptions to the reporting unit’s historical revenue growth rates, to projected revenue growth rates for guideline companies, and to projected television broadcasting revenue growth rates published by a third-party. We compared the Company’s historical revenue forecasts to actual results to assess the Company’s ability to accurately forecast. We involved a valuation professional with specialized skills and knowledge who assisted in:</w:t>
      </w:r>
    </w:p>
    <w:p>
      <w:pPr>
        <w:spacing w:after="0" w:line="84" w:lineRule="exact"/>
        <w:rPr>
          <w:sz w:val="20"/>
          <w:szCs w:val="20"/>
          <w:color w:val="auto"/>
        </w:rPr>
      </w:pPr>
    </w:p>
    <w:p>
      <w:pPr>
        <w:ind w:left="340" w:hanging="8"/>
        <w:spacing w:after="0" w:line="277" w:lineRule="auto"/>
        <w:tabs>
          <w:tab w:leader="none" w:pos="4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independently developing a discount rate range using publicly available market data for comparable entities and comparing it to the Company’s discount rate;</w:t>
      </w:r>
    </w:p>
    <w:p>
      <w:pPr>
        <w:spacing w:after="0" w:line="8" w:lineRule="exact"/>
        <w:rPr>
          <w:rFonts w:ascii="Arial" w:cs="Arial" w:eastAsia="Arial" w:hAnsi="Arial"/>
          <w:sz w:val="18"/>
          <w:szCs w:val="18"/>
          <w:color w:val="auto"/>
        </w:rPr>
      </w:pPr>
    </w:p>
    <w:p>
      <w:pPr>
        <w:ind w:left="340" w:right="20" w:hanging="8"/>
        <w:spacing w:after="0" w:line="277" w:lineRule="auto"/>
        <w:tabs>
          <w:tab w:leader="none" w:pos="4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independently developing a long-term growth rate range using publicly available market data and comparing it to the Company’s long-term growth rate; and</w:t>
      </w:r>
    </w:p>
    <w:p>
      <w:pPr>
        <w:spacing w:after="0" w:line="8" w:lineRule="exact"/>
        <w:rPr>
          <w:rFonts w:ascii="Arial" w:cs="Arial" w:eastAsia="Arial" w:hAnsi="Arial"/>
          <w:sz w:val="18"/>
          <w:szCs w:val="18"/>
          <w:color w:val="auto"/>
        </w:rPr>
      </w:pPr>
    </w:p>
    <w:p>
      <w:pPr>
        <w:ind w:left="340" w:right="20" w:hanging="8"/>
        <w:spacing w:after="0" w:line="277" w:lineRule="auto"/>
        <w:tabs>
          <w:tab w:leader="none" w:pos="4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developing an estimated range of the reporting unit fair value using the reporting unit’s cash flow projections and the independently developed discount rate range and long-term growth rate range and compared the result to the Company’s fair value estimate.</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amortization of owned original program rights predominantly monetized individually</w:t>
      </w:r>
    </w:p>
    <w:p>
      <w:pPr>
        <w:spacing w:after="0" w:line="11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As discussed in Note 6 to the consolidated financial statements, the balance of the Company’s owned original program rights, net as of December 31, 2021 was $739.5 million, of which $185.2 million relates to completed productions predominantly monetized individually. Program rights that are predominantly monetized individually are amortized to technical and operating expense over their estimated useful lives, commencing upon the first airing, based on attributable revenue for airings to-date as a percentage of total projected attributable revenue (“ultimate revenue”) under the individual-film-forecast-computation method. The Company bases its estimates of ultimate revenue primarily on distribution and advertising revenues historically generated from similar content in comparable markets, and projected program usage. Projected program usage is based on the Company’s expectation of future exhibitions. The Company periodically reviews ultimate revenue estimates and projected program usage and revises assumptions, if necessary, which could either accelerate or delay the timing of amortization expense or result in a write-down of unamortized costs to fair value.</w:t>
      </w:r>
    </w:p>
    <w:p>
      <w:pPr>
        <w:spacing w:after="0" w:line="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identified the assessment of ultimate revenues used in the amortization of owned original program rights predominantly monetized individually as a critical audit matter. The assumptions used by the Company to determine ultimate revenues involved especially challenging auditor judgment as they involve subjective assessments about future distribution (subscription fee revenues and content licensing revenues) and advertising revenues. Changes in those assumptions could have a significant effect on the carrying amount of the Company’s owned original program rights and associated current period program rights amortization expense.</w:t>
      </w:r>
    </w:p>
    <w:p>
      <w:pPr>
        <w:spacing w:after="0" w:line="80"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development of assumptions used in determining projected attributable distribution revenue and projected attributable advertising revenue. We compared the Company’s historical projections of attributable distribution and advertising revenues to actual results to assess the Company’s ability to accurately project ultimate revenues. For a selection of owned original programming predominantly monetized individually, we evaluated (1) projected attributable subscription fee revenue, by comparing the Company’s assumptions for projected subscribers and rates to recent actual subscriber and rate trends and terms of existing distribution agreements, (2) projected attributable content licensing revenue, by comparing expected licensing fees to contractual terms of existing agreements and recent historical trends of sales and usage based royalties, (3) projected attributable advertising revenue, by comparing the underlying pricing and ratings assumptions to recent historical trends, and (4) projected program usage by comparing historical projections to actual usage, to assess the company’s ability to accurately project program usage, and compared projected program usage to historical trends.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audited AMC Networks Inc.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stockholders’ equity, and cash flows for each of the years in the three-year period ended December 31, 2021, and the related notes, and financial statement schedule II (collectively, the consolidated financial statements), and our report, dated February 16, 2022 expressed an unqualified opinion on those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888,526</w:t>
            </w:r>
          </w:p>
        </w:tc>
        <w:tc>
          <w:tcPr>
            <w:tcW w:w="0" w:type="dxa"/>
            <w:vAlign w:val="bottom"/>
          </w:tcPr>
          <w:p>
            <w:pPr>
              <w:spacing w:after="0"/>
              <w:rPr>
                <w:sz w:val="1"/>
                <w:szCs w:val="1"/>
                <w:color w:val="auto"/>
              </w:rPr>
            </w:pPr>
          </w:p>
        </w:tc>
      </w:tr>
      <w:tr>
        <w:trPr>
          <w:trHeight w:val="166"/>
        </w:trPr>
        <w:tc>
          <w:tcPr>
            <w:tcW w:w="8240" w:type="dxa"/>
            <w:vAlign w:val="bottom"/>
          </w:tcPr>
          <w:p>
            <w:pPr>
              <w:ind w:left="340"/>
              <w:spacing w:after="0" w:line="166" w:lineRule="exact"/>
              <w:rPr>
                <w:sz w:val="20"/>
                <w:szCs w:val="20"/>
                <w:color w:val="auto"/>
              </w:rPr>
            </w:pPr>
            <w:r>
              <w:rPr>
                <w:rFonts w:ascii="Arial" w:cs="Arial" w:eastAsia="Arial" w:hAnsi="Arial"/>
                <w:sz w:val="16"/>
                <w:szCs w:val="16"/>
                <w:color w:val="auto"/>
                <w:w w:val="96"/>
              </w:rPr>
              <w:t>Accounts receivable, trade (including amounts due from related parties, net, less allowance for doubtful accounts of</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815,444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813,587</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Arial" w:cs="Arial" w:eastAsia="Arial" w:hAnsi="Arial"/>
                <w:sz w:val="16"/>
                <w:szCs w:val="16"/>
                <w:color w:val="auto"/>
              </w:rPr>
              <w:t>$8,030 and $11,234)</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282,453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223,173</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2,000,186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1,938,766</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$286,133 and $261,082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225,791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256,045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Program rights,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1,731,838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1,269,131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399,434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410,672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686,407</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25,046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146,522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545,153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513,749</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5,748,946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36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173,207</w:t>
            </w:r>
          </w:p>
        </w:tc>
        <w:tc>
          <w:tcPr>
            <w:tcW w:w="12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120,530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320,005</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program rights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307,054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259,449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71,048</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32,435</w:t>
            </w:r>
          </w:p>
        </w:tc>
        <w:tc>
          <w:tcPr>
            <w:tcW w:w="0" w:type="dxa"/>
            <w:vAlign w:val="bottom"/>
          </w:tcPr>
          <w:p>
            <w:pPr>
              <w:spacing w:after="0"/>
              <w:rPr>
                <w:sz w:val="1"/>
                <w:szCs w:val="1"/>
                <w:color w:val="auto"/>
              </w:rPr>
            </w:pPr>
          </w:p>
        </w:tc>
      </w:tr>
      <w:tr>
        <w:trPr>
          <w:trHeight w:val="206"/>
        </w:trPr>
        <w:tc>
          <w:tcPr>
            <w:tcW w:w="824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1,058,085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878,467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Program rights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182,511</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Long-term debt,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2,804,720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2,774,307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Lease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194,324</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Deferred tax liability,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163,600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132,009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125,970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4,562,425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4,287,588</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283,849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315,649</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6" w:lineRule="exact"/>
              <w:rPr>
                <w:sz w:val="20"/>
                <w:szCs w:val="20"/>
                <w:color w:val="auto"/>
              </w:rPr>
            </w:pPr>
            <w:r>
              <w:rPr>
                <w:rFonts w:ascii="Arial" w:cs="Arial" w:eastAsia="Arial" w:hAnsi="Arial"/>
                <w:sz w:val="16"/>
                <w:szCs w:val="16"/>
                <w:color w:val="auto"/>
                <w:w w:val="91"/>
              </w:rPr>
              <w:t>Class A Common Stock, $0.01 par value, 360,000 shares authorized, 65,485 and 64,568 shares issued and 30,892 and 29,975</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20"/>
                <w:szCs w:val="20"/>
                <w:color w:val="auto"/>
              </w:rPr>
            </w:pPr>
            <w:r>
              <w:rPr>
                <w:rFonts w:ascii="Arial" w:cs="Arial" w:eastAsia="Arial" w:hAnsi="Arial"/>
                <w:sz w:val="16"/>
                <w:szCs w:val="16"/>
                <w:color w:val="auto"/>
              </w:rPr>
              <w:t>shares outstanding, 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Preferred stock, $0.01 par value, 45,000 shares authorized; none issued</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323,425</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Arial" w:cs="Arial" w:eastAsia="Arial" w:hAnsi="Arial"/>
                <w:sz w:val="16"/>
                <w:szCs w:val="16"/>
                <w:color w:val="auto"/>
              </w:rPr>
              <w:t>Accumulated earnings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2,098,047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1,847,451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(134,950)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AMC Networks stockholders'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851,088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616,805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Non-redeemable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902,672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643,101</w:t>
            </w:r>
          </w:p>
        </w:tc>
        <w:tc>
          <w:tcPr>
            <w:tcW w:w="0" w:type="dxa"/>
            <w:vAlign w:val="bottom"/>
          </w:tcPr>
          <w:p>
            <w:pPr>
              <w:spacing w:after="0"/>
              <w:rPr>
                <w:sz w:val="1"/>
                <w:szCs w:val="1"/>
                <w:color w:val="auto"/>
              </w:rPr>
            </w:pPr>
          </w:p>
        </w:tc>
      </w:tr>
      <w:tr>
        <w:trPr>
          <w:trHeight w:val="213"/>
        </w:trPr>
        <w:tc>
          <w:tcPr>
            <w:tcW w:w="8240" w:type="dxa"/>
            <w:vAlign w:val="bottom"/>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5,748,946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74"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2019</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Technical and operating (excluding 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1,506,985</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679,444</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r>
      <w:tr>
        <w:trPr>
          <w:trHeight w:val="230"/>
        </w:trPr>
        <w:tc>
          <w:tcPr>
            <w:tcW w:w="6500" w:type="dxa"/>
            <w:vAlign w:val="bottom"/>
          </w:tcPr>
          <w:p>
            <w:pPr>
              <w:ind w:left="340"/>
              <w:spacing w:after="0"/>
              <w:rPr>
                <w:sz w:val="20"/>
                <w:szCs w:val="20"/>
                <w:color w:val="auto"/>
              </w:rPr>
            </w:pPr>
            <w:r>
              <w:rPr>
                <w:rFonts w:ascii="Arial" w:cs="Arial" w:eastAsia="Arial" w:hAnsi="Arial"/>
                <w:sz w:val="18"/>
                <w:szCs w:val="18"/>
                <w:color w:val="auto"/>
              </w:rPr>
              <w:t>Impairment and other charges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106,603</w:t>
            </w: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r>
      <w:tr>
        <w:trPr>
          <w:trHeight w:val="223"/>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2,587,686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2,372,312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2,435,044</w:t>
            </w:r>
          </w:p>
        </w:tc>
      </w:tr>
      <w:tr>
        <w:trPr>
          <w:trHeight w:val="223"/>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625,277</w:t>
            </w:r>
          </w:p>
        </w:tc>
      </w:tr>
      <w:tr>
        <w:trPr>
          <w:trHeight w:val="210"/>
        </w:trPr>
        <w:tc>
          <w:tcPr>
            <w:tcW w:w="6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(157,798)</w:t>
            </w:r>
          </w:p>
        </w:tc>
      </w:tr>
      <w:tr>
        <w:trPr>
          <w:trHeight w:val="229"/>
        </w:trPr>
        <w:tc>
          <w:tcPr>
            <w:tcW w:w="65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24,707</w:t>
            </w: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Miscellaneous,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23"/>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(139,091)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486,186</w:t>
            </w:r>
          </w:p>
        </w:tc>
      </w:tr>
      <w:tr>
        <w:trPr>
          <w:trHeight w:val="230"/>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(78,470)</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256,988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407,716</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(27,230)</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380,486</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162"/>
        </w:trPr>
        <w:tc>
          <w:tcPr>
            <w:tcW w:w="6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56,205</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57,037</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68" w:name="page69"/>
    <w:bookmarkEnd w:id="68"/>
    <w:p>
      <w:pPr>
        <w:ind w:left="39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MC NETWORKS INC. AND SUBSIDIARIES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407,716</w:t>
            </w:r>
          </w:p>
        </w:tc>
      </w:tr>
      <w:tr>
        <w:trPr>
          <w:trHeight w:val="209"/>
        </w:trPr>
        <w:tc>
          <w:tcPr>
            <w:tcW w:w="65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r>
      <w:tr>
        <w:trPr>
          <w:trHeight w:val="230"/>
        </w:trPr>
        <w:tc>
          <w:tcPr>
            <w:tcW w:w="65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loss on interest rate swaps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r>
      <w:tr>
        <w:trPr>
          <w:trHeight w:val="22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r>
      <w:tr>
        <w:trPr>
          <w:trHeight w:val="230"/>
        </w:trPr>
        <w:tc>
          <w:tcPr>
            <w:tcW w:w="65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290,227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400,199</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(27,078)</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373,121</w:t>
            </w:r>
          </w:p>
        </w:tc>
      </w:tr>
      <w:tr>
        <w:trPr>
          <w:trHeight w:val="21"/>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5"/>
          <w:szCs w:val="15"/>
          <w:b w:val="1"/>
          <w:bCs w:val="1"/>
          <w:color w:val="auto"/>
        </w:rPr>
        <w:t>AMC NETWORKS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Class B</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Total AMC</w:t>
            </w: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Paid-in</w:t>
            </w: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Networks</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redeemable</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Common</w:t>
            </w:r>
          </w:p>
        </w:tc>
        <w:tc>
          <w:tcPr>
            <w:tcW w:w="76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Stockholders'</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Noncontrolling</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Stock</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Interests</w:t>
            </w:r>
          </w:p>
        </w:tc>
        <w:tc>
          <w:tcPr>
            <w:tcW w:w="180" w:type="dxa"/>
            <w:vAlign w:val="bottom"/>
          </w:tcPr>
          <w:p>
            <w:pPr>
              <w:spacing w:after="0"/>
              <w:rPr>
                <w:sz w:val="15"/>
                <w:szCs w:val="15"/>
                <w:color w:val="auto"/>
              </w:rPr>
            </w:pPr>
          </w:p>
        </w:tc>
        <w:tc>
          <w:tcPr>
            <w:tcW w:w="760" w:type="dxa"/>
            <w:vAlign w:val="bottom"/>
          </w:tcPr>
          <w:p>
            <w:pPr>
              <w:jc w:val="center"/>
              <w:ind w:right="10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239,767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1,228,942</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(992,583)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(160,194)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316,680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28,528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income attributable to AMC Networks’</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380,486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380,486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380,486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Non-redeemable noncontrolling interests changes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(7,365)</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(70,598)</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(23,018)</w:t>
            </w:r>
          </w:p>
        </w:tc>
        <w:tc>
          <w:tcPr>
            <w:tcW w:w="0" w:type="dxa"/>
            <w:vAlign w:val="bottom"/>
          </w:tcPr>
          <w:p>
            <w:pPr>
              <w:spacing w:after="0"/>
              <w:rPr>
                <w:sz w:val="1"/>
                <w:szCs w:val="1"/>
                <w:color w:val="auto"/>
              </w:rPr>
            </w:pPr>
          </w:p>
        </w:tc>
      </w:tr>
      <w:tr>
        <w:trPr>
          <w:trHeight w:val="18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1,609,428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(1,063,181)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AMC Networks’</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239,979</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239,979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239,979</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attributable to non-redeemable</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Adoption of ASU 2016-13, credit losses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32,761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33,239</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(356,701)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(356,701)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(356,701)</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$ 323,425</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6"/>
              </w:rPr>
              <w:t>1,847,451</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Net income attributable to AMC Networks’</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250,596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250,596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76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12,013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12,013</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from redeemable noncontrolling interest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(40,868)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(40,868)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(41,957)</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9,795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9,795</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issuance under employee stock plans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(32,886)</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$ 347,971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2,098,047</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(1,419,882)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(175,818)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851,088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51,584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902,672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19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Net income including noncontrolling interests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279,839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256,988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407,716</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104,606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101,098</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and other charges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106,603</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Share-based compensation expenses related to equity classified awards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64,133</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restructuring and other related charges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14,098</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Amortization and write-off of program rights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909,339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923,886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974,835</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carriage fees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Unrealized foreign currency transaction (gain) loss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(16,325)</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Bad debt (recoveries)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(38,916)</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Gains on investments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Write-down of non-marketable equity securities and note receivable</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20,206</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(43,345)</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(142,303)</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Program rights and obligations,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(969,900)</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9"/>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w:t>
            </w:r>
          </w:p>
        </w:tc>
      </w:tr>
      <w:tr>
        <w:trPr>
          <w:trHeight w:val="213"/>
        </w:trPr>
        <w:tc>
          <w:tcPr>
            <w:tcW w:w="7540" w:type="dxa"/>
            <w:vAlign w:val="bottom"/>
          </w:tcPr>
          <w:p>
            <w:pPr>
              <w:ind w:left="680"/>
              <w:spacing w:after="0"/>
              <w:rPr>
                <w:sz w:val="20"/>
                <w:szCs w:val="20"/>
                <w:color w:val="auto"/>
              </w:rPr>
            </w:pPr>
            <w:r>
              <w:rPr>
                <w:rFonts w:ascii="Arial" w:cs="Arial" w:eastAsia="Arial" w:hAnsi="Arial"/>
                <w:sz w:val="16"/>
                <w:szCs w:val="16"/>
                <w:color w:val="auto"/>
              </w:rPr>
              <w:t>Deferred carriage fees,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(15,033)</w:t>
            </w:r>
          </w:p>
        </w:tc>
      </w:tr>
      <w:tr>
        <w:trPr>
          <w:trHeight w:val="233"/>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 xml:space="preserve">Accounts payable, accrued </w:t>
            </w:r>
            <w:r>
              <w:rPr>
                <w:rFonts w:ascii="Arial" w:cs="Arial" w:eastAsia="Arial" w:hAnsi="Arial"/>
                <w:sz w:val="17"/>
                <w:szCs w:val="17"/>
                <w:color w:val="auto"/>
              </w:rPr>
              <w:t>liabilities</w:t>
            </w:r>
            <w:r>
              <w:rPr>
                <w:rFonts w:ascii="Arial" w:cs="Arial" w:eastAsia="Arial" w:hAnsi="Arial"/>
                <w:sz w:val="16"/>
                <w:szCs w:val="16"/>
                <w:color w:val="auto"/>
              </w:rPr>
              <w:t xml:space="preserve"> and 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129,406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(28,408)</w:t>
            </w:r>
          </w:p>
        </w:tc>
      </w:tr>
      <w:tr>
        <w:trPr>
          <w:trHeight w:val="207"/>
        </w:trPr>
        <w:tc>
          <w:tcPr>
            <w:tcW w:w="754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748,736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483,748</w:t>
            </w:r>
          </w:p>
        </w:tc>
      </w:tr>
      <w:tr>
        <w:trPr>
          <w:trHeight w:val="19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(91,604)</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of capital from investees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Acquisition of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(3,483)</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on distribution of business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Principal payments received on loans to investees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acquisitions of businesses, net of cash acquired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(89,707)</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the issuance of long-term debt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Principal payments on long-term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(1,016,500)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(22,988)</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Deemed repurchase of restricted stock units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(23,018)</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Purchase of treasury stock</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(70,598)</w:t>
            </w:r>
          </w:p>
        </w:tc>
      </w:tr>
      <w:tr>
        <w:trPr>
          <w:trHeight w:val="219"/>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w:t>
            </w:r>
          </w:p>
        </w:tc>
      </w:tr>
      <w:tr>
        <w:trPr>
          <w:trHeight w:val="213"/>
        </w:trPr>
        <w:tc>
          <w:tcPr>
            <w:tcW w:w="7540" w:type="dxa"/>
            <w:vAlign w:val="bottom"/>
          </w:tcPr>
          <w:p>
            <w:pPr>
              <w:ind w:left="360"/>
              <w:spacing w:after="0"/>
              <w:rPr>
                <w:sz w:val="20"/>
                <w:szCs w:val="20"/>
                <w:color w:val="auto"/>
              </w:rPr>
            </w:pPr>
            <w:r>
              <w:rPr>
                <w:rFonts w:ascii="Arial" w:cs="Arial" w:eastAsia="Arial" w:hAnsi="Arial"/>
                <w:sz w:val="16"/>
                <w:szCs w:val="16"/>
                <w:color w:val="auto"/>
              </w:rPr>
              <w:t>Principal payments on finance lease obligations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(5,115)</w:t>
            </w:r>
          </w:p>
        </w:tc>
      </w:tr>
      <w:tr>
        <w:trPr>
          <w:trHeight w:val="233"/>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from noncontrolling interest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(15,558)</w:t>
            </w:r>
          </w:p>
        </w:tc>
      </w:tr>
      <w:tr>
        <w:trPr>
          <w:trHeight w:val="210"/>
        </w:trPr>
        <w:tc>
          <w:tcPr>
            <w:tcW w:w="75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(647,998)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(131,126)</w:t>
            </w:r>
          </w:p>
        </w:tc>
      </w:t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increase in cash and cash equivalents from operations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262,915</w:t>
            </w: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554,886</w:t>
            </w:r>
          </w:p>
        </w:tc>
      </w:tr>
      <w:tr>
        <w:trPr>
          <w:trHeight w:val="23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816,170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the Company changed its presentation of operating segments, reflecting a reorganized operating structure focused on a multi-platform distribution approach to content monetization. The Company's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periods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93" w:lineRule="auto"/>
        <w:tabs>
          <w:tab w:leader="none" w:pos="655"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Domestic Operations: </w:t>
      </w:r>
      <w:r>
        <w:rPr>
          <w:rFonts w:ascii="Arial" w:cs="Arial" w:eastAsia="Arial" w:hAnsi="Arial"/>
          <w:sz w:val="16"/>
          <w:szCs w:val="16"/>
          <w:color w:val="auto"/>
        </w:rPr>
        <w:t>Includes our programming services and AMC Broadcasting &amp; Technology. Our programming services consist of our five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programming networks, our streaming services, our AMC Studios operation and IFC Films. Our national programming networks are AMC, WE tv, BBC AMERICA, IFC, and SundanceTV. Our streaming services consist of our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56" w:lineRule="exact"/>
        <w:rPr>
          <w:rFonts w:ascii="Arial" w:cs="Arial" w:eastAsia="Arial" w:hAnsi="Arial"/>
          <w:sz w:val="16"/>
          <w:szCs w:val="16"/>
          <w:i w:val="1"/>
          <w:iCs w:val="1"/>
          <w:color w:val="auto"/>
        </w:rPr>
      </w:pPr>
    </w:p>
    <w:p>
      <w:pPr>
        <w:jc w:val="both"/>
        <w:ind w:left="660" w:hanging="328"/>
        <w:spacing w:after="0" w:line="263" w:lineRule="auto"/>
        <w:tabs>
          <w:tab w:leader="none" w:pos="65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relating to the spin-off of the Levity comedy venues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primarily earns revenue from (i) the distribution of its programming services, through distributors and directly to consumers, and licensing of its programming and other content, (ii) advertising, and (iii) other services.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 Revenue Recognition.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Operating Expenses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Costs of revenues, including but not limited to programming expenses, primarily consisting of amortization or write-offs of programming rights, such as those for original programming, feature films and licensed series, participation and residual costs, distribution and production related costs and program delivery costs, such as transmission, encryption, hosting and formatting are classified as technical and operating expenses in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Advertising costs are charged to expense when incurred and are included in selling, general and administrative expenses in the consolidated statements of income. Advertising costs were $383.0 million, $246.9 million and $180.3 million for the years ended December 31, 2021, 2020 and 2019,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expenses is included in selling, general and administrative expenses in the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w:t>
      </w:r>
    </w:p>
    <w:p>
      <w:pPr>
        <w:spacing w:after="0" w:line="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realized and unrealized foreign currency transaction gains (losses) of $12.2 million, $(4.0) million and $11.1 million for the years ended December 31, 2021, 2020 and 2019, respectively, which are included in miscellaneous, net in the consolidated statements of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4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periodically assesses the adequacy of valuation allowances for uncollectible accounts receivable using a forward looking expected loss model by evaluating the collectability of outstanding receivables and general factors such as length of time individual receivables are past due, historical collection experience, and the economic and competitive environment. As of December 31, 2021 and 2020, the Company had $293.4 million and $267.5 million, respectively, of accounts receivable contractually due in excess of one-year, which are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Rights to programming, including feature films and episodic series, acquired under license agreements are stated at the lower of unamortized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expenses on a straight-line or accelerated basis, based on the expected exploitation strategy of the rights, over a period not to exceed the respective license periods.</w:t>
      </w:r>
    </w:p>
    <w:p>
      <w:pPr>
        <w:spacing w:after="0" w:line="12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Owned original programming costs, including estimated participation and residual costs qualifying for capitalization, are recorded as program rights on the consolidated balance sheet. Program rights that are predominantly monetized individually are amortized to technical and operating expenses over their estimated useful lives, commencing upon the first airing, based on attributable revenue for airings to date as a percentage of total projected attributable revenue ("ultimate revenue") under the individual-film-forecast-computation method. Program rights that are monetized as a group are amortized based on projected usage, typically resulting in an accelerated amortization pattern. Projected program usage is based on the Company's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w:t>
      </w:r>
    </w:p>
    <w:p>
      <w:pPr>
        <w:spacing w:after="0" w:line="6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periodically reviews the programming usefulness of its licensed and owned original program rights based on several factors, including expected future revenue generation from airings on the Company's networks and streaming services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expenses in the consolidated statements of income. See Note 6 for further discussion regarding program rights write-offs.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Investments in equity securities (excluding equity method investments) with readily determinable fair values are accounted for at fair value. The Company applies the measurement alternative to fair value for equity securities without readily determinable fair values, which is to record the investments at cost, less impairment, if any, and subsequently adjust for observable price changes of identical or similar investments of the same issuer. All gains and losses related to equity securities are recorded in earnings as a component of miscellaneous, net, in the consolidated statements of income.</w:t>
      </w:r>
    </w:p>
    <w:p>
      <w:pPr>
        <w:spacing w:after="0" w:line="4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 xml:space="preserve">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loans and advances and expenses incurred on behalf of investees as well as payments from equity method investees such as dividends, distributions and repayments of loans and advances are recorded as adjustments to investment balances. The Company applies the cumulative earnings approach for determining the cash flow presentation of cash distributions received from equity method investees. Distributions received are included in the consolidated statements of cash flows as operating activities, unless the cumulative distributions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 evaluates its equity method investments for impairment whenever events or changes in circumstances indicate that the carrying amounts of such investments may not be recoverable. See Note </w:t>
      </w:r>
      <w:r>
        <w:rPr>
          <w:rFonts w:ascii="Arial" w:cs="Arial" w:eastAsia="Arial" w:hAnsi="Arial"/>
          <w:sz w:val="16"/>
          <w:szCs w:val="16"/>
          <w:b w:val="1"/>
          <w:bCs w:val="1"/>
          <w:color w:val="auto"/>
        </w:rPr>
        <w:t>7</w:t>
      </w:r>
      <w:r>
        <w:rPr>
          <w:rFonts w:ascii="Arial" w:cs="Arial" w:eastAsia="Arial" w:hAnsi="Arial"/>
          <w:sz w:val="16"/>
          <w:szCs w:val="16"/>
          <w:color w:val="auto"/>
        </w:rPr>
        <w:t xml:space="preserve"> for further discussion regarding investments.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Amortizable Intangible Assets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Property and equipment are carried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Amortizable intangible assets established in connection with business combinations primarily consist of affiliate and customer relationships, advertiser relationships and trade names. Amortizable intangible assets are amortized on a straight-line basis over their respective estimated useful lives.</w:t>
      </w:r>
    </w:p>
    <w:p>
      <w:pPr>
        <w:spacing w:after="0" w:line="1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reviews its long-lived assets (property and equipment, and amortizable intangible assets) for impairment whenever events or circumstances indicate that the carrying amount of an asset group may not be recoverable. If the sum of the expected cash flows, undiscounted and without interest, is less than the carrying amount of the asset group, an impairment loss is recognized as the amount by which the carrying amount of the asset group exceeds its fair value. See Note 9 for further discussion regarding long-lived and amortizable intangible assets impairment.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6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 See Note 9 for further discussion regarding goodwill impairment.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Indefinite-lived intangible assets established in connection with business combinations consist of trademarks. 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Carriage Fees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 (up to 5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13 for a further discussion of the Company's derivative financial instruments.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 investment tax credits. Global low taxed intangible income (“GILTI”) tax is treated as a period expense. Interest and penalties, if any, associated with uncertain tax positions are included in income tax expense.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16 for further discussion regarding commitments and contingencies.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2021, two customers accounted for 14% and 13%, respectively, of the combined balances of consolidated accounts receivable, trade and receivables due in excess of one-year (included in other assets). As of December 31, 2020, two customers accounted for 18% and 10%, respectively, of the combined balances of consolidated accounts receivable, trade and receivables due in excess of one-year.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 at the greater of their initial carrying amount, increased or decreased for contributions, distributions and the noncontrolling interest's share of net income or loss, or redemption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outstanding equity-based awards.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240" w:type="dxa"/>
            <w:vAlign w:val="bottom"/>
            <w:tcBorders>
              <w:bottom w:val="single" w:sz="8" w:color="auto"/>
            </w:tcBorders>
          </w:tcPr>
          <w:p>
            <w:pPr>
              <w:spacing w:after="0"/>
              <w:rPr>
                <w:sz w:val="18"/>
                <w:szCs w:val="18"/>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740" w:type="dxa"/>
            <w:vAlign w:val="bottom"/>
            <w:gridSpan w:val="3"/>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56,205</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1,075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Approximately 0.3 million and 1.3 million restricted stock units outstanding as of December 31, 2020 and 2019, respectively, have been excluded from diluted weighted average common shares outstanding since a performance condition for these awards had not been met in each of the respective periods. There were no restricted stock units outstanding as of December 31, 2021 that have been excluded from diluted weighted average common shares outstanding due to a performance condition for awards having not been met. As of December 31, 2021, 2020 and 2019 0.4 million, 0.3 million, and 0.6 million, respectively, of restricted stock units and stock options have been excluded from diluted weighted average common shares outstanding, as their impact would have been anti-dilutive.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 AMC Networks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 AMC Networks Class B stockholders are parties to an agreement which has the effect of causing the voting power of these AMC Networks Class B stockholders to be cast as a block.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year ended December 31, 2021, the Company did not repurchase any shares of its Class A common stock. As of December 31, 2021, the Company has $135.3 million available for repurchase under the Stock Repurchase Program.</w:t>
      </w:r>
    </w:p>
    <w:p>
      <w:pPr>
        <w:spacing w:after="0" w:line="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On September 16, 2020, the Company commenced a modified "Dutch auction" tender offer (the "Tender Offer") to purchase up to $250 million in value of shares of its Class A Common Stock, plus up to an additional 2% of the outstanding shares of Class A Common Stock, at a price not greater than $26.50 nor less than $22.50 per share. The Tender Offer expired on October 14, 2020. On October 21, 2020, the Company accepted for purchase 10.8 million shares of its Class A Common Stock, at a price of $23.20 per share, for an aggregate cost of $250.6 million. The cost of these shares, and the fees relating to the Tender Offer, are classified in Treasury stock in the consolidated balance sheet.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6"/>
                <w:szCs w:val="16"/>
                <w:b w:val="1"/>
                <w:bCs w:val="1"/>
                <w:color w:val="auto"/>
              </w:rPr>
              <w:t>Shares Outstanding</w:t>
            </w:r>
          </w:p>
        </w:tc>
      </w:tr>
      <w:tr>
        <w:trPr>
          <w:trHeight w:val="158"/>
        </w:trPr>
        <w:tc>
          <w:tcPr>
            <w:tcW w:w="8040" w:type="dxa"/>
            <w:vAlign w:val="bottom"/>
          </w:tcPr>
          <w:p>
            <w:pPr>
              <w:spacing w:after="0"/>
              <w:rPr>
                <w:sz w:val="13"/>
                <w:szCs w:val="13"/>
                <w:color w:val="auto"/>
              </w:rPr>
            </w:pPr>
          </w:p>
        </w:tc>
        <w:tc>
          <w:tcPr>
            <w:tcW w:w="164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8"/>
              </w:rPr>
              <w:t>Class A</w:t>
            </w:r>
          </w:p>
        </w:tc>
        <w:tc>
          <w:tcPr>
            <w:tcW w:w="1520" w:type="dxa"/>
            <w:vAlign w:val="bottom"/>
          </w:tcPr>
          <w:p>
            <w:pPr>
              <w:jc w:val="right"/>
              <w:ind w:right="432"/>
              <w:spacing w:after="0" w:line="158" w:lineRule="exact"/>
              <w:rPr>
                <w:sz w:val="20"/>
                <w:szCs w:val="20"/>
                <w:color w:val="auto"/>
              </w:rPr>
            </w:pPr>
            <w:r>
              <w:rPr>
                <w:rFonts w:ascii="Arial" w:cs="Arial" w:eastAsia="Arial" w:hAnsi="Arial"/>
                <w:sz w:val="16"/>
                <w:szCs w:val="16"/>
                <w:b w:val="1"/>
                <w:bCs w:val="1"/>
                <w:color w:val="auto"/>
              </w:rPr>
              <w:t>Class B</w:t>
            </w:r>
          </w:p>
        </w:tc>
      </w:tr>
      <w:tr>
        <w:trPr>
          <w:trHeight w:val="213"/>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Common Stock</w:t>
            </w:r>
          </w:p>
        </w:tc>
        <w:tc>
          <w:tcPr>
            <w:tcW w:w="1520" w:type="dxa"/>
            <w:vAlign w:val="bottom"/>
          </w:tcPr>
          <w:p>
            <w:pPr>
              <w:jc w:val="right"/>
              <w:ind w:right="132"/>
              <w:spacing w:after="0"/>
              <w:rPr>
                <w:sz w:val="20"/>
                <w:szCs w:val="20"/>
                <w:color w:val="auto"/>
              </w:rPr>
            </w:pPr>
            <w:r>
              <w:rPr>
                <w:rFonts w:ascii="Arial" w:cs="Arial" w:eastAsia="Arial" w:hAnsi="Arial"/>
                <w:sz w:val="16"/>
                <w:szCs w:val="16"/>
                <w:b w:val="1"/>
                <w:bCs w:val="1"/>
                <w:color w:val="auto"/>
              </w:rPr>
              <w:t>Common Stock</w:t>
            </w:r>
          </w:p>
        </w:tc>
      </w:tr>
      <w:tr>
        <w:trPr>
          <w:trHeight w:val="22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tcPr>
          <w:p>
            <w:pPr>
              <w:jc w:val="right"/>
              <w:spacing w:after="0"/>
              <w:rPr>
                <w:sz w:val="20"/>
                <w:szCs w:val="20"/>
                <w:color w:val="auto"/>
              </w:rPr>
            </w:pPr>
            <w:r>
              <w:rPr>
                <w:rFonts w:ascii="Arial" w:cs="Arial" w:eastAsia="Arial" w:hAnsi="Arial"/>
                <w:sz w:val="18"/>
                <w:szCs w:val="18"/>
                <w:color w:val="auto"/>
              </w:rPr>
              <w:t>44,078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80" w:firstLine="445"/>
        <w:spacing w:after="0" w:line="248" w:lineRule="auto"/>
        <w:rPr>
          <w:sz w:val="20"/>
          <w:szCs w:val="20"/>
          <w:color w:val="auto"/>
        </w:rPr>
      </w:pPr>
      <w:r>
        <w:rPr>
          <w:rFonts w:ascii="Arial" w:cs="Arial" w:eastAsia="Arial" w:hAnsi="Arial"/>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0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 xml:space="preserve">Effective January 1, 2021, the Company adopted Financial Accounting Standard Board (“FASB”) Accounting Standards Update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ASU 2019-12 removes certain exceptions to the general principles in Accounting Standards Codification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(“ASC”) Topic 740 - Income Taxes. The adoption of the standard did not have a material effect on the Company's consolidated financial statements.</w:t>
      </w:r>
    </w:p>
    <w:p>
      <w:pPr>
        <w:spacing w:after="0" w:line="4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Effective January 1, 2020, the Company adopted FASB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changed the impairment model for most financial assets and certain other instruments, including trade and other receivables, held-to-maturity debt securities and loans, and requires entities to use a new forward-looking "expected loss" model that would generally result in the earlier recognition of allowances for losses. The Company adopted the standard using the modified retrospective approach and recorded a decrease to opening retained earnings of $2.0 million, after taxes, for the cumulative-effect of the adoption.</w:t>
      </w:r>
    </w:p>
    <w:p>
      <w:pPr>
        <w:spacing w:after="0" w:line="80"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 xml:space="preserve">Effective January 1, 2020, the Company adopted FASB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standard changed the disclosure requirements related to transfers between Level I and II assets, as well as several aspects surrounding the valuation process and unrealized gains and losses related to Level III assets. The adoption of the standard did not have any effect on the Company's consolidated financial statements.</w:t>
      </w:r>
    </w:p>
    <w:p>
      <w:pPr>
        <w:spacing w:after="0" w:line="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Effective January 1, 2020, the Company adopted FASB ASU No.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Computing Arrangement that is a Service Contract</w:t>
      </w:r>
      <w:r>
        <w:rPr>
          <w:rFonts w:ascii="Arial" w:cs="Arial" w:eastAsia="Arial" w:hAnsi="Arial"/>
          <w:sz w:val="18"/>
          <w:szCs w:val="18"/>
          <w:color w:val="auto"/>
        </w:rPr>
        <w:t>. The standard amended prior guidance to align the accounting for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costs associated with developing or obtaining internal-use software. Capitalized implementation costs must be expensed over the term of the hosting arrangement and presented in the same line item in the income statement as the fees associated with the hosting element (service) of the arrangement. The adoption of the standard did not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Program Materials. </w:t>
      </w:r>
      <w:r>
        <w:rPr>
          <w:rFonts w:ascii="Arial" w:cs="Arial" w:eastAsia="Arial" w:hAnsi="Arial"/>
          <w:sz w:val="18"/>
          <w:szCs w:val="18"/>
          <w:color w:val="auto"/>
        </w:rPr>
        <w:t>The standard aligns the accounting for production costs of episodic television series with the accounting for production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films. In addition, the standard modifies certain aspects of the capitalization, impairment, presentation and disclosure requirements in ASC Topic 926-20 and the impairment, presentation and disclosure requirements in ASC 920-350. The Company adopted the standard on a prospective basis. See Note 6 for further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primarily earns revenue from (i) the distribution of its programming services, through distributors and directly to consumers, and licensing of its programming and other content, (ii) advertising, and (iii) other services. The Company’s revenue recognition policies summarizing the nature, amount, timing and uncertainty associated with each major source of revenue from contracts with customers are described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when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7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financing or credit risk component), the Company recognizes the total amount of fixed transaction price over the contract period using a time-based (e.g., straight-line) measure of progress.</w:t>
      </w:r>
    </w:p>
    <w:p>
      <w:pPr>
        <w:spacing w:after="0" w:line="6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from our streaming services is recognized as the streaming services are provided to customers.</w:t>
      </w:r>
    </w:p>
    <w:p>
      <w:pPr>
        <w:spacing w:after="0" w:line="10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For streaming licensing arrangements, the Company adjusts the transaction price for the time value of money in cases where license fees are paid over several years. Streaming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pacing w:after="0" w:line="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including under streaming, pay-per-view ("PPV") and electronic sell-through ("EST") arrangements. Under these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when the content is delivered to the licensee and the license period has begun.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w:t>
      </w:r>
    </w:p>
    <w:p>
      <w:pPr>
        <w:spacing w:after="0" w:line="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8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earns revenue from production and transmission services. Such services are recognized as revenue as the services are performed.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guidance requires disclosure of the aggregate amount of transaction price that is allocated to performance obligations that have not yet been satisfied as of December 31, 2021.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2021, other than contracts for which the Company has applied the practical expedients, the aggregate amount of transaction price allocated to remaining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in the consolidated balance sheet.</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7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 ability to exhibit a program. Such payments are recorded as a contract liability and subsequently recognized when the program becomes available for exhibition.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420"/>
              <w:spacing w:after="0"/>
              <w:rPr>
                <w:sz w:val="20"/>
                <w:szCs w:val="20"/>
                <w:color w:val="auto"/>
              </w:rPr>
            </w:pPr>
            <w:r>
              <w:rPr>
                <w:rFonts w:ascii="Arial" w:cs="Arial" w:eastAsia="Arial" w:hAnsi="Arial"/>
                <w:sz w:val="18"/>
                <w:szCs w:val="18"/>
                <w:color w:val="auto"/>
                <w:w w:val="98"/>
              </w:rPr>
              <w:t>The  following  table  provides  information  about  receivables,  contract</w:t>
            </w:r>
          </w:p>
        </w:tc>
        <w:tc>
          <w:tcPr>
            <w:tcW w:w="3040" w:type="dxa"/>
            <w:vAlign w:val="bottom"/>
            <w:gridSpan w:val="6"/>
          </w:tcPr>
          <w:p>
            <w:pPr>
              <w:ind w:left="80"/>
              <w:spacing w:after="0"/>
              <w:rPr>
                <w:sz w:val="20"/>
                <w:szCs w:val="20"/>
                <w:color w:val="auto"/>
              </w:rPr>
            </w:pPr>
            <w:r>
              <w:rPr>
                <w:rFonts w:ascii="Arial" w:cs="Arial" w:eastAsia="Arial" w:hAnsi="Arial"/>
                <w:sz w:val="18"/>
                <w:szCs w:val="18"/>
                <w:color w:val="auto"/>
                <w:w w:val="99"/>
              </w:rPr>
              <w:t>assets,  and  contract  liabilities  from</w:t>
            </w:r>
          </w:p>
        </w:tc>
        <w:tc>
          <w:tcPr>
            <w:tcW w:w="2100" w:type="dxa"/>
            <w:vAlign w:val="bottom"/>
            <w:gridSpan w:val="3"/>
          </w:tcPr>
          <w:p>
            <w:pPr>
              <w:ind w:left="60"/>
              <w:spacing w:after="0"/>
              <w:rPr>
                <w:sz w:val="20"/>
                <w:szCs w:val="20"/>
                <w:color w:val="auto"/>
              </w:rPr>
            </w:pPr>
            <w:r>
              <w:rPr>
                <w:rFonts w:ascii="Arial" w:cs="Arial" w:eastAsia="Arial" w:hAnsi="Arial"/>
                <w:sz w:val="18"/>
                <w:szCs w:val="18"/>
                <w:color w:val="auto"/>
                <w:w w:val="94"/>
              </w:rPr>
              <w:t>contracts  with  customers.</w:t>
            </w:r>
          </w:p>
        </w:tc>
      </w:tr>
      <w:tr>
        <w:trPr>
          <w:trHeight w:val="240"/>
        </w:trPr>
        <w:tc>
          <w:tcPr>
            <w:tcW w:w="6100" w:type="dxa"/>
            <w:vAlign w:val="bottom"/>
          </w:tcPr>
          <w:p>
            <w:pPr>
              <w:ind w:left="4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r>
      <w:tr>
        <w:trPr>
          <w:trHeight w:val="226"/>
        </w:trPr>
        <w:tc>
          <w:tcPr>
            <w:tcW w:w="61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Balances from contracts with customers:</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100" w:type="dxa"/>
            <w:vAlign w:val="bottom"/>
          </w:tcPr>
          <w:p>
            <w:pPr>
              <w:ind w:left="640"/>
              <w:spacing w:after="0"/>
              <w:rPr>
                <w:sz w:val="20"/>
                <w:szCs w:val="20"/>
                <w:color w:val="auto"/>
              </w:rPr>
            </w:pPr>
            <w:r>
              <w:rPr>
                <w:rFonts w:ascii="Arial" w:cs="Arial" w:eastAsia="Arial" w:hAnsi="Arial"/>
                <w:sz w:val="18"/>
                <w:szCs w:val="18"/>
                <w:color w:val="auto"/>
              </w:rPr>
              <w:t>Accounts receivable (including long-term, included in Other assets)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1,106,225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1,081,070</w:t>
            </w:r>
          </w:p>
        </w:tc>
        <w:tc>
          <w:tcPr>
            <w:tcW w:w="20" w:type="dxa"/>
            <w:vAlign w:val="bottom"/>
          </w:tcPr>
          <w:p>
            <w:pPr>
              <w:spacing w:after="0"/>
              <w:rPr>
                <w:sz w:val="19"/>
                <w:szCs w:val="19"/>
                <w:color w:val="auto"/>
              </w:rPr>
            </w:pPr>
          </w:p>
        </w:tc>
      </w:tr>
      <w:tr>
        <w:trPr>
          <w:trHeight w:val="230"/>
        </w:trPr>
        <w:tc>
          <w:tcPr>
            <w:tcW w:w="6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Contract assets, short-term (included in Other current assets)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20" w:type="dxa"/>
            <w:vAlign w:val="bottom"/>
          </w:tcPr>
          <w:p>
            <w:pPr>
              <w:spacing w:after="0"/>
              <w:rPr>
                <w:sz w:val="19"/>
                <w:szCs w:val="19"/>
                <w:color w:val="auto"/>
              </w:rPr>
            </w:pPr>
          </w:p>
        </w:tc>
      </w:t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rPr>
              <w:t>Contract assets, long-term (included in Other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9"/>
                <w:szCs w:val="19"/>
                <w:color w:val="auto"/>
              </w:rPr>
            </w:pPr>
          </w:p>
        </w:tc>
      </w:tr>
      <w:tr>
        <w:trPr>
          <w:trHeight w:val="230"/>
        </w:trPr>
        <w:tc>
          <w:tcPr>
            <w:tcW w:w="6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Contract liabilities (Deferred revenue)</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c>
          <w:tcPr>
            <w:tcW w:w="20" w:type="dxa"/>
            <w:vAlign w:val="bottom"/>
          </w:tcPr>
          <w:p>
            <w:pPr>
              <w:spacing w:after="0"/>
              <w:rPr>
                <w:sz w:val="19"/>
                <w:szCs w:val="19"/>
                <w:color w:val="auto"/>
              </w:rPr>
            </w:pPr>
          </w:p>
        </w:tc>
      </w:t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rPr>
              <w:t>Contract liabilities (Deferred revenue included in Other liabilities)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31,832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right="600"/>
        <w:spacing w:after="0" w:line="367" w:lineRule="auto"/>
        <w:rPr>
          <w:sz w:val="20"/>
          <w:szCs w:val="20"/>
          <w:color w:val="auto"/>
        </w:rPr>
      </w:pPr>
      <w:r>
        <w:rPr>
          <w:rFonts w:ascii="Arial" w:cs="Arial" w:eastAsia="Arial" w:hAnsi="Arial"/>
          <w:sz w:val="18"/>
          <w:szCs w:val="18"/>
          <w:color w:val="auto"/>
        </w:rPr>
        <w:t xml:space="preserve">(a) Revenue recognized for the twelve months ended December 31, 2021 relating to the contract liability at December 31, 2020 was $61.2 million. </w:t>
      </w:r>
      <w:r>
        <w:rPr>
          <w:rFonts w:ascii="Arial" w:cs="Arial" w:eastAsia="Arial" w:hAnsi="Arial"/>
          <w:sz w:val="18"/>
          <w:szCs w:val="18"/>
          <w:b w:val="1"/>
          <w:bCs w:val="1"/>
          <w:color w:val="auto"/>
        </w:rPr>
        <w:t>Note 4. Impairment and Other Charges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 xml:space="preserve">On July 16, 2021, the Company entered into a settlement agreement (the “Settlement Agreement”) with Frank Darabont, Ferenc, Inc., Darkwoods Productions, Inc., and Creative Artists Agency, LLC (together, the "Plaintiffs") in actions brought in connection with Frank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The consolidated cases were initially brought in 2013 and 2018 and the trial of the consolidated cases was scheduled to commence on April 4, 2022. The Settlement Agreement provides for a cash payment of $200 million (the “Settlement Payment”) to the Plaintiffs and future revenue sharing related to certain future streaming exhibition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Fear 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With regard to the Settlement Payment, the Company recorded a charge of $143.0 million during the second quarter of 2021,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and other charges, in consideration for the extinguishment of Plaintiffs’ rights to any compensation in connection with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any related programs and the dismissal of the actions with prejudice, which amount is net of $57.0 million of ordinary course accrued participations.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$16.6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2020, as a result of the continuing impact of the COVID-19 pandemic, the Company qualitatively assessed whether it was more likely than not that goodwill and long-lived assets were impaired as of June 30, 2020. As a result of that assessment, the Company incurred impairment charges of $122.2 million, consisting of $25.1 million related to goodwill impairment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$97.1 million primarily related to certain identifiable intangible assets, as well as property and equipment, and operating lease right-of-use assets, all of which were associated with the AMCNI reporting unit.</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2019, the Company incurred impairment charges of $106.6 million, consisting of $98.0 million related to goodwill impairment associated with the AMCNI reporting unit, and $8.6 million related to impairments of intangibles and property and equipment associated with the sale of a subsidiary. In connection with the preparation of the 2019 fourth quarter financial information, the Company performed its annual goodwill impairment test and concluded that the estimated fair value of the AMCNI reporting unit declined to less than its carrying amount. As a result, the Company recognized an impairment charge of $98.0 million for the year ended December 31, 2019, reflecting a partial write-down of the goodwill associated with the AMCNI reporting unit.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Restructuring and other related charges of $10.4 million for the year ended December 31, 2021 consisted of (i) $6.1 million at AMCNI related to severance costs and the termination of distribution in certain international territories and (ii) $4.3 million of severance costs associated with the restructuring plan announced in November 2020.</w:t>
      </w:r>
    </w:p>
    <w:p>
      <w:pPr>
        <w:spacing w:after="0" w:line="7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The Company recorded restructuring and other related charges of $35.1 million for the year ended December 31, 2020. On November 18, 2020, the Company commenced a restructuring plan (the “2020 Plan”) designed to streamline the Company’s operations through a reduction of its domestic workforce. The 2020 Plan is intended to improve the organizational design of the Company through the elimination of certain roles and centralization of certain functional areas of the Company. Restructuring and other related charges associated with the 2020 Plan, recorded in 2020, were primarily for severance and other personnel costs of $21.2 million, of which $15.8 million was attributable to the Domestic Operations segment, $0.2 million was attributable to the International and Other segment, and $5.2 million was attributable to Corporate / Inter-segment Eliminations. Additional restructuring and other related charges for the year ended December 31, 2020 were $13.9 million, which related to costs associated with the termination of distribution in certain territories, as well as severance and other personnel related costs associated with previously disclosed restructuring activities.</w:t>
      </w:r>
    </w:p>
    <w:p>
      <w:pPr>
        <w:spacing w:after="0" w:line="60"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Restructuring and other related charges of $40.9 million for the year ended December 31, 2019 related to the management restructuring, which commenced in the third quarter of 2019, and our streaming services organization restructuring, which commenced in the second quarter of 2019. In connection with each of these restructuring initiatives, a number of roles were eliminated to address redundancy at the management level and improve the effectiveness of management while reducing the cost structure of the Company.</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 connection with restructuring initiative related to the management team, the Company incurred restructuring charges for severance and other personnel related costs of $26.0 million. In connection with our streaming services restructuring, management made certain organization changes within the owned subscription streaming services businesses. The restructuring combined the owned subscription streaming services under one management team. As a result, the Company incurred restructuring charges of $1.9 million related to severance and other personnel related costs.</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organization changes in our streaming services business, the Company implemented changes to its strategy for owned subscription streaming services, including programming that will no longer be made available. As a result, the Company incurred other charges of $13.0 million related to the write-off of programming associated with the reorganization and change in strategy.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Years Ended December 31,</w:t>
            </w: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r>
      <w:tr>
        <w:trPr>
          <w:trHeight w:val="20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5,153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40,914</w:t>
            </w: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and other related charges recognized for the three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27,897</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 related 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2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the accrued restructuring and other related costs: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8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Severance and Employee-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Other Exit Costs</w:t>
            </w:r>
          </w:p>
        </w:tc>
        <w:tc>
          <w:tcPr>
            <w:tcW w:w="420" w:type="dxa"/>
            <w:vAlign w:val="bottom"/>
          </w:tcPr>
          <w:p>
            <w:pPr>
              <w:spacing w:after="0"/>
              <w:rPr>
                <w:sz w:val="24"/>
                <w:szCs w:val="24"/>
                <w:color w:val="auto"/>
              </w:rPr>
            </w:pPr>
          </w:p>
        </w:tc>
        <w:tc>
          <w:tcPr>
            <w:tcW w:w="1420" w:type="dxa"/>
            <w:vAlign w:val="bottom"/>
            <w:vMerge w:val="restart"/>
          </w:tcPr>
          <w:p>
            <w:pPr>
              <w:jc w:val="right"/>
              <w:ind w:right="6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560" w:type="dxa"/>
            <w:vAlign w:val="bottom"/>
          </w:tcPr>
          <w:p>
            <w:pPr>
              <w:jc w:val="right"/>
              <w:ind w:right="351"/>
              <w:spacing w:after="0"/>
              <w:rPr>
                <w:sz w:val="20"/>
                <w:szCs w:val="20"/>
                <w:color w:val="auto"/>
              </w:rPr>
            </w:pPr>
            <w:r>
              <w:rPr>
                <w:rFonts w:ascii="Arial" w:cs="Arial" w:eastAsia="Arial" w:hAnsi="Arial"/>
                <w:sz w:val="16"/>
                <w:szCs w:val="16"/>
                <w:b w:val="1"/>
                <w:bCs w:val="1"/>
                <w:color w:val="auto"/>
              </w:rPr>
              <w:t>Related Costs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30,752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35,068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(31,245)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(31,501)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Accrued restructuring and other related costs of $0.3 million are included in accrued liabilities in the consolidated balance sheet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 and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Program Materials</w:t>
      </w:r>
      <w:r>
        <w:rPr>
          <w:rFonts w:ascii="Arial" w:cs="Arial" w:eastAsia="Arial" w:hAnsi="Arial"/>
          <w:sz w:val="18"/>
          <w:szCs w:val="18"/>
          <w:color w:val="auto"/>
        </w:rPr>
        <w:t>. The guidance impacts the Company as follows:</w:t>
      </w:r>
    </w:p>
    <w:p>
      <w:pPr>
        <w:spacing w:after="0" w:line="62" w:lineRule="exact"/>
        <w:rPr>
          <w:sz w:val="20"/>
          <w:szCs w:val="20"/>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Allows for the classification of acquired/licensed program rights as long-term assets. Previously, the Company reported a portion of these rights in current assets. Advances for live programming rights made prior to the live event and acquired/licensed program rights with license terms of less than one year continue to be reported in current assets.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Aligns the capitalization of production costs for episodic television programs with the capitalization of production costs for theatrical content. Previously, theatrical content production costs could be fully capitalized while episodic television production costs were generally limited to the amount of contracted revenues.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Introduces the concept of “predominant monetization strategy” to classify capitalized program rights for purposes of amortization and impairment as follows:</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Individual program rights - programming value is predominantly derived from third-party revenues that are directly attributable to the specific film or television title (e.g., theatrical revenues, significant in-show advertising on the Company’s programming networks or specific content licensing revenues).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Group program rights - programming value is predominantly derived from third-party revenues that are not directly attributable to a specific film or television title (e.g., library of program rights for purpose of the Company’s programming networks or subscription revenue for streaming services).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determination of the predominant monetization strategy is made at commencement of production and is based on the means by which the Company derives third-party revenues from use of the programming. The classification of program rights as individual or group only changes if there is a significant change to the title’s monetization strategy relative to its initial assessment.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185,228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127,470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312,698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209,986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1,275,596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Year Ended December 31, 2021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3"/>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Individually</w:t>
            </w:r>
          </w:p>
        </w:tc>
        <w:tc>
          <w:tcPr>
            <w:tcW w:w="1780" w:type="dxa"/>
            <w:vAlign w:val="bottom"/>
            <w:gridSpan w:val="3"/>
          </w:tcPr>
          <w:p>
            <w:pPr>
              <w:ind w:left="20"/>
              <w:spacing w:after="0"/>
              <w:rPr>
                <w:sz w:val="20"/>
                <w:szCs w:val="20"/>
                <w:color w:val="auto"/>
              </w:rPr>
            </w:pPr>
            <w:r>
              <w:rPr>
                <w:rFonts w:ascii="Arial" w:cs="Arial" w:eastAsia="Arial" w:hAnsi="Arial"/>
                <w:sz w:val="18"/>
                <w:szCs w:val="18"/>
                <w:color w:val="auto"/>
                <w:w w:val="98"/>
              </w:rPr>
              <w:t>Monetized as a Group</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Owned original program rights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307,676</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53,547</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361,223</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73,648</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474,468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548,116</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Program rights amortization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381,324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528,015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909,339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Year Ended December 31, 2020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3"/>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vMerge w:val="restart"/>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6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Individually</w:t>
            </w:r>
          </w:p>
        </w:tc>
        <w:tc>
          <w:tcPr>
            <w:tcW w:w="1780" w:type="dxa"/>
            <w:vAlign w:val="bottom"/>
            <w:gridSpan w:val="3"/>
          </w:tcPr>
          <w:p>
            <w:pPr>
              <w:ind w:left="20"/>
              <w:spacing w:after="0"/>
              <w:rPr>
                <w:sz w:val="20"/>
                <w:szCs w:val="20"/>
                <w:color w:val="auto"/>
              </w:rPr>
            </w:pPr>
            <w:r>
              <w:rPr>
                <w:rFonts w:ascii="Arial" w:cs="Arial" w:eastAsia="Arial" w:hAnsi="Arial"/>
                <w:sz w:val="18"/>
                <w:szCs w:val="18"/>
                <w:color w:val="auto"/>
                <w:w w:val="98"/>
              </w:rPr>
              <w:t>Monetized as a Group</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Owned original program rights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349,078</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61,108</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410,186</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94,534</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419,166</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513,700</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Program rights amortization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443,612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480,274</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923,886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The Company estimates amortization within the next three years will be approximately 88% and 91% of unamortized owned original programming costs and unamortized licensed program costs, respectively, as of December 31, 2021. The Company expects to amortize approximately $141.3 million of unamortized owned original programming costs during the next twelve months. Program rights write-offs of $12.8 million, $108.3 million and $40.9 million were recorded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payable subsequent to December 31, 2021 related to program rights obligations included in the consolidated balance sheet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307,054</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128,090</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66,008</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22,757</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16, Commitments and Contingencies, for additional information relating to future program rights commitments.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Equity method investments were $93.7 million and $69.5 million at December 31, 2021 and 2020, respectively, and are included in Other assets in the consolidated balance sheets. In February 2021, the Company invested $27.4 million for an interest in a Toronto-based production company and studio, which is accounted for as an equity method investment. In June 2021, the Company paid $23.8 million to acquire the remaining 50% interest in an equity method investment in which it previously owned a 50% interest and began consolidating that business from June 2021. In connection with the acquisition, the Company recorded a gain of $12.3 million, included in miscellaneous, net in the condensed consolidated income statement related to the step-up to fair value of its previously held interest.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consolidated statements of income. Investments in marketable equity securities were $5.8 million at December 31, 2021 and $62.4 million at December 31, 2020, and are included in Other assets in the consolidated balance sheets. In January 2021, the Company sold the remaining portion of one of its marketable securities with a carrying value of $51.0 million as of December 31, 2020, resulting in a realized loss of $5.4 million. In December 2020, the Company sold a portion of one of its marketable securities, resulting in a realized gain of $37.4 million, included in miscellaneous, net in the consolidated statement of income. For the years ended December 31, 2021 and 2020, unrealized gains on marketable equity securities were a loss of $5.7 million and a gain of $45.4 million, respectively, included in miscellaneous, net in the consolidated statement of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consolidated statements of income.</w:t>
      </w:r>
    </w:p>
    <w:p>
      <w:pPr>
        <w:spacing w:after="0" w:line="6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Investments in non-marketable equity securities were $37.7 million at December 31, 2021 and $35.8 million at December 31, 2020 and are included in Other assets in the consolidated balance sheets. The Company recognized impairment charges of $20.0 million for the year ended December 31, 2020, related to the partial write-down of certain non-marketable equity securities, included in miscellaneous, net in the consolidated statements of income. Additionally, in September 2020, an observable price change occurred with respect to one of the Company's non-marketable equity securities, resulting in an unrealized gain of $14.9 million, included in miscellaneous,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(including equipment under capital leases)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251,925</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Satellite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41,228</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8 years</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Transmission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30,539</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172,411</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511,924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517,127</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(286,133)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(261,082)</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225,791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256,045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expenses on property and equipment (including capital leases) amounted to $54.8 million, $62.4 million and $54.9 million, for the years ended December 31, 2021, 2020 and 2019, respectively.</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year ended December 31, 2020, impairment charges were recorded related to certain property and equipment at the AMCNI business. See Note 9 for additional details regarding the impairment test of long-lived assets.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At December 31, 2021 and 2020, the gross amount of equipment and related accumulated amortization recorded under finance leases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Satellite equipment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41,134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left="471"/>
              <w:spacing w:after="0"/>
              <w:rPr>
                <w:sz w:val="20"/>
                <w:szCs w:val="20"/>
                <w:color w:val="auto"/>
              </w:rPr>
            </w:pPr>
            <w:r>
              <w:rPr>
                <w:rFonts w:ascii="Arial" w:cs="Arial" w:eastAsia="Arial" w:hAnsi="Arial"/>
                <w:sz w:val="18"/>
                <w:szCs w:val="18"/>
                <w:color w:val="auto"/>
                <w:w w:val="90"/>
              </w:rPr>
              <w:t>41,228</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5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8"/>
                <w:szCs w:val="18"/>
                <w:color w:val="auto"/>
                <w:w w:val="92"/>
              </w:rPr>
              <w:t>(29,054)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left="451"/>
              <w:spacing w:after="0"/>
              <w:rPr>
                <w:sz w:val="20"/>
                <w:szCs w:val="20"/>
                <w:color w:val="auto"/>
              </w:rPr>
            </w:pPr>
            <w:r>
              <w:rPr>
                <w:rFonts w:ascii="Arial" w:cs="Arial" w:eastAsia="Arial" w:hAnsi="Arial"/>
                <w:sz w:val="18"/>
                <w:szCs w:val="18"/>
                <w:color w:val="auto"/>
                <w:w w:val="89"/>
              </w:rPr>
              <w:t>(28,049)</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90"/>
              </w:rPr>
              <w:t>12,080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center"/>
              <w:ind w:left="471"/>
              <w:spacing w:after="0"/>
              <w:rPr>
                <w:sz w:val="20"/>
                <w:szCs w:val="20"/>
                <w:color w:val="auto"/>
              </w:rPr>
            </w:pPr>
            <w:r>
              <w:rPr>
                <w:rFonts w:ascii="Arial" w:cs="Arial" w:eastAsia="Arial" w:hAnsi="Arial"/>
                <w:sz w:val="18"/>
                <w:szCs w:val="18"/>
                <w:color w:val="auto"/>
                <w:w w:val="90"/>
              </w:rPr>
              <w:t>13,179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Goodwill and Other Intangible Assets</w:t>
            </w:r>
          </w:p>
        </w:tc>
        <w:tc>
          <w:tcPr>
            <w:tcW w:w="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tcPr>
          <w:p>
            <w:pPr>
              <w:ind w:left="460"/>
              <w:spacing w:after="0"/>
              <w:rPr>
                <w:sz w:val="20"/>
                <w:szCs w:val="20"/>
                <w:color w:val="auto"/>
              </w:rPr>
            </w:pPr>
            <w:r>
              <w:rPr>
                <w:rFonts w:ascii="Arial" w:cs="Arial" w:eastAsia="Arial" w:hAnsi="Arial"/>
                <w:sz w:val="18"/>
                <w:szCs w:val="18"/>
                <w:color w:val="auto"/>
                <w:w w:val="98"/>
              </w:rPr>
              <w:t>The carrying amount of goodwill, by operating segment is as follows:</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4"/>
                <w:szCs w:val="24"/>
                <w:color w:val="auto"/>
              </w:rPr>
            </w:pPr>
          </w:p>
        </w:tc>
        <w:tc>
          <w:tcPr>
            <w:tcW w:w="17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Domestic Operations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International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and 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Impairment charge</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(25,062)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"second component" goodwill</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5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352,905</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Goodwill written off related to spin-off of a business unit</w:t>
            </w:r>
          </w:p>
        </w:tc>
        <w:tc>
          <w:tcPr>
            <w:tcW w:w="5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Amortization of "second component" goodwill</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353,470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355,874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2021 and 2020, accumulated impairment charges totaled $123.1 million.</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addition of $21.3 million in the carrying amount of goodwill in Domestic Operations relates to the acquisition of Sentai Holdings, a global supplier of anime content, including its anime-focused HIDIVE subscription streaming service, for which the allocation of goodwill is preliminary and is based on current estimates and currently available information, and is subject to revision based on final allocation of the purchase price to the identifiable assets and liabilities acquired. The addition of $11.9 million in the carrying amount of goodwill in International and Other relates to the acquisition of the remaining 50%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interest in an equity method investment in which the Company previously owned a 50% interest.</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$1.3 million in the carrying amount of goodwill for the Domestic Operations segment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In accordance with Accounting Standards Update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Company recognizes goodwill impairment as the difference between the carrying amount of a reporting unit and its fair value, but not to exceed the carrying amount of goodwill.</w:t>
      </w:r>
    </w:p>
    <w:p>
      <w:pPr>
        <w:spacing w:after="0" w:line="8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December 1, 2021, the Company performed a quantitative assessment for all of its reporting units. The fair values were determined using a combination of an income approach, using a discounted cash flow model (DCF), and a market comparables approach. No impairment charges were required for any of the Company's reporting units. The DCF model includes significant assumptions about revenue growth rates, long-term growth rates and enterprise specific discount rates. Additionally, the market comparables approach is determined using guideline company financial multiples. Given the uncertainty in determining assumptions underlying the DCF approach, actual results may differ from those used in the valuations.</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addition to the annual impairment test, the Company is required to regularly assess whether a triggering event has occurred which would require an interim impairment test. As a result of the continuing impact of the COVID-19 pandemic in 2020, the Company qualitatively assessed whether it was more likely than not that goodwill and long-lived assets were impaired as of June 30, 2020. The Company considered the current and expected future economic and market conditions surrounding the COVID-19 pandemic and its impact on each of its reporting units. Further, the Company assessed the current forecasts (including significant assumptions about revenue growth rates, long-term growth rates and enterprise specific discount rates) and the amount of excess fair value over carrying value for each of its reporting units in the 2019 impairment test. In connection with the preparation of the second quarter financial information, the Company determined that a triggering event had occurred with respect to its AMCNI reporting unit, which required an interim impairment test to be performed as of June 30, 2020. As such, the Company performed a quantitative assessment for its AMCNI reporting unit. Based on the valuations performed, in response to the then current and expected trends across the International television broadcasting markets, the fair value of the Company's AMCNI reporting unit declined below its carrying amount. As a result, in June 2020, the Company recognized an impairment charge of $25.1 million related to the AMCNI reporting unit, included in impairment and other charges in the consolidated income statement.</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determination of fair value of the Company's reporting units represents a Level 3 fair value measurement in the fair value hierarchy due to its use of internal projections and unobservable measurement inputs. Changes in significant judgments and estimates could significantly impact the concluded fair value of the reporting unit or the valuation of intangible assets. Changes to assumptions that would decrease the fair value of the reporting unit would result in corresponding increases to the impairment of goodwill at the reporting unit.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54"/>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649,543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(354,673)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294,870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(427,442)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399,434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4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2020</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240" w:type="dxa"/>
            <w:vAlign w:val="bottom"/>
            <w:vMerge w:val="restart"/>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624,699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(330,350)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294,349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4"/>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(396,735)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410,672</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Aggregate amortization expense for amortizable intangible assets for the years ended December 31, 2021, 2020 and 2019 was $39.1 million, $42.2 million and $46.2 million, respectively. Estimated aggregate amortization expense for intangible assets subject to amortization for each of the following five years 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42,044</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41,787</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39,949</w:t>
            </w: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35,342</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Long-Lived Assets</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June 2020, given the then continuing and expected future economic and market conditions surrounding the COVID-19 pandemic and its impact, the Company revised its outlook for the AMCNI business, resulting in lower expected future cash flows. As a result, the Company determined that sufficient indicators of potential impairment of long-lived assets existed and the Company performed a recoverability test of the long-lived asset groups within the AMCNI business. Based on the recoverability tests performed, the Company determined that certain long-lived assets were not recoverable and recognized an impairment charge of $97.1 million related primarily to certain identifiable intangible assets, as well as property and equipment, and operating lease right-of-use assets, which is included in impairment and other charges in the consolidated statement of income. Fair values used to determine the impairment charges were determined using an income approach, using a discounted cash flow model (DCF). The DCF model includes significant assumptions about revenue growth rates, long-term growth rates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enterprise specific discount rates. Given the uncertainty in determining assumptions underlying the DCF approach, actual results may differ from those used in the valuations.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Identifiable Indefinite-Lived Intangible Assets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Based on the Company's 2021 annual impairment test for identifiable indefinite-lived intangible assets, no impairment charge was required. The Company's indefinite-lived intangible assets relate to SundanceTV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8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Significant judgments inherent in estimating the fair value of indefinite-lived intangible assets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2"/>
              </w:rPr>
              <w:t>December 31, 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6"/>
                <w:szCs w:val="16"/>
                <w:b w:val="1"/>
                <w:bCs w:val="1"/>
                <w:color w:val="auto"/>
                <w:w w:val="90"/>
              </w:rPr>
              <w:t>December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133,988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11. Long-term 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460"/>
              <w:spacing w:after="0"/>
              <w:rPr>
                <w:sz w:val="20"/>
                <w:szCs w:val="20"/>
                <w:color w:val="auto"/>
              </w:rPr>
            </w:pPr>
            <w:r>
              <w:rPr>
                <w:rFonts w:ascii="Arial" w:cs="Arial" w:eastAsia="Arial" w:hAnsi="Arial"/>
                <w:sz w:val="18"/>
                <w:szCs w:val="18"/>
                <w:color w:val="auto"/>
              </w:rPr>
              <w:t>The Company's long-term debt consists of:</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94"/>
              </w:rPr>
              <w:t>December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December 31, 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4.75% Notes due December 2022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5.00% Notes due April 2024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4.75% Notes due August 2025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4.25% Notes due February 2029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deferred financing costs</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(13,363)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2,838,470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2,849,307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33,750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2,804,720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2,774,307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On February 8, 2021, AMC Networks entered into Amendment No. 1 (“Amendment No. 1”) to the Second Amended and Restated Credit Agreement, dated as of July 28, 2017 (as amended by Amendment No. 1,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extended the maturity dates of the $675 million Term Loan A Facility and $500 million Revolving Facility (each as defined below) under the Credit Agreement to February 8, 2026, and made certain other amendments to the covenants and other provisions of the Credit Agreement.</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Credit Agreement provides the Initial Borrowers with senior secured credit facilities consisting of (a) a $675 million Term Loan A (the "Term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Loan A Facility") and (b) a $500 million revolving credit facility (the "Revolving Facility" and, together with the Term Loan A Facility, the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Under Amendment No. 1, the maturity dates of the Term Loan A Facility and the Revolving Facility were extended to February 8, 2026.</w:t>
      </w:r>
    </w:p>
    <w:p>
      <w:pPr>
        <w:spacing w:after="0" w:line="11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w:t>
      </w:r>
    </w:p>
    <w:p>
      <w:pPr>
        <w:spacing w:after="0" w:line="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5.25:1 from January 1, 2021 through December 31, 2021 and decreasing to 5.00:1 on and after January 1, 2022, subject to increase (not to exceed 6.00:1) if AMC Networks consummates any leveraging acquisition; and (ii) a minimum ratio of annual operating cash flow to annual total interest expense (as defined in the Credit Agreement) of 2.50:1.</w:t>
      </w:r>
    </w:p>
    <w:p>
      <w:pPr>
        <w:spacing w:after="0" w:line="6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Revolving Facility was not drawn upon at December 31, 2021 or December 31, 2020. The total undrawn revolver commitment is available to be drawn for our general corporate purposes.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financial covenants under the Credit Facility as of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terms</w:t>
      </w:r>
    </w:p>
    <w:p>
      <w:pPr>
        <w:spacing w:after="0" w:line="10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senior notes are guaranteed on a senior unsecured basis by the guarantors, in accordance with the related indenture. The guarantees are full and unconditional and joint and several. The indentures governing each of the senior notes contain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4.25% Notes due 2029</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the Company incurred a loss on extinguishment of debt for the year ended December 31, 2021 of $22.1 million representing the redemption premium and the write-off of a portion of the unamortized discount and deferred financing costs.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4.25% Notes due 2029 may be redeemed, at AMC Networks' option, in whole or in part, at any time on or after February 15, 2024, at a redemption price equal to 102.125% of the principal amount thereof (plus accrued and unpaid interest thereon, if any, to the date of such redemption), declining annually to 100% of the principal amount thereof (plus accrued and unpaid interest thereon, if any, to the date of such redemption) beginning on February 15, 2026.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 Notes due 2025</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July 28, 2017, AMC Networks issued, and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Notes due 2024</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March 30, 2016, the Company issued and the Guarantors guaranteed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 As discussed above, on February 26, 2021, the Company redeemed $600 million principal amount of its 5.00% Notes due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 Notes due 2022</w:t>
      </w:r>
    </w:p>
    <w:p>
      <w:pPr>
        <w:spacing w:after="0" w:line="117" w:lineRule="exact"/>
        <w:rPr>
          <w:sz w:val="20"/>
          <w:szCs w:val="20"/>
          <w:color w:val="auto"/>
        </w:rPr>
      </w:pPr>
    </w:p>
    <w:p>
      <w:pPr>
        <w:jc w:val="both"/>
        <w:ind w:right="20" w:firstLine="405"/>
        <w:spacing w:after="0" w:line="301" w:lineRule="auto"/>
        <w:rPr>
          <w:sz w:val="20"/>
          <w:szCs w:val="20"/>
          <w:color w:val="auto"/>
        </w:rPr>
      </w:pPr>
      <w:r>
        <w:rPr>
          <w:rFonts w:ascii="Arial" w:cs="Arial" w:eastAsia="Arial" w:hAnsi="Arial"/>
          <w:sz w:val="16"/>
          <w:szCs w:val="16"/>
          <w:color w:val="auto"/>
        </w:rPr>
        <w:t>On December 17, 2012, AMC Networks issued and the Guarantors guaranteed $600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4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2020 the Company redeemed $200 million principal amount of the outstanding $600 million principal amount of its 4.75% Notes due 2022. In connection with the redemption, the Company incurred a loss on extinguishment of debt for the year ended December 31, 2020 of $2.9 million representing the redemption premium and the write-off of a portion of the unamortized discount and deferred financing costs. As discussed above, on February 26, 2021, the Company redeemed the remaining $400 million principal amount of its 4.75% Notes due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majority owned subsidiary of the Company has credit facilities totaling $4.5 million. The facilities bear interest at the greater of 3.5% or the prime rate plus 1% and mature on July 21, 2022. There were no outstanding borrowings under the credit facilities as of December 31, 2021.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amounts payable by the Company under its various debt obligations outstanding as of December 31, 2021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gridSpan w:val="3"/>
          </w:tcPr>
          <w:p>
            <w:pPr>
              <w:ind w:left="48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8"/>
        </w:trPr>
        <w:tc>
          <w:tcPr>
            <w:tcW w:w="9080" w:type="dxa"/>
            <w:vAlign w:val="bottom"/>
            <w:gridSpan w:val="3"/>
          </w:tcPr>
          <w:p>
            <w:pPr>
              <w:ind w:left="480"/>
              <w:spacing w:after="0"/>
              <w:rPr>
                <w:sz w:val="20"/>
                <w:szCs w:val="20"/>
                <w:color w:val="auto"/>
              </w:rPr>
            </w:pPr>
            <w:r>
              <w:rPr>
                <w:rFonts w:ascii="Arial" w:cs="Arial" w:eastAsia="Arial" w:hAnsi="Arial"/>
                <w:sz w:val="16"/>
                <w:szCs w:val="16"/>
                <w:b w:val="1"/>
                <w:bCs w:val="1"/>
                <w:color w:val="auto"/>
              </w:rPr>
              <w:t>Years Ending December 31,</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
        </w:trPr>
        <w:tc>
          <w:tcPr>
            <w:tcW w:w="48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2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67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r>
      <w:tr>
        <w:trPr>
          <w:trHeight w:val="230"/>
        </w:trPr>
        <w:tc>
          <w:tcPr>
            <w:tcW w:w="2380" w:type="dxa"/>
            <w:vAlign w:val="bottom"/>
            <w:gridSpan w:val="2"/>
          </w:tcPr>
          <w:p>
            <w:pPr>
              <w:ind w:left="480"/>
              <w:spacing w:after="0"/>
              <w:rPr>
                <w:sz w:val="20"/>
                <w:szCs w:val="20"/>
                <w:color w:val="auto"/>
              </w:rPr>
            </w:pPr>
            <w:r>
              <w:rPr>
                <w:rFonts w:ascii="Arial" w:cs="Arial" w:eastAsia="Arial" w:hAnsi="Arial"/>
                <w:sz w:val="18"/>
                <w:szCs w:val="18"/>
                <w:color w:val="auto"/>
              </w:rPr>
              <w:t>2023</w:t>
            </w:r>
          </w:p>
        </w:tc>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33,750</w:t>
            </w:r>
          </w:p>
        </w:tc>
      </w:tr>
      <w:tr>
        <w:trPr>
          <w:trHeight w:val="229"/>
        </w:trPr>
        <w:tc>
          <w:tcPr>
            <w:tcW w:w="2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2024</w:t>
            </w:r>
          </w:p>
        </w:tc>
        <w:tc>
          <w:tcPr>
            <w:tcW w:w="6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467,500</w:t>
            </w:r>
          </w:p>
        </w:tc>
      </w:tr>
      <w:tr>
        <w:trPr>
          <w:trHeight w:val="230"/>
        </w:trPr>
        <w:tc>
          <w:tcPr>
            <w:tcW w:w="2380" w:type="dxa"/>
            <w:vAlign w:val="bottom"/>
            <w:gridSpan w:val="2"/>
          </w:tcPr>
          <w:p>
            <w:pPr>
              <w:ind w:left="480"/>
              <w:spacing w:after="0"/>
              <w:rPr>
                <w:sz w:val="20"/>
                <w:szCs w:val="20"/>
                <w:color w:val="auto"/>
              </w:rPr>
            </w:pPr>
            <w:r>
              <w:rPr>
                <w:rFonts w:ascii="Arial" w:cs="Arial" w:eastAsia="Arial" w:hAnsi="Arial"/>
                <w:sz w:val="18"/>
                <w:szCs w:val="18"/>
                <w:color w:val="auto"/>
              </w:rPr>
              <w:t>2025</w:t>
            </w:r>
          </w:p>
        </w:tc>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867,500</w:t>
            </w:r>
          </w:p>
        </w:tc>
      </w:tr>
      <w:tr>
        <w:trPr>
          <w:trHeight w:val="229"/>
        </w:trPr>
        <w:tc>
          <w:tcPr>
            <w:tcW w:w="2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2026</w:t>
            </w:r>
          </w:p>
        </w:tc>
        <w:tc>
          <w:tcPr>
            <w:tcW w:w="6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472,500</w:t>
            </w:r>
          </w:p>
        </w:tc>
      </w:tr>
      <w:tr>
        <w:trPr>
          <w:trHeight w:val="229"/>
        </w:trPr>
        <w:tc>
          <w:tcPr>
            <w:tcW w:w="908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48"/>
        </w:trPr>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I—Quoted prices for identical instruments in active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III—Instruments whose significant value drivers are unobservable.</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December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508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Arial" w:cs="Arial" w:eastAsia="Arial" w:hAnsi="Arial"/>
                <w:sz w:val="16"/>
                <w:szCs w:val="16"/>
                <w:b w:val="1"/>
                <w:bCs w:val="1"/>
                <w:color w:val="auto"/>
              </w:rPr>
              <w:t>At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6"/>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5,911</w:t>
            </w:r>
          </w:p>
        </w:tc>
      </w:tr>
      <w:tr>
        <w:trPr>
          <w:trHeight w:val="256"/>
        </w:trPr>
        <w:tc>
          <w:tcPr>
            <w:tcW w:w="5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5080" w:type="dxa"/>
            <w:vAlign w:val="bottom"/>
            <w:tcBorders>
              <w:bottom w:val="single" w:sz="8" w:color="auto"/>
            </w:tcBorders>
          </w:tcPr>
          <w:p>
            <w:pPr>
              <w:ind w:left="1760"/>
              <w:spacing w:after="0"/>
              <w:rPr>
                <w:sz w:val="20"/>
                <w:szCs w:val="20"/>
                <w:color w:val="auto"/>
              </w:rPr>
            </w:pPr>
            <w:r>
              <w:rPr>
                <w:rFonts w:ascii="Arial" w:cs="Arial" w:eastAsia="Arial" w:hAnsi="Arial"/>
                <w:sz w:val="16"/>
                <w:szCs w:val="16"/>
                <w:b w:val="1"/>
                <w:bCs w:val="1"/>
                <w:color w:val="auto"/>
              </w:rPr>
              <w:t>At December 31, 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107,494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107,494</w:t>
            </w:r>
          </w:p>
        </w:tc>
      </w:tr>
      <w:tr>
        <w:trPr>
          <w:trHeight w:val="229"/>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62,442</w:t>
            </w: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and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At December 31, 2021, the Company does not have any other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intangible assets and property and equipment. All of our nonrecurring valuations use significant unobservable inputs and therefore fall under Level III of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 2021</w:t>
            </w: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7"/>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12"/>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664,581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670,781</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 Notes due April 2024</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4.75% Notes due August 2025</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792,098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818,000</w:t>
            </w: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4.25% Notes due February 2029</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2,889,781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4"/>
        </w:trPr>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 2020</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6"/>
                <w:szCs w:val="16"/>
                <w:color w:val="auto"/>
              </w:rPr>
            </w:pPr>
          </w:p>
        </w:tc>
      </w:tr>
      <w:tr>
        <w:trPr>
          <w:trHeight w:val="213"/>
        </w:trPr>
        <w:tc>
          <w:tcPr>
            <w:tcW w:w="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669,878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665,719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4.75% Notes due December 2022</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400,500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5.00% Notes due April 2024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1,015,000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4.75%Notes due August 2025</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2,907,379</w:t>
            </w:r>
          </w:p>
        </w:tc>
        <w:tc>
          <w:tcPr>
            <w:tcW w:w="20" w:type="dxa"/>
            <w:vAlign w:val="bottom"/>
            <w:tcBorders>
              <w:bottom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manage interest rate risk, the Company may enter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designated benchmark interest rate being hedged (the "hedged risk"), on an amount of the Company's debt principal equal to the then-outstanding swap notional. The forecasted interest payments are deemed to be probable of occurring.</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an interest rate swap contract which is designated as a hedging instrument is recorded in current-period earnings. Changes in fair value of interest rate swap contracts not designated as hedging instruments are also recognized in earnings and included in interest expense.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91"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20320</wp:posOffset>
            </wp:positionV>
            <wp:extent cx="23228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960" w:type="dxa"/>
            <w:vAlign w:val="bottom"/>
            <w:gridSpan w:val="2"/>
          </w:tcPr>
          <w:p>
            <w:pPr>
              <w:ind w:left="1320"/>
              <w:spacing w:after="0"/>
              <w:rPr>
                <w:sz w:val="20"/>
                <w:szCs w:val="20"/>
                <w:color w:val="auto"/>
              </w:rPr>
            </w:pPr>
            <w:r>
              <w:rPr>
                <w:rFonts w:ascii="Arial" w:cs="Arial" w:eastAsia="Arial" w:hAnsi="Arial"/>
                <w:sz w:val="16"/>
                <w:szCs w:val="16"/>
                <w:b w:val="1"/>
                <w:bCs w:val="1"/>
                <w:color w:val="auto"/>
              </w:rPr>
              <w:t>Balance Sheet Location</w:t>
            </w:r>
          </w:p>
        </w:tc>
        <w:tc>
          <w:tcPr>
            <w:tcW w:w="7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158"/>
        </w:trPr>
        <w:tc>
          <w:tcPr>
            <w:tcW w:w="44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8"/>
                <w:szCs w:val="18"/>
                <w:b w:val="1"/>
                <w:bCs w:val="1"/>
                <w:color w:val="auto"/>
              </w:rPr>
              <w:t>Derivatives designated as hedging</w:t>
            </w:r>
          </w:p>
        </w:tc>
        <w:tc>
          <w:tcPr>
            <w:tcW w:w="3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22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9"/>
        </w:trPr>
        <w:tc>
          <w:tcPr>
            <w:tcW w:w="440" w:type="dxa"/>
            <w:vAlign w:val="bottom"/>
          </w:tcPr>
          <w:p>
            <w:pPr>
              <w:spacing w:after="0"/>
              <w:rPr>
                <w:sz w:val="16"/>
                <w:szCs w:val="16"/>
                <w:color w:val="auto"/>
              </w:rPr>
            </w:pPr>
          </w:p>
        </w:tc>
        <w:tc>
          <w:tcPr>
            <w:tcW w:w="31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44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3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176"/>
        </w:trPr>
        <w:tc>
          <w:tcPr>
            <w:tcW w:w="440" w:type="dxa"/>
            <w:vAlign w:val="bottom"/>
          </w:tcPr>
          <w:p>
            <w:pPr>
              <w:spacing w:after="0"/>
              <w:rPr>
                <w:sz w:val="15"/>
                <w:szCs w:val="15"/>
                <w:color w:val="auto"/>
              </w:rPr>
            </w:pPr>
          </w:p>
        </w:tc>
        <w:tc>
          <w:tcPr>
            <w:tcW w:w="31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4"/>
              </w:rPr>
              <w:t>Derivatives not designated as hedging</w:t>
            </w: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9"/>
        </w:trPr>
        <w:tc>
          <w:tcPr>
            <w:tcW w:w="3580" w:type="dxa"/>
            <w:vAlign w:val="bottom"/>
            <w:gridSpan w:val="4"/>
          </w:tcPr>
          <w:p>
            <w:pPr>
              <w:ind w:left="20"/>
              <w:spacing w:after="0"/>
              <w:rPr>
                <w:sz w:val="20"/>
                <w:szCs w:val="20"/>
                <w:color w:val="auto"/>
              </w:rPr>
            </w:pPr>
            <w:r>
              <w:rPr>
                <w:rFonts w:ascii="Arial" w:cs="Arial" w:eastAsia="Arial" w:hAnsi="Arial"/>
                <w:sz w:val="18"/>
                <w:szCs w:val="18"/>
                <w:b w:val="1"/>
                <w:bCs w:val="1"/>
                <w:color w:val="auto"/>
              </w:rPr>
              <w:t>instruments: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9"/>
        </w:trPr>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Assets:</w:t>
            </w:r>
          </w:p>
        </w:tc>
        <w:tc>
          <w:tcPr>
            <w:tcW w:w="2600" w:type="dxa"/>
            <w:vAlign w:val="bottom"/>
            <w:tcBorders>
              <w:bottom w:val="single" w:sz="8" w:color="CCEEFF"/>
            </w:tcBorders>
            <w:gridSpan w:val="2"/>
            <w:shd w:val="clear" w:color="auto" w:fill="CCEEFF"/>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39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44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3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189"/>
        </w:trPr>
        <w:tc>
          <w:tcPr>
            <w:tcW w:w="440" w:type="dxa"/>
            <w:vAlign w:val="bottom"/>
          </w:tcPr>
          <w:p>
            <w:pPr>
              <w:spacing w:after="0"/>
              <w:rPr>
                <w:sz w:val="16"/>
                <w:szCs w:val="16"/>
                <w:color w:val="auto"/>
              </w:rPr>
            </w:pPr>
          </w:p>
        </w:tc>
        <w:tc>
          <w:tcPr>
            <w:tcW w:w="31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44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3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44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Foreign currency derivatives</w:t>
            </w:r>
          </w:p>
        </w:tc>
        <w:tc>
          <w:tcPr>
            <w:tcW w:w="396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2,431</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amount of the gains and losses related to the Company's derivative financial instruments designated as hedging instruments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vMerge w:val="restart"/>
          </w:tcPr>
          <w:p>
            <w:pPr>
              <w:jc w:val="center"/>
              <w:ind w:right="275"/>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6"/>
                <w:szCs w:val="16"/>
                <w:color w:val="auto"/>
              </w:rPr>
            </w:pP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Location of Gain or</w:t>
            </w:r>
          </w:p>
        </w:tc>
        <w:tc>
          <w:tcPr>
            <w:tcW w:w="380" w:type="dxa"/>
            <w:vAlign w:val="bottom"/>
          </w:tcPr>
          <w:p>
            <w:pPr>
              <w:spacing w:after="0"/>
              <w:rPr>
                <w:sz w:val="16"/>
                <w:szCs w:val="16"/>
                <w:color w:val="auto"/>
              </w:rPr>
            </w:pPr>
          </w:p>
        </w:tc>
        <w:tc>
          <w:tcPr>
            <w:tcW w:w="2860" w:type="dxa"/>
            <w:vAlign w:val="bottom"/>
            <w:gridSpan w:val="4"/>
          </w:tcPr>
          <w:p>
            <w:pPr>
              <w:jc w:val="center"/>
              <w:ind w:right="31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4"/>
          </w:tcPr>
          <w:p>
            <w:pPr>
              <w:jc w:val="center"/>
              <w:ind w:right="29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center"/>
              <w:ind w:right="235"/>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3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into Earnings (a)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4"/>
          </w:tcPr>
          <w:p>
            <w:pPr>
              <w:jc w:val="center"/>
              <w:ind w:right="255"/>
              <w:spacing w:after="0"/>
              <w:rPr>
                <w:sz w:val="20"/>
                <w:szCs w:val="20"/>
                <w:color w:val="auto"/>
              </w:rPr>
            </w:pPr>
            <w:r>
              <w:rPr>
                <w:rFonts w:ascii="Arial" w:cs="Arial" w:eastAsia="Arial" w:hAnsi="Arial"/>
                <w:sz w:val="16"/>
                <w:szCs w:val="16"/>
                <w:b w:val="1"/>
                <w:bCs w:val="1"/>
                <w:color w:val="auto"/>
                <w:w w:val="90"/>
              </w:rPr>
              <w:t>Years Ended December 31,</w:t>
            </w:r>
          </w:p>
        </w:tc>
        <w:tc>
          <w:tcPr>
            <w:tcW w:w="10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860" w:type="dxa"/>
            <w:vAlign w:val="bottom"/>
            <w:tcBorders>
              <w:top w:val="single" w:sz="8" w:color="auto"/>
              <w:bottom w:val="single" w:sz="8" w:color="auto"/>
            </w:tcBorders>
            <w:gridSpan w:val="4"/>
          </w:tcPr>
          <w:p>
            <w:pPr>
              <w:jc w:val="center"/>
              <w:ind w:right="275"/>
              <w:spacing w:after="0"/>
              <w:rPr>
                <w:sz w:val="20"/>
                <w:szCs w:val="20"/>
                <w:color w:val="auto"/>
              </w:rPr>
            </w:pPr>
            <w:r>
              <w:rPr>
                <w:rFonts w:ascii="Arial" w:cs="Arial" w:eastAsia="Arial" w:hAnsi="Arial"/>
                <w:sz w:val="16"/>
                <w:szCs w:val="16"/>
                <w:b w:val="1"/>
                <w:bCs w:val="1"/>
                <w:color w:val="auto"/>
                <w:w w:val="90"/>
              </w:rPr>
              <w:t>Years Ended December 31,</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b w:val="1"/>
                <w:bCs w:val="1"/>
                <w:color w:val="auto"/>
                <w:w w:val="93"/>
              </w:rPr>
              <w:t>Derivatives in cash flow hedging</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Interest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80" w:hanging="329"/>
        <w:spacing w:after="0" w:line="277" w:lineRule="auto"/>
        <w:tabs>
          <w:tab w:leader="none" w:pos="5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years ended December 31, 2021 and 2020.</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the gains and losses related to the Company's derivative financial instruments not designated as hedging instruments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Gain (Loss) Recognized</w:t>
            </w:r>
          </w:p>
        </w:tc>
        <w:tc>
          <w:tcPr>
            <w:tcW w:w="48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Amount of Gain (Loss) Recognized in Earnings</w:t>
            </w:r>
          </w:p>
        </w:tc>
      </w:tr>
      <w:tr>
        <w:trPr>
          <w:trHeight w:val="213"/>
        </w:trPr>
        <w:tc>
          <w:tcPr>
            <w:tcW w:w="3660" w:type="dxa"/>
            <w:vAlign w:val="bottom"/>
          </w:tcPr>
          <w:p>
            <w:pPr>
              <w:spacing w:after="0"/>
              <w:rPr>
                <w:sz w:val="18"/>
                <w:szCs w:val="18"/>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 Earnings on Derivatives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1"/>
              </w:rPr>
              <w:t>on Derivatives</w:t>
            </w:r>
          </w:p>
        </w:tc>
        <w:tc>
          <w:tcPr>
            <w:tcW w:w="1220" w:type="dxa"/>
            <w:vAlign w:val="bottom"/>
          </w:tcPr>
          <w:p>
            <w:pPr>
              <w:spacing w:after="0"/>
              <w:rPr>
                <w:sz w:val="18"/>
                <w:szCs w:val="18"/>
                <w:color w:val="auto"/>
              </w:rPr>
            </w:pPr>
          </w:p>
        </w:tc>
      </w:tr>
      <w:tr>
        <w:trPr>
          <w:trHeight w:val="236"/>
        </w:trPr>
        <w:tc>
          <w:tcPr>
            <w:tcW w:w="366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Borders>
              <w:top w:val="single" w:sz="8" w:color="auto"/>
              <w:bottom w:val="single" w:sz="8" w:color="auto"/>
            </w:tcBorders>
            <w:gridSpan w:val="5"/>
          </w:tcPr>
          <w:p>
            <w:pPr>
              <w:jc w:val="center"/>
              <w:ind w:left="1157"/>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Borders>
              <w:top w:val="single" w:sz="8" w:color="auto"/>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2019</w:t>
            </w:r>
          </w:p>
        </w:tc>
      </w:tr>
      <w:tr>
        <w:trPr>
          <w:trHeight w:val="25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2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2029.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800" w:type="dxa"/>
            <w:vAlign w:val="bottom"/>
            <w:gridSpan w:val="2"/>
          </w:tcPr>
          <w:p>
            <w:pPr>
              <w:ind w:left="1500"/>
              <w:spacing w:after="0"/>
              <w:rPr>
                <w:sz w:val="20"/>
                <w:szCs w:val="20"/>
                <w:color w:val="auto"/>
              </w:rPr>
            </w:pPr>
            <w:r>
              <w:rPr>
                <w:rFonts w:ascii="Arial" w:cs="Arial" w:eastAsia="Arial" w:hAnsi="Arial"/>
                <w:sz w:val="16"/>
                <w:szCs w:val="16"/>
                <w:b w:val="1"/>
                <w:bCs w:val="1"/>
                <w:color w:val="auto"/>
              </w:rPr>
              <w:t>Balance Sheet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Arial" w:cs="Arial" w:eastAsia="Arial" w:hAnsi="Arial"/>
                <w:sz w:val="16"/>
                <w:szCs w:val="16"/>
                <w:b w:val="1"/>
                <w:bCs w:val="1"/>
                <w:color w:val="auto"/>
              </w:rPr>
              <w:t>2020</w:t>
            </w: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CCEEFF"/>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Assets</w:t>
            </w:r>
          </w:p>
        </w:tc>
        <w:tc>
          <w:tcPr>
            <w:tcW w:w="4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125,866</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146,522</w:t>
            </w: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23"/>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9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r>
      <w:tr>
        <w:trPr>
          <w:trHeight w:val="229"/>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r>
      <w:tr>
        <w:trPr>
          <w:trHeight w:val="209"/>
        </w:trPr>
        <w:tc>
          <w:tcPr>
            <w:tcW w:w="2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166,452</w:t>
            </w:r>
          </w:p>
        </w:tc>
      </w:tr>
      <w:tr>
        <w:trPr>
          <w:trHeight w:val="229"/>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194,324</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Upon transition to ASC Topic 842, the Company used the incremental borrowing rate on January 1, 2019 for all operating leases that commenced prior to that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 included in the consolidated statement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gridSpan w:val="2"/>
          </w:tcPr>
          <w:p>
            <w:pPr>
              <w:ind w:left="1140"/>
              <w:spacing w:after="0"/>
              <w:rPr>
                <w:sz w:val="20"/>
                <w:szCs w:val="20"/>
                <w:color w:val="auto"/>
              </w:rPr>
            </w:pPr>
            <w:r>
              <w:rPr>
                <w:rFonts w:ascii="Arial" w:cs="Arial" w:eastAsia="Arial" w:hAnsi="Arial"/>
                <w:sz w:val="16"/>
                <w:szCs w:val="16"/>
                <w:b w:val="1"/>
                <w:bCs w:val="1"/>
                <w:color w:val="auto"/>
              </w:rPr>
              <w:t>Income Statement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Arial" w:cs="Arial" w:eastAsia="Arial" w:hAnsi="Arial"/>
                <w:sz w:val="16"/>
                <w:szCs w:val="16"/>
                <w:b w:val="1"/>
                <w:bCs w:val="1"/>
                <w:color w:val="auto"/>
              </w:rPr>
              <w:t>2020</w:t>
            </w: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31,785</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costs</w:t>
            </w: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SG&amp;A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costs</w:t>
            </w:r>
          </w:p>
        </w:tc>
        <w:tc>
          <w:tcPr>
            <w:tcW w:w="4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For the year ended December 31, 2020, impairment charges were recorded related to certain operating lease right-of-use assets at the AMCNI business. See Note 9 for additional details regarding the impairment test of long-lived assets.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lease liabilities for operating and finance leases as of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Finance Leases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45,545</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35,858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41,751</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39,794</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36,191</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215,056</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2"/>
              </w:rPr>
              <w:t>December 31, 2021</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404"/>
        </w:trPr>
        <w:tc>
          <w:tcPr>
            <w:tcW w:w="9280" w:type="dxa"/>
            <w:vAlign w:val="bottom"/>
            <w:gridSpan w:val="3"/>
          </w:tcPr>
          <w:p>
            <w:pPr>
              <w:ind w:left="460"/>
              <w:spacing w:after="0"/>
              <w:rPr>
                <w:sz w:val="20"/>
                <w:szCs w:val="20"/>
                <w:color w:val="auto"/>
              </w:rPr>
            </w:pPr>
            <w:r>
              <w:rPr>
                <w:rFonts w:ascii="Arial" w:cs="Arial" w:eastAsia="Arial" w:hAnsi="Arial"/>
                <w:sz w:val="18"/>
                <w:szCs w:val="18"/>
                <w:color w:val="auto"/>
                <w:w w:val="99"/>
              </w:rPr>
              <w:t>The following table summarizes the supplemental cash paid for amounts in the measurement of lease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4"/>
              </w:rPr>
              <w:t>December 31,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7"/>
              </w:rPr>
              <w:t>December 31, 2020</w:t>
            </w: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3,261</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(loss) from continuing operations before income taxes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36"/>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437,039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529,451</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2"/>
              </w:rPr>
              <w:t>(34,660)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2"/>
              </w:rPr>
              <w:t>(43,265)</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402,379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486,186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attributable to continuing operations consists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3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86,977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81,459</w:t>
            </w:r>
          </w:p>
        </w:tc>
      </w:tr>
      <w:tr>
        <w:trPr>
          <w:trHeight w:val="230"/>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w:t>
            </w:r>
          </w:p>
        </w:tc>
      </w:tr>
      <w:tr>
        <w:trPr>
          <w:trHeight w:val="229"/>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r>
      <w:tr>
        <w:trPr>
          <w:trHeight w:val="223"/>
        </w:trPr>
        <w:tc>
          <w:tcPr>
            <w:tcW w:w="68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118,724</w:t>
            </w: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Deferred expense (benefit):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w:t>
            </w:r>
          </w:p>
        </w:tc>
      </w:tr>
      <w:tr>
        <w:trPr>
          <w:trHeight w:val="223"/>
        </w:trPr>
        <w:tc>
          <w:tcPr>
            <w:tcW w:w="6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(38,916)</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 relating to uncertain tax positions, including accrued interest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78,470</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3260" w:type="dxa"/>
            <w:vAlign w:val="bottom"/>
            <w:tcBorders>
              <w:bottom w:val="single" w:sz="8" w:color="auto"/>
            </w:tcBorders>
            <w:gridSpan w:val="5"/>
          </w:tcPr>
          <w:p>
            <w:pPr>
              <w:ind w:left="1220"/>
              <w:spacing w:after="0"/>
              <w:rPr>
                <w:sz w:val="20"/>
                <w:szCs w:val="20"/>
                <w:color w:val="auto"/>
              </w:rPr>
            </w:pPr>
            <w:r>
              <w:rPr>
                <w:rFonts w:ascii="Arial" w:cs="Arial" w:eastAsia="Arial" w:hAnsi="Arial"/>
                <w:sz w:val="16"/>
                <w:szCs w:val="16"/>
                <w:b w:val="1"/>
                <w:bCs w:val="1"/>
                <w:color w:val="auto"/>
                <w:w w:val="98"/>
              </w:rPr>
              <w:t>Years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 statutory income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benefit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operations</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Non-deductible compensation expenses (a)</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deficiencies related to share-based compensation</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Nontaxable income attributable to noncontrolling interests</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the valuation allowance (b)</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6920" w:type="dxa"/>
            <w:vAlign w:val="bottom"/>
          </w:tcPr>
          <w:p>
            <w:pPr>
              <w:ind w:left="220"/>
              <w:spacing w:after="0" w:line="176" w:lineRule="exact"/>
              <w:rPr>
                <w:sz w:val="20"/>
                <w:szCs w:val="20"/>
                <w:color w:val="auto"/>
              </w:rPr>
            </w:pPr>
            <w:r>
              <w:rPr>
                <w:rFonts w:ascii="Arial" w:cs="Arial" w:eastAsia="Arial" w:hAnsi="Arial"/>
                <w:sz w:val="18"/>
                <w:szCs w:val="18"/>
                <w:color w:val="auto"/>
                <w:w w:val="93"/>
              </w:rPr>
              <w:t>Tax expense relating to uncertain tax positions, including accrued interest, net of deferred</w:t>
            </w:r>
          </w:p>
        </w:tc>
        <w:tc>
          <w:tcPr>
            <w:tcW w:w="1340" w:type="dxa"/>
            <w:vAlign w:val="bottom"/>
            <w:vMerge w:val="restart"/>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360" w:type="dxa"/>
            <w:vAlign w:val="bottom"/>
            <w:vMerge w:val="restart"/>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tax benefits</w:t>
            </w: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Deferral of investment tax credit benefit (c)</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500" w:hanging="6"/>
        <w:spacing w:after="0" w:line="235" w:lineRule="auto"/>
        <w:tabs>
          <w:tab w:leader="none" w:pos="9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year ended December 31, 2021, the increase in nondeductible compensation expense is primarily due to the expiration of grandfathered arrangements related to equity compensation under Internal Revenue Code Section 162(m). Prior periods have been restated for comparative purposes.</w:t>
      </w:r>
    </w:p>
    <w:p>
      <w:pPr>
        <w:spacing w:after="0" w:line="201" w:lineRule="exact"/>
        <w:rPr>
          <w:rFonts w:ascii="Arial" w:cs="Arial" w:eastAsia="Arial" w:hAnsi="Arial"/>
          <w:sz w:val="18"/>
          <w:szCs w:val="18"/>
          <w:color w:val="auto"/>
        </w:rPr>
      </w:pPr>
    </w:p>
    <w:p>
      <w:pPr>
        <w:jc w:val="both"/>
        <w:ind w:left="500" w:hanging="6"/>
        <w:spacing w:after="0" w:line="227" w:lineRule="auto"/>
        <w:tabs>
          <w:tab w:leader="none" w:pos="8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year ended December 31, 2021, the increase in valuation allowance relates primarily to the generation of excess foreign tax credits and a reduction in the expected utilization of interest expense carryforwards as a result of a tax assessment. In the year ended December 31, 2020, the increase in valuation allowance relates primarily to a change in judgement and a change in local tax law related to the utilization of foreign net operating loss carryforwards and other deferred tax assets. In the year ended December 31, 2019, the decrease in valuation allowance relates primarily to the expected utilization of foreign net operating loss carryforwards resulting from the reorganization of intellectual property amongst the Company’s international subsidiaries.</w:t>
      </w:r>
    </w:p>
    <w:p>
      <w:pPr>
        <w:spacing w:after="0" w:line="215" w:lineRule="exact"/>
        <w:rPr>
          <w:rFonts w:ascii="Arial" w:cs="Arial" w:eastAsia="Arial" w:hAnsi="Arial"/>
          <w:sz w:val="18"/>
          <w:szCs w:val="18"/>
          <w:color w:val="auto"/>
        </w:rPr>
      </w:pPr>
    </w:p>
    <w:p>
      <w:pPr>
        <w:ind w:left="500" w:hanging="6"/>
        <w:spacing w:after="0" w:line="261" w:lineRule="auto"/>
        <w:tabs>
          <w:tab w:leader="none" w:pos="8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years ended December 31, 2021, 2020 and 2019, the deferral of investment tax credit benefit relates to the income tax benefit recognized from investment tax credits recorded using the deferral method of accounting.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tax effects of temporary differences that give rise to significant components of deferred tax assets or liabilities at December 31, 2021 and 2020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Deferred Tax Asset (Liability)</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NOLs and tax credit carry 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95,684</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98,631</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and benefit plans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assets and intangible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42,550</w:t>
            </w:r>
          </w:p>
        </w:tc>
      </w:tr>
      <w:tr>
        <w:trPr>
          <w:trHeight w:val="230"/>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Accrued interest expense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5,599</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16,682</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660"/>
              <w:spacing w:after="0"/>
              <w:rPr>
                <w:sz w:val="20"/>
                <w:szCs w:val="20"/>
                <w:color w:val="auto"/>
              </w:rPr>
            </w:pPr>
            <w:r>
              <w:rPr>
                <w:rFonts w:ascii="Arial" w:cs="Arial" w:eastAsia="Arial" w:hAnsi="Arial"/>
                <w:sz w:val="18"/>
                <w:szCs w:val="18"/>
                <w:color w:val="auto"/>
              </w:rPr>
              <w:t>Deferred tax asset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177,450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187,856</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(96,199)</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Net deferred tax asset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71,956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91,657</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9"/>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Fixed assets and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(84,005)</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partnerships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(77,619)</w:t>
            </w: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(36,458)</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tax liability</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(198,620)</w:t>
            </w:r>
          </w:p>
        </w:tc>
      </w:tr>
      <w:tr>
        <w:trPr>
          <w:trHeight w:val="223"/>
        </w:trPr>
        <w:tc>
          <w:tcPr>
            <w:tcW w:w="20" w:type="dxa"/>
            <w:vAlign w:val="bottom"/>
          </w:tcPr>
          <w:p>
            <w:pPr>
              <w:spacing w:after="0"/>
              <w:rPr>
                <w:sz w:val="19"/>
                <w:szCs w:val="19"/>
                <w:color w:val="auto"/>
              </w:rPr>
            </w:pPr>
          </w:p>
        </w:tc>
        <w:tc>
          <w:tcPr>
            <w:tcW w:w="7580" w:type="dxa"/>
            <w:vAlign w:val="bottom"/>
            <w:gridSpan w:val="2"/>
          </w:tcPr>
          <w:p>
            <w:pPr>
              <w:ind w:left="340"/>
              <w:spacing w:after="0"/>
              <w:rPr>
                <w:sz w:val="20"/>
                <w:szCs w:val="20"/>
                <w:color w:val="auto"/>
              </w:rPr>
            </w:pPr>
            <w:r>
              <w:rPr>
                <w:rFonts w:ascii="Arial" w:cs="Arial" w:eastAsia="Arial" w:hAnsi="Arial"/>
                <w:sz w:val="18"/>
                <w:szCs w:val="18"/>
                <w:color w:val="auto"/>
              </w:rPr>
              <w:t>Total net deferred tax liability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(152,266)</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(106,963)</w:t>
            </w: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At December 31, 2021, the Company had investment tax credit carry forwards of approximately $53.5 million, expiring on various dates from 2032 through 2036 and foreign tax credit carryforwards of approximately $37.8 million, expiring on various dates from 2022 through 2031, which have been reduced by a valuation allowance of $37.8 million as it is more likely than not that these carry forwards will not be realized. The Company had net operating loss carry forwards of approximately $337.4 million, related primarily to federal and state net operating losses acquired as a result of the purchase of the outstanding shares of RLJE of approximately $101.6 million and to net operating loss carryforwards of our foreign subsidiaries. The deferred tax asset related to the federal and state net operating loss carryforward of approximately $21.2 million has expiration dates ranging from 2022 through 2038 and has been reduced by a valuation allowance of approximately $7.8 million that was recorded through goodwill as part of purchase accounting. Although the foreign net operating loss carry forward periods range from 5 years to unlimited, the related deferred tax assets of approximately $36.3 million for these carry forwards have been reduced by a valuation allowance of approximately $35.7 million as it is more likely than not that these carry forwards will not be realized. The remainder of the valuation allowance at December 31, 2021 relates primarily to deferred tax assets attributable to temporary differences of certain foreign subsidiaries for which it is more likely than not that these deferred tax assets will not be realized.</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2021, $1.3 million relating to amortization of tax deductible second component goodwill was realized as a reduction in tax liability (as determined on a 'with-and-without' approach).</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December 31, 2021, the liability for uncertain tax positions was $12.2 million, excluding the related accrued interest liability of $4.4 million and deferred tax assets of $2.4 million. All of such unrecognized tax benefits, if recognized, would reduce the Company's income tax expense and effective tax 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beginning to ending amount of the liability for uncertain tax positions (excluding related accrued interest and deferred tax benefit)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6"/>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r>
      <w:tr>
        <w:trPr>
          <w:trHeight w:val="229"/>
        </w:trPr>
        <w:tc>
          <w:tcPr>
            <w:tcW w:w="9100" w:type="dxa"/>
            <w:vAlign w:val="bottom"/>
          </w:tcPr>
          <w:p>
            <w:pPr>
              <w:ind w:left="360"/>
              <w:spacing w:after="0"/>
              <w:rPr>
                <w:sz w:val="20"/>
                <w:szCs w:val="20"/>
                <w:color w:val="auto"/>
              </w:rPr>
            </w:pPr>
            <w:r>
              <w:rPr>
                <w:rFonts w:ascii="Arial" w:cs="Arial" w:eastAsia="Arial" w:hAnsi="Arial"/>
                <w:sz w:val="18"/>
                <w:szCs w:val="18"/>
                <w:color w:val="auto"/>
              </w:rPr>
              <w:t>Increases related to current year tax positions</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prior year tax positions</w:t>
            </w: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29"/>
        </w:trPr>
        <w:tc>
          <w:tcPr>
            <w:tcW w:w="9100" w:type="dxa"/>
            <w:vAlign w:val="bottom"/>
          </w:tcPr>
          <w:p>
            <w:pPr>
              <w:ind w:left="360"/>
              <w:spacing w:after="0"/>
              <w:rPr>
                <w:sz w:val="20"/>
                <w:szCs w:val="20"/>
                <w:color w:val="auto"/>
              </w:rPr>
            </w:pPr>
            <w:r>
              <w:rPr>
                <w:rFonts w:ascii="Arial" w:cs="Arial" w:eastAsia="Arial" w:hAnsi="Arial"/>
                <w:sz w:val="18"/>
                <w:szCs w:val="18"/>
                <w:color w:val="auto"/>
              </w:rPr>
              <w:t>Decreases related to prior year tax positions</w:t>
            </w: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29"/>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Decreases due to lapse of statute of limitations</w:t>
            </w:r>
          </w:p>
        </w:tc>
        <w:tc>
          <w:tcPr>
            <w:tcW w:w="8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w:t>
            </w:r>
          </w:p>
        </w:tc>
      </w:tr>
      <w:tr>
        <w:trPr>
          <w:trHeight w:val="20"/>
        </w:trPr>
        <w:tc>
          <w:tcPr>
            <w:tcW w:w="9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Interest expense (net of the related deferred tax benefit) of $1.8 million was recognized during the year ended December 31, 2021 and is included in income tax expense in the consolidated statement of income. At December 31, 2021 and 2020, the liability for uncertain tax positions and related accrued interest noted above are included in other liabilities in the consolidated balance sheets.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being audited by the State and City of New York and various other states or jurisdictions, with most of the periods under examination relating to tax years 2013 and forward.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w w:val="89"/>
              </w:rPr>
              <w:t>Payments due by period</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Year 1</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Years</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Arial" w:cs="Arial" w:eastAsia="Arial" w:hAnsi="Arial"/>
                <w:sz w:val="16"/>
                <w:szCs w:val="16"/>
                <w:b w:val="1"/>
                <w:bCs w:val="1"/>
                <w:color w:val="auto"/>
                <w:w w:val="93"/>
              </w:rPr>
              <w:t>2 - 3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5 years</w:t>
            </w: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100"/>
              <w:spacing w:after="0" w:line="225"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7"/>
              </w:rPr>
              <w:t>1,063,360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362,796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Purchase obligations consist primarily of program rights obligations, and transmission and marketing commitments.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17, 2013, Frank Darabont ("Darabont"), Ferenc, Inc., Darkwoods Productions, Inc., and Creative Artists Agency, LLC (together, the "Plaintiffs"), filed a complaint in New York Supreme Court in connection with Darabont's rendering services as a writer, director and producer of the television series entitled The Walking Dead and the agreement between the parties related thereto. Plaintiffs asserted claims for breach of contract, breach of the covenant of good faith and fair dealing, for an accounting and for declaratory relief.</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18, 2018, Plaintiffs filed a second action in New York Supreme Court in connection with Darabont’s services on The Walking Dead television series and agreements between the parties related thereto. Plaintiffs asserted claims for breach of contract, breach of the covenant of good faith and fair dealing, and declaratory relief. The two actions were consolidated for a joint trial, which was scheduled to begin on April 4, 2022.</w:t>
      </w:r>
    </w:p>
    <w:p>
      <w:pPr>
        <w:spacing w:after="0" w:line="5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July 16, 2021, the parties entered into a settlement agreement (the “Settlement Agreement”) to resolve the consolidated actions. The Settlement Agreement provides for a cash payment of $200 million (the “Settlement Payment”) to Plaintiffs and future revenue sharing related to certain future streaming exhibition of The Walking Dead and Fear The Walking Dead. With regard to the Settlement Payment, the Company recorded a charge of approximately $143 million in the quarter ended June 30, 2021 in consideration for the extinguishment of Plaintiffs’ rights to any compensation in connection with The Walking Dead and any related programs and the dismissal of the actions with prejudice, which amount is net of approximately $57 million of ordinary course accrued participations. The Settlement Agreement also includes customary provisions included in such agreements, including providing for mutual releases, covenants not to sue, waivers, confidentiality, non-disparagement and indemnification for third party claims. On July 21, 2021, the Plaintiffs filed a stipulation to discontinue the consolidated actions, with prejudice.</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The Walking Dead, as well as Fear the Walking Dead and/or Talking Dead, and the agreements between the parties related thereto (the "California Walking Dead Litigation"). The California Plaintiffs asserted that the Company had been improperly underpaying the California Plaintiffs under their contracts with the Company and they asserted claims for breach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contract, breach of the covenant of good faith and fair dealing, inducing breach of contract, and liability for violation of Cal. Bus. &amp; Prof. Code § 17200. The California Plaintiffs sought compensatory and punitive damages and restitution. On August 8, 2019, the judge in the California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California Plaintiffs filed a second amended complaint, eliminating eight named defendants and their claims under Cal. Bus. &amp; Prof. Code § 17200. On May 5, 2021, the California Plaintiffs filed a third amended complaint, repleading in part their claims for alleged breach of the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A May 2, 2022 trial date has been set with regard to claims not addressed in the first phase trial. The parties have resumed discovery in preparation for the May 2, 2022 trial. On January 12, 2022, the Company filed a motion for summary adjudication of many of the remaining claims. A hearing on the motion is scheduled for April 1, 2022. The Company believes that the remaining asserted claims are without merit and will vigorously defend against them. At this time, no determination can be made as to the ultimate outcome of this litigation or the potential liability, if any, on the part of the Company.</w:t>
      </w:r>
    </w:p>
    <w:p>
      <w:pPr>
        <w:spacing w:after="0" w:line="6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Redeemable Noncontrolling Interests</w:t>
      </w:r>
    </w:p>
    <w:p>
      <w:pPr>
        <w:spacing w:after="0" w:line="12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In connection with the 2018 acquisition of RLJE, the terms of the operating agreement provide the noncontrolling member with a right to put all of its noncontrolling interest to a subsidiary of the Company at the greater of the then fair market value or enterprise value of RLJE, in each case pursuant to the operating agreement and applied to the equity interest. The put option is exercisable following the seventh anniversary of the agreement, or earlier upon a change of control.</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2014, the Company, through a wholly-owned subsidiary, acquired 49.9% of the limited liability company interests of New Video Channel America L.L.C, that owns the cable channel BBC AMERICA. In connection with acquisition, the 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50" w:lineRule="exact"/>
        <w:rPr>
          <w:sz w:val="20"/>
          <w:szCs w:val="20"/>
          <w:color w:val="auto"/>
        </w:rPr>
      </w:pPr>
    </w:p>
    <w:p>
      <w:pPr>
        <w:ind w:right="880" w:firstLine="405"/>
        <w:spacing w:after="0" w:line="263" w:lineRule="auto"/>
        <w:rPr>
          <w:sz w:val="20"/>
          <w:szCs w:val="20"/>
          <w:color w:val="auto"/>
        </w:rPr>
      </w:pPr>
      <w:r>
        <w:rPr>
          <w:rFonts w:ascii="Arial" w:cs="Arial" w:eastAsia="Arial" w:hAnsi="Arial"/>
          <w:sz w:val="18"/>
          <w:szCs w:val="18"/>
          <w:color w:val="auto"/>
        </w:rPr>
        <w:t>Because exercise of these put rights is outside the Company's control, the noncontrolling interest in each entity is presented as redeemable noncontrolling interest outside of stockholders' equity on the Company's consolidated balance sheet. The activity reflected within redeemable noncontrolling interests for the years ended December 31, 2021 and 2020 is presented below.</w:t>
      </w:r>
    </w:p>
    <w:tbl>
      <w:tblPr>
        <w:tblLayout w:type="fixed"/>
        <w:tblInd w:w="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60" w:type="dxa"/>
            <w:vAlign w:val="bottom"/>
          </w:tcPr>
          <w:p>
            <w:pPr>
              <w:jc w:val="right"/>
              <w:ind w:right="32"/>
              <w:spacing w:after="0" w:line="171" w:lineRule="exact"/>
              <w:rPr>
                <w:sz w:val="20"/>
                <w:szCs w:val="20"/>
                <w:color w:val="auto"/>
              </w:rPr>
            </w:pPr>
            <w:r>
              <w:rPr>
                <w:rFonts w:ascii="Arial" w:cs="Arial" w:eastAsia="Arial" w:hAnsi="Arial"/>
                <w:sz w:val="16"/>
                <w:szCs w:val="16"/>
                <w:b w:val="1"/>
                <w:bCs w:val="1"/>
                <w:color w:val="auto"/>
                <w:w w:val="90"/>
              </w:rPr>
              <w:t>Redeemable Noncontrolling</w:t>
            </w:r>
          </w:p>
        </w:tc>
      </w:tr>
      <w:tr>
        <w:trPr>
          <w:trHeight w:val="213"/>
        </w:trPr>
        <w:tc>
          <w:tcPr>
            <w:tcW w:w="864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932"/>
              <w:spacing w:after="0"/>
              <w:rPr>
                <w:sz w:val="20"/>
                <w:szCs w:val="20"/>
                <w:color w:val="auto"/>
              </w:rPr>
            </w:pPr>
            <w:r>
              <w:rPr>
                <w:rFonts w:ascii="Arial" w:cs="Arial" w:eastAsia="Arial" w:hAnsi="Arial"/>
                <w:sz w:val="16"/>
                <w:szCs w:val="16"/>
                <w:b w:val="1"/>
                <w:bCs w:val="1"/>
                <w:color w:val="auto"/>
              </w:rPr>
              <w:t>Interest</w:t>
            </w:r>
          </w:p>
        </w:tc>
      </w:tr>
      <w:tr>
        <w:trPr>
          <w:trHeight w:val="22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309,451</w:t>
            </w:r>
          </w:p>
        </w:tc>
      </w:tr>
      <w:tr>
        <w:trPr>
          <w:trHeight w:val="229"/>
        </w:trPr>
        <w:tc>
          <w:tcPr>
            <w:tcW w:w="8640" w:type="dxa"/>
            <w:vAlign w:val="bottom"/>
          </w:tcPr>
          <w:p>
            <w:pPr>
              <w:ind w:left="760"/>
              <w:spacing w:after="0"/>
              <w:rPr>
                <w:sz w:val="20"/>
                <w:szCs w:val="20"/>
                <w:color w:val="auto"/>
              </w:rPr>
            </w:pPr>
            <w:r>
              <w:rPr>
                <w:rFonts w:ascii="Arial" w:cs="Arial" w:eastAsia="Arial" w:hAnsi="Arial"/>
                <w:sz w:val="18"/>
                <w:szCs w:val="18"/>
                <w:color w:val="auto"/>
              </w:rPr>
              <w:t>Net earnings</w:t>
            </w:r>
          </w:p>
        </w:tc>
        <w:tc>
          <w:tcPr>
            <w:tcW w:w="5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15,878</w:t>
            </w:r>
          </w:p>
        </w:tc>
      </w:tr>
      <w:tr>
        <w:trPr>
          <w:trHeight w:val="230"/>
        </w:trPr>
        <w:tc>
          <w:tcPr>
            <w:tcW w:w="86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Distributions</w:t>
            </w:r>
          </w:p>
        </w:tc>
        <w:tc>
          <w:tcPr>
            <w:tcW w:w="5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(14,782)</w:t>
            </w:r>
          </w:p>
        </w:tc>
      </w:tr>
      <w:tr>
        <w:trPr>
          <w:trHeight w:val="230"/>
        </w:trPr>
        <w:tc>
          <w:tcPr>
            <w:tcW w:w="864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r>
      <w:tr>
        <w:trPr>
          <w:trHeight w:val="223"/>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2020</w:t>
            </w:r>
          </w:p>
        </w:tc>
        <w:tc>
          <w:tcPr>
            <w:tcW w:w="5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30"/>
        </w:trPr>
        <w:tc>
          <w:tcPr>
            <w:tcW w:w="8640" w:type="dxa"/>
            <w:vAlign w:val="bottom"/>
          </w:tcPr>
          <w:p>
            <w:pPr>
              <w:ind w:left="760"/>
              <w:spacing w:after="0"/>
              <w:rPr>
                <w:sz w:val="20"/>
                <w:szCs w:val="20"/>
                <w:color w:val="auto"/>
              </w:rPr>
            </w:pPr>
            <w:r>
              <w:rPr>
                <w:rFonts w:ascii="Arial" w:cs="Arial" w:eastAsia="Arial" w:hAnsi="Arial"/>
                <w:sz w:val="18"/>
                <w:szCs w:val="18"/>
                <w:color w:val="auto"/>
              </w:rPr>
              <w:t>Net earnings</w:t>
            </w:r>
          </w:p>
        </w:tc>
        <w:tc>
          <w:tcPr>
            <w:tcW w:w="5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17,230</w:t>
            </w:r>
          </w:p>
        </w:tc>
      </w:tr>
      <w:tr>
        <w:trPr>
          <w:trHeight w:val="230"/>
        </w:trPr>
        <w:tc>
          <w:tcPr>
            <w:tcW w:w="86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Distributions</w:t>
            </w:r>
          </w:p>
        </w:tc>
        <w:tc>
          <w:tcPr>
            <w:tcW w:w="5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r>
      <w:tr>
        <w:trPr>
          <w:trHeight w:val="229"/>
        </w:trPr>
        <w:tc>
          <w:tcPr>
            <w:tcW w:w="8640" w:type="dxa"/>
            <w:vAlign w:val="bottom"/>
          </w:tcPr>
          <w:p>
            <w:pPr>
              <w:ind w:left="760"/>
              <w:spacing w:after="0"/>
              <w:rPr>
                <w:sz w:val="20"/>
                <w:szCs w:val="20"/>
                <w:color w:val="auto"/>
              </w:rPr>
            </w:pPr>
            <w:r>
              <w:rPr>
                <w:rFonts w:ascii="Arial" w:cs="Arial" w:eastAsia="Arial" w:hAnsi="Arial"/>
                <w:sz w:val="18"/>
                <w:szCs w:val="18"/>
                <w:color w:val="auto"/>
              </w:rPr>
              <w:t>Distribution related to spin-off transaction</w:t>
            </w:r>
          </w:p>
        </w:tc>
        <w:tc>
          <w:tcPr>
            <w:tcW w:w="5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(8,233)</w:t>
            </w:r>
          </w:p>
        </w:tc>
      </w:tr>
      <w:tr>
        <w:trPr>
          <w:trHeight w:val="230"/>
        </w:trPr>
        <w:tc>
          <w:tcPr>
            <w:tcW w:w="86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Transfer to noncontrolling interest</w:t>
            </w:r>
          </w:p>
        </w:tc>
        <w:tc>
          <w:tcPr>
            <w:tcW w:w="5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8640" w:type="dxa"/>
            <w:vAlign w:val="bottom"/>
          </w:tcPr>
          <w:p>
            <w:pPr>
              <w:ind w:left="440"/>
              <w:spacing w:after="0"/>
              <w:rPr>
                <w:sz w:val="20"/>
                <w:szCs w:val="20"/>
                <w:color w:val="auto"/>
              </w:rPr>
            </w:pPr>
            <w:r>
              <w:rPr>
                <w:rFonts w:ascii="Arial" w:cs="Arial" w:eastAsia="Arial" w:hAnsi="Arial"/>
                <w:sz w:val="18"/>
                <w:szCs w:val="18"/>
                <w:color w:val="auto"/>
              </w:rPr>
              <w:t>December 31, 2021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283,849</w:t>
            </w:r>
          </w:p>
        </w:tc>
      </w:tr>
      <w:tr>
        <w:trPr>
          <w:trHeight w:val="21"/>
        </w:trPr>
        <w:tc>
          <w:tcPr>
            <w:tcW w:w="8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spin-off of the live comedy venue and talent management businesses of Levity Entertainment Group, LLC (see Note 4), $8.2 million of redeemable noncontrolling interests was distributed to the noncontrolling partners. In addition, as part of the transaction, the preexisting put rights of the noncontrolling interest holders were terminated.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the remaining $18.4 million of noncontrolling interests was transferred from Redeemable noncontrolling interests to Noncontrolling interests in the condensed consolidated balance sheet.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Equity and Long-Term Incentive Plans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June 8, 2016, the Company's shareholders approved the AMC Networks Inc. 2016 Employee Stock Plan (the "2016 Employee Stock Plan") and the AMC Networks Inc. 2016 Executive Cash Incentive Plan (the "2016 Cash Incentive Plan"). On June 5, 2012, the Company's shareholders approved the AMC Networks Inc. 2011 Stock Plan for Non-Employee Directors (the "2011 Non-Employee Director Plan").</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On June 11, 2020, the Company adopted the Amended and Restated 2016 Employee Stock Plan (the "2016 Employee Stock Plan"). 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12,000,000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7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Awards issued to employees under the 2016 Employee Stock Plan will settle in shares of the Company's Class A Common Stock (either from treasury or with newly issued shares), or, at the option of the Compensation Committee, in cash. As of December 31, 2021, there are 8,176,572 share awards available for future grant under the 2016 Employee Stock Plan. For the purpose of calculating the remaining shares available for issuance under the 2016 Employee Stock Plan, awards containing performance criteria are excluded based on the maximum potential performance target that can be achieved.</w:t>
      </w:r>
    </w:p>
    <w:p>
      <w:pPr>
        <w:spacing w:after="0" w:line="4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On June 11, 2020, the Company adopted the Amended and Restated 2011 Stock Plan for Non-Employee Directors (the "2011 Non-Employee Director Stock Plan"). Under the 2011 Non-Employee Director Plan, the Company is authorized to grant non-qualified stock options, restricted stock units, restricted shares, stock appreciation rights and other equity-based awards. The Company may grant awards for up to 665,000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2021, there are 236,894 shares available for future grant under the 2011 Non-Employee Director Plan.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Restricted Stock Unit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activity relating to Company employees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Performance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3"/>
              </w:rPr>
              <w:t>Fair Value Per</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Restricted</w:t>
            </w: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Stock Unit at Date of</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Stock Units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5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2019</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760,431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2,369,901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824,946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335,472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(322,458)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(260,382)</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(369,650)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2020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1,002,537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380,731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300,936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(427,852)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(66,323)</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 balance, 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889,093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restricted stock units granted vest ratably over a three or four year period.</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relating to Non-employee Directors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3"/>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Stock Unit at Date of</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8"/>
              </w:rPr>
              <w:t>Grant</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54,535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Vested award balance, December 31, 2020</w:t>
            </w:r>
          </w:p>
        </w:tc>
        <w:tc>
          <w:tcPr>
            <w:tcW w:w="1740" w:type="dxa"/>
            <w:vAlign w:val="bottom"/>
          </w:tcPr>
          <w:p>
            <w:pPr>
              <w:jc w:val="right"/>
              <w:spacing w:after="0"/>
              <w:rPr>
                <w:sz w:val="20"/>
                <w:szCs w:val="20"/>
                <w:color w:val="auto"/>
              </w:rPr>
            </w:pPr>
            <w:r>
              <w:rPr>
                <w:rFonts w:ascii="Arial" w:cs="Arial" w:eastAsia="Arial" w:hAnsi="Arial"/>
                <w:sz w:val="18"/>
                <w:szCs w:val="18"/>
                <w:color w:val="auto"/>
              </w:rPr>
              <w:t>260,365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Released/Vested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(25,133)</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Stock Option Award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relating to employees of the Company who held unvested AMC Networks stock options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Shares Under</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360" w:type="dxa"/>
            <w:vAlign w:val="bottom"/>
          </w:tcPr>
          <w:p>
            <w:pPr>
              <w:spacing w:after="0"/>
              <w:rPr>
                <w:sz w:val="5"/>
                <w:szCs w:val="5"/>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360" w:type="dxa"/>
            <w:vAlign w:val="bottom"/>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1"/>
              </w:rPr>
              <w:t>Weighted</w:t>
            </w:r>
          </w:p>
        </w:tc>
        <w:tc>
          <w:tcPr>
            <w:tcW w:w="148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6"/>
              </w:rPr>
              <w:t>Time</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3"/>
                <w:szCs w:val="13"/>
                <w:color w:val="auto"/>
              </w:rPr>
            </w:pPr>
          </w:p>
        </w:tc>
        <w:tc>
          <w:tcPr>
            <w:tcW w:w="1160" w:type="dxa"/>
            <w:vAlign w:val="bottom"/>
          </w:tcPr>
          <w:p>
            <w:pPr>
              <w:jc w:val="center"/>
              <w:ind w:right="133"/>
              <w:spacing w:after="0" w:line="155" w:lineRule="exact"/>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Vesting</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Term</w:t>
            </w:r>
          </w:p>
        </w:tc>
        <w:tc>
          <w:tcPr>
            <w:tcW w:w="240" w:type="dxa"/>
            <w:vAlign w:val="bottom"/>
          </w:tcPr>
          <w:p>
            <w:pPr>
              <w:spacing w:after="0"/>
              <w:rPr>
                <w:sz w:val="14"/>
                <w:szCs w:val="14"/>
                <w:color w:val="auto"/>
              </w:rPr>
            </w:pPr>
          </w:p>
        </w:tc>
        <w:tc>
          <w:tcPr>
            <w:tcW w:w="116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Options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 years)</w:t>
            </w:r>
          </w:p>
        </w:tc>
        <w:tc>
          <w:tcPr>
            <w:tcW w:w="240" w:type="dxa"/>
            <w:vAlign w:val="bottom"/>
          </w:tcPr>
          <w:p>
            <w:pPr>
              <w:spacing w:after="0"/>
              <w:rPr>
                <w:sz w:val="18"/>
                <w:szCs w:val="18"/>
                <w:color w:val="auto"/>
              </w:rPr>
            </w:pPr>
          </w:p>
        </w:tc>
        <w:tc>
          <w:tcPr>
            <w:tcW w:w="116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Value(a)</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1"/>
              </w:rPr>
              <w:t>6.79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jc w:val="center"/>
              <w:ind w:left="935"/>
              <w:spacing w:after="0"/>
              <w:rPr>
                <w:sz w:val="20"/>
                <w:szCs w:val="20"/>
                <w:color w:val="auto"/>
              </w:rPr>
            </w:pPr>
            <w:r>
              <w:rPr>
                <w:rFonts w:ascii="Arial" w:cs="Arial" w:eastAsia="Arial" w:hAnsi="Arial"/>
                <w:sz w:val="18"/>
                <w:szCs w:val="18"/>
                <w:color w:val="auto"/>
                <w:w w:val="91"/>
              </w:rPr>
              <w:t>5.79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December 31, 2021</w:t>
            </w:r>
          </w:p>
        </w:tc>
        <w:tc>
          <w:tcPr>
            <w:tcW w:w="13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center"/>
              <w:ind w:left="955"/>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expected to vest in the future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80" w:right="40" w:hanging="329"/>
        <w:spacing w:after="0" w:line="277" w:lineRule="auto"/>
        <w:tabs>
          <w:tab w:leader="none" w:pos="5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(i) the exercise price of the underlying award and (ii) the quoted price of AMC Networks Class A Common Stock on the reporting date, as indicated.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Share-based Compensation Expenses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recorded share-based compensation expenses of $47.9 million, $52.9 million and $64.1 million, reduced for forfeitures, for the years ended December 31, 2021, 2020 and 2019, respectively. Forfeitures are estimated based on historical experience. To the extent actual results of forfeitures differ from those estimates, such amounts are recorded as an adjustment in the period the estimates are revised.</w:t>
      </w:r>
    </w:p>
    <w:p>
      <w:pPr>
        <w:spacing w:after="0" w:line="5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Share-based compensation expenses are recognized in the consolidated statements of income as part of selling, general and administrative expenses. As of December 31, 2021, there was $32.8 million of total unrecognized share-based compensation costs related to Company employees who held unvested AMC Networks restricted stock units. The unrecognized compensation cost is expected to be recognized over a weighted-average remaining period of approximately 1.82 years. There were no costs related to share-based compensation that were capitalized.</w:t>
      </w:r>
    </w:p>
    <w:p>
      <w:pPr>
        <w:spacing w:after="0" w:line="6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receives income tax deductions related to restricted stock units, stock options or other equity awards granted to its employees by the Company.</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deficiencies/(benefits) of $(4.6) million, $8.4 million and $(0.1) million were recorded for the years ended December 31, 2021, 2020 and 2019, respectively.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Under the terms of the 2016 Cash Incentive Plan, the Company is authorized to grant a cash or equity based award to certain employees. The terms and conditions of such awards are determined by the Compensation Committee of the Company's Board of Directors, may include the achievement of certain performance criteria and may extend for a period not to exceed ten years. During 2021 and 2020, the Company granted long-term incentive cash awards. During 2017 through 2019, the Company granted long-term incentive awards in the form of PRSUs.</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Long-term incentive compensation plan expense is recognized in the consolidated statements of income as part of selling, general and administrative expenses. The Company recorded long-term incentive compensation expense of $22.5 million and $13.9 million for the years ended December 31, 2021 and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Benefit Plans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Total expense related to all benefit plans was $11.9 million, $9.3 million and $8.3 million for the years ended December 31, 2021, 2020 and 2019, respectively. The Company does not provide postretirement benefits for any of its 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7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3% of the Company's outstanding Class A Common Stock. Such shares of the Company's Class A Common Stock and Class B Common Stock, collectively, represent approximately 79% of the aggregate voting power of the Company's outstanding common stock. Members of the Dolan Family are also the controlling stockholders of Madison Square Garden Sports Corp. ("MSGS") and Madison Square Garden Entertainment Corp. ("MSGE").</w:t>
      </w:r>
    </w:p>
    <w:p>
      <w:pPr>
        <w:spacing w:after="0" w:line="6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From time to time the Company enters into arrangements with 605, LLC. James L. Dolan, the Chairman and a director of the Company, and his spouse, Kristin A. Dolan, a director of the Company, own 50% of 605, LLC. Kristin A. Dolan is also the founder and Chief Executive Officer of 605, LLC. 605, LLC provides audience measurement and data analytics services to the Company and its subsidiaries in the ordinary course of business.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provides services to and receives services from MSGS and MSGE.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 net</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$5.0 million, $4.8 million and $4.8 million for the years ended December 31, 2021, 2020 and 2019,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Amounts charged to the Company, included in selling, general and administrative expenses, pursuant to a transition services agreement and for other transactions with its related parties amounted to $2.2 million, $0.5 million and $1.0 million for the years ended December 31, 2021, 2020 and 2019, respectively.</w:t>
      </w:r>
    </w:p>
    <w:p>
      <w:pPr>
        <w:spacing w:after="0" w:line="7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AMC Networks has an arrangement with the Dolan Family Office, LLC ("DFO"), MSGS and MSGE providing for the sharing of certain expenses associated with executive office space which are available to Charles F. Dolan (the Chairman Emeritus and a director of the Company and a director of MSGS and MSGE), James L. Dolan (the Non-Executive Chairman and a director of the Company and a director of MSGS and MSGE), and the DFO which is controlled by Charles F. Dolan. The Company's share of initial set-up costs and office expenses was not material.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2021, 2020 and 2019, the Company's non-cash investing and financing activities and other supplemental data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Continuing Operations: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additions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6,270</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Supplemental Data: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151,501</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accumulated other comprehensive loss: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b w:val="1"/>
                <w:bCs w:val="1"/>
                <w:color w:val="auto"/>
                <w:w w:val="92"/>
              </w:rPr>
              <w:t>Year Ended December 31, 2021</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5900" w:type="dxa"/>
            <w:vAlign w:val="bottom"/>
          </w:tcPr>
          <w:p>
            <w:pPr>
              <w:spacing w:after="0"/>
              <w:rPr>
                <w:sz w:val="24"/>
                <w:szCs w:val="24"/>
                <w:color w:val="auto"/>
              </w:rPr>
            </w:pPr>
          </w:p>
        </w:tc>
        <w:tc>
          <w:tcPr>
            <w:tcW w:w="1680" w:type="dxa"/>
            <w:vAlign w:val="bottom"/>
            <w:gridSpan w:val="3"/>
            <w:vMerge w:val="restart"/>
          </w:tcPr>
          <w:p>
            <w:pPr>
              <w:jc w:val="right"/>
              <w:ind w:right="253"/>
              <w:spacing w:after="0"/>
              <w:rPr>
                <w:sz w:val="20"/>
                <w:szCs w:val="20"/>
                <w:color w:val="auto"/>
              </w:rPr>
            </w:pPr>
            <w:r>
              <w:rPr>
                <w:rFonts w:ascii="Arial" w:cs="Arial" w:eastAsia="Arial" w:hAnsi="Arial"/>
                <w:sz w:val="16"/>
                <w:szCs w:val="16"/>
                <w:b w:val="1"/>
                <w:bCs w:val="1"/>
                <w:color w:val="auto"/>
              </w:rPr>
              <w:t>Currency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6"/>
            <w:vMerge w:val="restart"/>
          </w:tcPr>
          <w:p>
            <w:pPr>
              <w:jc w:val="center"/>
              <w:ind w:left="35"/>
              <w:spacing w:after="0"/>
              <w:rPr>
                <w:sz w:val="20"/>
                <w:szCs w:val="20"/>
                <w:color w:val="auto"/>
              </w:rPr>
            </w:pPr>
            <w:r>
              <w:rPr>
                <w:rFonts w:ascii="Arial" w:cs="Arial" w:eastAsia="Arial" w:hAnsi="Arial"/>
                <w:sz w:val="16"/>
                <w:szCs w:val="16"/>
                <w:b w:val="1"/>
                <w:bCs w:val="1"/>
                <w:color w:val="auto"/>
                <w:w w:val="86"/>
              </w:rPr>
              <w:t>Gains (Losses) 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1640" w:type="dxa"/>
            <w:vAlign w:val="bottom"/>
            <w:gridSpan w:val="5"/>
          </w:tcPr>
          <w:p>
            <w:pPr>
              <w:jc w:val="right"/>
              <w:ind w:right="13"/>
              <w:spacing w:after="0" w:line="162" w:lineRule="exact"/>
              <w:rPr>
                <w:sz w:val="20"/>
                <w:szCs w:val="20"/>
                <w:color w:val="auto"/>
              </w:rPr>
            </w:pPr>
            <w:r>
              <w:rPr>
                <w:rFonts w:ascii="Arial" w:cs="Arial" w:eastAsia="Arial" w:hAnsi="Arial"/>
                <w:sz w:val="16"/>
                <w:szCs w:val="16"/>
                <w:b w:val="1"/>
                <w:bCs w:val="1"/>
                <w:color w:val="auto"/>
                <w:w w:val="90"/>
              </w:rPr>
              <w:t>Other Comprehensive</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Translation Adjustment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6"/>
          </w:tcPr>
          <w:p>
            <w:pPr>
              <w:ind w:left="200"/>
              <w:spacing w:after="0"/>
              <w:rPr>
                <w:sz w:val="20"/>
                <w:szCs w:val="20"/>
                <w:color w:val="auto"/>
              </w:rPr>
            </w:pPr>
            <w:r>
              <w:rPr>
                <w:rFonts w:ascii="Arial" w:cs="Arial" w:eastAsia="Arial" w:hAnsi="Arial"/>
                <w:sz w:val="16"/>
                <w:szCs w:val="16"/>
                <w:b w:val="1"/>
                <w:bCs w:val="1"/>
                <w:color w:val="auto"/>
              </w:rPr>
              <w:t>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613"/>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Beginning Balance</w:t>
            </w:r>
          </w:p>
        </w:tc>
        <w:tc>
          <w:tcPr>
            <w:tcW w:w="8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(133,108)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w w:val="91"/>
              </w:rPr>
              <w:t>Net current-period other comprehensive income (loss), before income taxes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2"/>
              </w:rPr>
              <w:t>Net current-period other comprehensive income (loss), net of income taxes</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(40,868)</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(175,818)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1"/>
          </w:tcPr>
          <w:p>
            <w:pPr>
              <w:jc w:val="center"/>
              <w:ind w:right="913"/>
              <w:spacing w:after="0"/>
              <w:rPr>
                <w:sz w:val="20"/>
                <w:szCs w:val="20"/>
                <w:color w:val="auto"/>
              </w:rPr>
            </w:pPr>
            <w:r>
              <w:rPr>
                <w:rFonts w:ascii="Arial" w:cs="Arial" w:eastAsia="Arial" w:hAnsi="Arial"/>
                <w:sz w:val="16"/>
                <w:szCs w:val="16"/>
                <w:b w:val="1"/>
                <w:bCs w:val="1"/>
                <w:color w:val="auto"/>
                <w:w w:val="91"/>
              </w:rPr>
              <w:t>Year Ended December 31, 2020</w:t>
            </w:r>
          </w:p>
        </w:tc>
        <w:tc>
          <w:tcPr>
            <w:tcW w:w="0" w:type="dxa"/>
            <w:vAlign w:val="bottom"/>
          </w:tcPr>
          <w:p>
            <w:pPr>
              <w:spacing w:after="0"/>
              <w:rPr>
                <w:sz w:val="1"/>
                <w:szCs w:val="1"/>
                <w:color w:val="auto"/>
              </w:rPr>
            </w:pPr>
          </w:p>
        </w:tc>
      </w:tr>
      <w:tr>
        <w:trPr>
          <w:trHeight w:val="348"/>
        </w:trPr>
        <w:tc>
          <w:tcPr>
            <w:tcW w:w="5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24"/>
                <w:szCs w:val="24"/>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7"/>
              </w:rPr>
              <w:t>Gains (Losses) 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Adjustment</w:t>
            </w:r>
          </w:p>
        </w:tc>
        <w:tc>
          <w:tcPr>
            <w:tcW w:w="156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89"/>
              </w:rPr>
              <w:t>Cash Flow Hedges</w:t>
            </w:r>
          </w:p>
        </w:tc>
        <w:tc>
          <w:tcPr>
            <w:tcW w:w="140" w:type="dxa"/>
            <w:vAlign w:val="bottom"/>
          </w:tcPr>
          <w:p>
            <w:pPr>
              <w:spacing w:after="0"/>
              <w:rPr>
                <w:sz w:val="18"/>
                <w:szCs w:val="18"/>
                <w:color w:val="auto"/>
              </w:rPr>
            </w:pPr>
          </w:p>
        </w:tc>
        <w:tc>
          <w:tcPr>
            <w:tcW w:w="1280" w:type="dxa"/>
            <w:vAlign w:val="bottom"/>
          </w:tcPr>
          <w:p>
            <w:pPr>
              <w:jc w:val="center"/>
              <w:ind w:right="73"/>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(166,203)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(167,711)</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Net current-period other comprehensive (loss), before income taxes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0"/>
              </w:rPr>
              <w:t>33,084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32,647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8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 net of income taxes</w:t>
            </w: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33,095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32,761</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(133,108)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consolidated statements of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 2021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Corporate / Inter-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Domestic Operations</w:t>
            </w: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85"/>
              </w:rPr>
              <w:t>segment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eliminations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1,318,732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249,844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1,568,576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2,126,954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2,580,616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511,317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 2020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5"/>
              </w:rPr>
              <w:t>Corporate / Inter-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Domestic Operations</w:t>
            </w: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w w:val="85"/>
              </w:rPr>
              <w:t>segment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eliminations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1,145,970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239,145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1,385,115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1,579,924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378,891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1,939,140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2,381,401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453,230</w:t>
            </w:r>
          </w:p>
        </w:tc>
        <w:tc>
          <w:tcPr>
            <w:tcW w:w="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(110,068)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9"/>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F-43</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 2019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International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Domestic Operations</w:t>
            </w:r>
          </w:p>
        </w:tc>
        <w:tc>
          <w:tcPr>
            <w:tcW w:w="2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32"/>
              <w:spacing w:after="0"/>
              <w:rPr>
                <w:sz w:val="20"/>
                <w:szCs w:val="20"/>
                <w:color w:val="auto"/>
              </w:rPr>
            </w:pPr>
            <w:r>
              <w:rPr>
                <w:rFonts w:ascii="Arial" w:cs="Arial" w:eastAsia="Arial" w:hAnsi="Arial"/>
                <w:sz w:val="16"/>
                <w:szCs w:val="16"/>
                <w:b w:val="1"/>
                <w:bCs w:val="1"/>
                <w:color w:val="auto"/>
              </w:rPr>
              <w:t>and 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Subscription</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1,137,358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251,184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1,388,542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licensing and other</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187,073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677,946</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Distribution and other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1,658,997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438,257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2,066,488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993,833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3,060,321</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625,277</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64,133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101,098</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106,603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106,603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943,990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40" w:type="dxa"/>
            <w:vAlign w:val="bottom"/>
            <w:vMerge w:val="continue"/>
          </w:tcPr>
          <w:p>
            <w:pPr>
              <w:spacing w:after="0"/>
              <w:rPr>
                <w:sz w:val="17"/>
                <w:szCs w:val="17"/>
                <w:color w:val="auto"/>
              </w:rPr>
            </w:pPr>
          </w:p>
        </w:tc>
        <w:tc>
          <w:tcPr>
            <w:tcW w:w="440" w:type="dxa"/>
            <w:vAlign w:val="bottom"/>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37,150</w:t>
            </w:r>
          </w:p>
        </w:tc>
        <w:tc>
          <w:tcPr>
            <w:tcW w:w="100" w:type="dxa"/>
            <w:vAlign w:val="bottom"/>
          </w:tcPr>
          <w:p>
            <w:pPr>
              <w:spacing w:after="0"/>
              <w:rPr>
                <w:sz w:val="17"/>
                <w:szCs w:val="17"/>
                <w:color w:val="auto"/>
              </w:rPr>
            </w:pPr>
          </w:p>
        </w:tc>
        <w:tc>
          <w:tcPr>
            <w:tcW w:w="220" w:type="dxa"/>
            <w:vAlign w:val="bottom"/>
          </w:tcPr>
          <w:p>
            <w:pPr>
              <w:jc w:val="right"/>
              <w:ind w:right="30"/>
              <w:spacing w:after="0" w:line="204"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9,257</w:t>
            </w:r>
          </w:p>
        </w:tc>
        <w:tc>
          <w:tcPr>
            <w:tcW w:w="14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45,197</w:t>
            </w:r>
          </w:p>
        </w:tc>
        <w:tc>
          <w:tcPr>
            <w:tcW w:w="100" w:type="dxa"/>
            <w:vAlign w:val="bottom"/>
          </w:tcPr>
          <w:p>
            <w:pPr>
              <w:spacing w:after="0"/>
              <w:rPr>
                <w:sz w:val="17"/>
                <w:szCs w:val="17"/>
                <w:color w:val="auto"/>
              </w:rPr>
            </w:pPr>
          </w:p>
        </w:tc>
        <w:tc>
          <w:tcPr>
            <w:tcW w:w="220" w:type="dxa"/>
            <w:vAlign w:val="bottom"/>
          </w:tcPr>
          <w:p>
            <w:pPr>
              <w:jc w:val="right"/>
              <w:ind w:right="30"/>
              <w:spacing w:after="0" w:line="204"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91,604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Distribution revenues, included in the Domestic Operations segment, include subscription revenues related to the Company's streaming services of approximately $370.8 million, $185.6 million and $95.9 million for the years ended December 31, 2021, 2020 and 2019 respectively.</w:t>
      </w:r>
    </w:p>
    <w:p>
      <w:pPr>
        <w:spacing w:after="0" w:line="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Inter-segment eliminations are primarily licensing revenues recognized between the Domestic Operations and International and Other segments as well as revenues recognized by AMC Networks Broadcasting &amp; Technology for transmission revenues recognized from the International and Other operating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18"/>
                <w:szCs w:val="18"/>
                <w:color w:val="auto"/>
              </w:rPr>
            </w:pPr>
          </w:p>
        </w:tc>
      </w:tr>
      <w:tr>
        <w:trPr>
          <w:trHeight w:val="23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(15,852)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(26,639)</w:t>
            </w: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r>
      <w:tr>
        <w:trPr>
          <w:trHeight w:val="223"/>
        </w:trPr>
        <w:tc>
          <w:tcPr>
            <w:tcW w:w="63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For the years ended December 31, 2021 and 2020, no one customer accounted for 10% of consolidated revenues, net. One customer within the Domestic Operations segment accounted for approximately 10% of consolidated revenues, net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 based on customer location: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3"/>
              </w:rPr>
              <w:t>Years Ended December 31,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2,462,210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2,267,754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2,511,686</w:t>
            </w:r>
          </w:p>
        </w:tc>
        <w:tc>
          <w:tcPr>
            <w:tcW w:w="40" w:type="dxa"/>
            <w:vAlign w:val="bottom"/>
          </w:tcPr>
          <w:p>
            <w:pPr>
              <w:spacing w:after="0"/>
              <w:rPr>
                <w:sz w:val="19"/>
                <w:szCs w:val="19"/>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382,888</w:t>
            </w:r>
          </w:p>
        </w:tc>
        <w:tc>
          <w:tcPr>
            <w:tcW w:w="4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161,415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165,747</w:t>
            </w:r>
          </w:p>
        </w:tc>
        <w:tc>
          <w:tcPr>
            <w:tcW w:w="40" w:type="dxa"/>
            <w:vAlign w:val="bottom"/>
            <w:tcBorders>
              <w:bottom w:val="single" w:sz="8" w:color="auto"/>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2,814,956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3,060,321</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120" w:type="dxa"/>
            <w:vAlign w:val="bottom"/>
            <w:gridSpan w:val="2"/>
          </w:tcPr>
          <w:p>
            <w:pPr>
              <w:ind w:left="420"/>
              <w:spacing w:after="0"/>
              <w:rPr>
                <w:sz w:val="20"/>
                <w:szCs w:val="20"/>
                <w:color w:val="auto"/>
              </w:rPr>
            </w:pPr>
            <w:r>
              <w:rPr>
                <w:rFonts w:ascii="Arial" w:cs="Arial" w:eastAsia="Arial" w:hAnsi="Arial"/>
                <w:sz w:val="18"/>
                <w:szCs w:val="18"/>
                <w:color w:val="auto"/>
                <w:w w:val="91"/>
              </w:rPr>
              <w:t>The table below summarizes property and equipment based on asset location: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5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7"/>
          </w:tcPr>
          <w:p>
            <w:pPr>
              <w:ind w:left="560"/>
              <w:spacing w:after="0"/>
              <w:rPr>
                <w:sz w:val="20"/>
                <w:szCs w:val="20"/>
                <w:color w:val="auto"/>
              </w:rPr>
            </w:pPr>
            <w:r>
              <w:rPr>
                <w:rFonts w:ascii="Arial" w:cs="Arial" w:eastAsia="Arial" w:hAnsi="Arial"/>
                <w:sz w:val="16"/>
                <w:szCs w:val="16"/>
                <w:b w:val="1"/>
                <w:bCs w:val="1"/>
                <w:color w:val="auto"/>
              </w:rPr>
              <w:t>Years Ended December 31,</w:t>
            </w: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210,252</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239,387</w:t>
            </w:r>
          </w:p>
        </w:tc>
        <w:tc>
          <w:tcPr>
            <w:tcW w:w="40" w:type="dxa"/>
            <w:vAlign w:val="bottom"/>
          </w:tcPr>
          <w:p>
            <w:pPr>
              <w:spacing w:after="0"/>
              <w:rPr>
                <w:sz w:val="19"/>
                <w:szCs w:val="19"/>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40" w:type="dxa"/>
            <w:vAlign w:val="bottom"/>
          </w:tcPr>
          <w:p>
            <w:pPr>
              <w:spacing w:after="0"/>
              <w:rPr>
                <w:sz w:val="19"/>
                <w:szCs w:val="19"/>
                <w:color w:val="auto"/>
              </w:rPr>
            </w:pPr>
          </w:p>
        </w:tc>
      </w:tr>
      <w:tr>
        <w:trPr>
          <w:trHeight w:val="229"/>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40" w:type="dxa"/>
            <w:vAlign w:val="bottom"/>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256,045</w:t>
            </w:r>
          </w:p>
        </w:tc>
        <w:tc>
          <w:tcPr>
            <w:tcW w:w="40" w:type="dxa"/>
            <w:vAlign w:val="bottom"/>
          </w:tcPr>
          <w:p>
            <w:pPr>
              <w:spacing w:after="0"/>
              <w:rPr>
                <w:sz w:val="21"/>
                <w:szCs w:val="2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ind w:left="3780"/>
        <w:spacing w:after="0"/>
        <w:rPr>
          <w:sz w:val="20"/>
          <w:szCs w:val="20"/>
          <w:color w:val="auto"/>
        </w:rPr>
      </w:pPr>
      <w:r>
        <w:rPr>
          <w:rFonts w:ascii="Arial" w:cs="Arial" w:eastAsia="Arial" w:hAnsi="Arial"/>
          <w:sz w:val="18"/>
          <w:szCs w:val="18"/>
          <w:b w:val="1"/>
          <w:bCs w:val="1"/>
          <w:color w:val="auto"/>
        </w:rPr>
        <w:t>AMC NETWORKS INC. AND SUBSIDIARIES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Balance at Beginning of</w:t>
            </w: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Provision for (Recovery</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Deductions/ Write-</w:t>
            </w:r>
          </w:p>
        </w:tc>
        <w:tc>
          <w:tcPr>
            <w:tcW w:w="260" w:type="dxa"/>
            <w:vAlign w:val="bottom"/>
          </w:tcPr>
          <w:p>
            <w:pPr>
              <w:spacing w:after="0"/>
              <w:rPr>
                <w:sz w:val="16"/>
                <w:szCs w:val="16"/>
                <w:color w:val="auto"/>
              </w:rPr>
            </w:pPr>
          </w:p>
        </w:tc>
        <w:tc>
          <w:tcPr>
            <w:tcW w:w="150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Offs and Other Charges,</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Period</w:t>
            </w: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 Bad Debt</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26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6"/>
                <w:szCs w:val="16"/>
                <w:b w:val="1"/>
                <w:bCs w:val="1"/>
                <w:color w:val="auto"/>
              </w:rPr>
              <w:t>End of Period</w:t>
            </w:r>
          </w:p>
        </w:tc>
        <w:tc>
          <w:tcPr>
            <w:tcW w:w="0" w:type="dxa"/>
            <w:vAlign w:val="bottom"/>
          </w:tcPr>
          <w:p>
            <w:pPr>
              <w:spacing w:after="0"/>
              <w:rPr>
                <w:sz w:val="1"/>
                <w:szCs w:val="1"/>
                <w:color w:val="auto"/>
              </w:rPr>
            </w:pP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Ended December 31, 2021</w:t>
            </w: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2019</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320" w:top="1174" w:right="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November 19, 2021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Ms. Christina Spade AMC Networks Inc.</w:t>
      </w:r>
    </w:p>
    <w:p>
      <w:pPr>
        <w:spacing w:after="0" w:line="217" w:lineRule="auto"/>
        <w:rPr>
          <w:sz w:val="20"/>
          <w:szCs w:val="20"/>
          <w:color w:val="auto"/>
        </w:rPr>
      </w:pPr>
      <w:r>
        <w:rPr>
          <w:rFonts w:ascii="Arial" w:cs="Arial" w:eastAsia="Arial" w:hAnsi="Arial"/>
          <w:sz w:val="22"/>
          <w:szCs w:val="22"/>
          <w:color w:val="auto"/>
        </w:rPr>
        <w:t>Eleven Pennsylvania Plaza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 Amendment to Employment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Christina:</w:t>
      </w:r>
    </w:p>
    <w:p>
      <w:pPr>
        <w:spacing w:after="0" w:line="220" w:lineRule="exact"/>
        <w:rPr>
          <w:sz w:val="20"/>
          <w:szCs w:val="20"/>
          <w:color w:val="auto"/>
        </w:rPr>
      </w:pPr>
    </w:p>
    <w:p>
      <w:pPr>
        <w:ind w:right="340"/>
        <w:spacing w:after="0" w:line="228" w:lineRule="auto"/>
        <w:rPr>
          <w:sz w:val="20"/>
          <w:szCs w:val="20"/>
          <w:color w:val="auto"/>
        </w:rPr>
      </w:pPr>
      <w:r>
        <w:rPr>
          <w:rFonts w:ascii="Arial" w:cs="Arial" w:eastAsia="Arial" w:hAnsi="Arial"/>
          <w:sz w:val="22"/>
          <w:szCs w:val="22"/>
          <w:color w:val="auto"/>
        </w:rPr>
        <w:t>Reference is made to the Employment Agreement by and between AMC Networks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you, dated as of January 12, 2021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This letter (this “</w:t>
      </w:r>
      <w:r>
        <w:rPr>
          <w:rFonts w:ascii="Arial" w:cs="Arial" w:eastAsia="Arial" w:hAnsi="Arial"/>
          <w:sz w:val="22"/>
          <w:szCs w:val="22"/>
          <w:u w:val="single" w:color="auto"/>
          <w:color w:val="auto"/>
        </w:rPr>
        <w:t>Amendment</w:t>
      </w:r>
      <w:r>
        <w:rPr>
          <w:rFonts w:ascii="Arial" w:cs="Arial" w:eastAsia="Arial" w:hAnsi="Arial"/>
          <w:sz w:val="22"/>
          <w:szCs w:val="22"/>
          <w:color w:val="auto"/>
        </w:rPr>
        <w:t>”) reflects certain amendments to the Employment Agreement. Capitalized terms not defined herein shall have the meaning ascribed to them in the Employment Agreement.</w:t>
      </w:r>
    </w:p>
    <w:p>
      <w:pPr>
        <w:spacing w:after="0" w:line="200" w:lineRule="exact"/>
        <w:rPr>
          <w:sz w:val="20"/>
          <w:szCs w:val="20"/>
          <w:color w:val="auto"/>
        </w:rPr>
      </w:pPr>
    </w:p>
    <w:p>
      <w:pPr>
        <w:ind w:right="40"/>
        <w:spacing w:after="0" w:line="220" w:lineRule="auto"/>
        <w:rPr>
          <w:sz w:val="20"/>
          <w:szCs w:val="20"/>
          <w:color w:val="auto"/>
        </w:rPr>
      </w:pPr>
      <w:r>
        <w:rPr>
          <w:rFonts w:ascii="Arial" w:cs="Arial" w:eastAsia="Arial" w:hAnsi="Arial"/>
          <w:sz w:val="22"/>
          <w:szCs w:val="22"/>
          <w:color w:val="auto"/>
        </w:rPr>
        <w:t>Effective as of the date hereof (the “</w:t>
      </w:r>
      <w:r>
        <w:rPr>
          <w:rFonts w:ascii="Arial" w:cs="Arial" w:eastAsia="Arial" w:hAnsi="Arial"/>
          <w:sz w:val="22"/>
          <w:szCs w:val="22"/>
          <w:u w:val="single" w:color="auto"/>
          <w:color w:val="auto"/>
        </w:rPr>
        <w:t>Amendment Date</w:t>
      </w:r>
      <w:r>
        <w:rPr>
          <w:rFonts w:ascii="Arial" w:cs="Arial" w:eastAsia="Arial" w:hAnsi="Arial"/>
          <w:sz w:val="22"/>
          <w:szCs w:val="22"/>
          <w:color w:val="auto"/>
        </w:rPr>
        <w:t xml:space="preserve">”), you will continue as an at will employee of the Company with the title of Chief Operating Officer and Chief Financial Officer;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you agree that at any time that the Board of Directors of the Company appoints a successor Chief Financial Officer, your title will be Chief Operating Officer and you will no longer serve as the Company’s Chief Financial Officer. You further acknowledge and agree that any changes to your title, duties and responsibilities as a result of the Company’s appointment of a successor Chief Financial Officer shall not constitute Good Reason under your Employment Agreement.</w:t>
      </w:r>
    </w:p>
    <w:p>
      <w:pPr>
        <w:spacing w:after="0" w:line="4" w:lineRule="exact"/>
        <w:rPr>
          <w:sz w:val="20"/>
          <w:szCs w:val="20"/>
          <w:color w:val="auto"/>
        </w:rPr>
      </w:pPr>
    </w:p>
    <w:p>
      <w:pPr>
        <w:ind w:right="180"/>
        <w:spacing w:after="0" w:line="230" w:lineRule="auto"/>
        <w:rPr>
          <w:sz w:val="20"/>
          <w:szCs w:val="20"/>
          <w:color w:val="auto"/>
        </w:rPr>
      </w:pPr>
      <w:r>
        <w:rPr>
          <w:rFonts w:ascii="Arial" w:cs="Arial" w:eastAsia="Arial" w:hAnsi="Arial"/>
          <w:sz w:val="21"/>
          <w:szCs w:val="21"/>
          <w:color w:val="auto"/>
        </w:rPr>
        <w:t>Effective as of the Amendment Date, your annual base salary will be increased to $1,250,000, subject to annual review and potential increase by the Compensation Committee. You will continue to participate in our discretionary annual bonus program; provided that your annual target bonus opportunity will be increased to one hundred and seventy-five percent (175%) of your annual base salary retroactive to January 1, 2021. Beginning with the 2022 award cycle (anticipated to commence in March 2022), it is expected that your long-term awards will consist of annual grants of cash and/or equity awards with an annual aggregate target value of not less than $3,750,000, as determined by the Compensation Committee. For the 2021 award cycle, you have previously received grants of restricted stock units and cash performance awards with a combined aggregate target value of $3,000,000. In addition to such grants, in November 2021, you will be recommended to the Compensation Committee for additional grants of long-term awards with an aggregate target value of $750,000, which grants will be comprised of a one-time restricted stock unit award with a target value of $375,000 and a one-time cash-performance award with a target value of $375,000.</w:t>
      </w:r>
    </w:p>
    <w:p>
      <w:pPr>
        <w:spacing w:after="0" w:line="204" w:lineRule="exact"/>
        <w:rPr>
          <w:sz w:val="20"/>
          <w:szCs w:val="20"/>
          <w:color w:val="auto"/>
        </w:rPr>
      </w:pPr>
    </w:p>
    <w:p>
      <w:pPr>
        <w:ind w:right="260" w:firstLine="1296"/>
        <w:spacing w:after="0" w:line="224" w:lineRule="auto"/>
        <w:rPr>
          <w:sz w:val="20"/>
          <w:szCs w:val="20"/>
          <w:color w:val="auto"/>
        </w:rPr>
      </w:pPr>
      <w:r>
        <w:rPr>
          <w:rFonts w:ascii="Arial" w:cs="Arial" w:eastAsia="Arial" w:hAnsi="Arial"/>
          <w:sz w:val="22"/>
          <w:szCs w:val="22"/>
          <w:color w:val="auto"/>
        </w:rPr>
        <w:t>In addition, on or as soon as reasonably practicable following the date hereof, the Company will grant you a special award of restricted stock units with a target value of $500,000 (the “</w:t>
      </w:r>
      <w:r>
        <w:rPr>
          <w:rFonts w:ascii="Arial" w:cs="Arial" w:eastAsia="Arial" w:hAnsi="Arial"/>
          <w:sz w:val="22"/>
          <w:szCs w:val="22"/>
          <w:i w:val="1"/>
          <w:iCs w:val="1"/>
          <w:color w:val="auto"/>
        </w:rPr>
        <w:t>Special Equity Award</w:t>
      </w:r>
      <w:r>
        <w:rPr>
          <w:rFonts w:ascii="Arial" w:cs="Arial" w:eastAsia="Arial" w:hAnsi="Arial"/>
          <w:sz w:val="22"/>
          <w:szCs w:val="22"/>
          <w:color w:val="auto"/>
        </w:rPr>
        <w:t xml:space="preserve">”). The Special Equity Award will cliff vest on the Expiration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your Special Equity Award will vest on a Change of Control of the Company (as defined in the award agreement for your Special Equity Award); and (B) subject to your execution and the effectiveness of the Severance Agreement (as defined below), the vesting restrictions applicable to your Special Equity Award will lapse on a termination of your</w:t>
      </w:r>
    </w:p>
    <w:p>
      <w:pPr>
        <w:sectPr>
          <w:pgSz w:w="11900" w:h="16838" w:orient="portrait"/>
          <w:cols w:equalWidth="0" w:num="1">
            <w:col w:w="11240"/>
          </w:cols>
          <w:pgMar w:left="320" w:top="1414" w:right="339" w:bottom="1440" w:gutter="0" w:footer="0" w:header="0"/>
        </w:sectPr>
      </w:pPr>
    </w:p>
    <w:bookmarkStart w:id="110" w:name="page111"/>
    <w:bookmarkEnd w:id="110"/>
    <w:p>
      <w:pPr>
        <w:spacing w:after="0" w:line="224" w:lineRule="auto"/>
        <w:rPr>
          <w:sz w:val="20"/>
          <w:szCs w:val="20"/>
          <w:color w:val="auto"/>
        </w:rPr>
      </w:pPr>
      <w:r>
        <w:rPr>
          <w:rFonts w:ascii="Arial" w:cs="Arial" w:eastAsia="Arial" w:hAnsi="Arial"/>
          <w:sz w:val="22"/>
          <w:szCs w:val="22"/>
          <w:color w:val="auto"/>
        </w:rPr>
        <w:t>employment with the Company (1) by the Company, (2) by you for “</w:t>
      </w:r>
      <w:r>
        <w:rPr>
          <w:rFonts w:ascii="Arial" w:cs="Arial" w:eastAsia="Arial" w:hAnsi="Arial"/>
          <w:sz w:val="22"/>
          <w:szCs w:val="22"/>
          <w:i w:val="1"/>
          <w:iCs w:val="1"/>
          <w:color w:val="auto"/>
        </w:rPr>
        <w:t>Good Reason,</w:t>
      </w:r>
      <w:r>
        <w:rPr>
          <w:rFonts w:ascii="Arial" w:cs="Arial" w:eastAsia="Arial" w:hAnsi="Arial"/>
          <w:sz w:val="22"/>
          <w:szCs w:val="22"/>
          <w:color w:val="auto"/>
        </w:rPr>
        <w:t>” or (3) due to your death or your physical or mental disability (at which time of such termination under clauses (1), (2) or (3) “</w:t>
      </w:r>
      <w:r>
        <w:rPr>
          <w:rFonts w:ascii="Arial" w:cs="Arial" w:eastAsia="Arial" w:hAnsi="Arial"/>
          <w:sz w:val="22"/>
          <w:szCs w:val="22"/>
          <w:i w:val="1"/>
          <w:iCs w:val="1"/>
          <w:color w:val="auto"/>
        </w:rPr>
        <w:t>Cause</w:t>
      </w:r>
      <w:r>
        <w:rPr>
          <w:rFonts w:ascii="Arial" w:cs="Arial" w:eastAsia="Arial" w:hAnsi="Arial"/>
          <w:sz w:val="22"/>
          <w:szCs w:val="22"/>
          <w:color w:val="auto"/>
        </w:rPr>
        <w:t>” does not exist) and the Special Equity Award will be paid or delivered to you within a reasonable period of time (and no later than the seventy-fifth (75</w:t>
      </w:r>
      <w:r>
        <w:rPr>
          <w:rFonts w:ascii="Arial" w:cs="Arial" w:eastAsia="Arial" w:hAnsi="Arial"/>
          <w:sz w:val="11"/>
          <w:szCs w:val="11"/>
          <w:color w:val="auto"/>
        </w:rPr>
        <w:t>th</w:t>
      </w:r>
      <w:r>
        <w:rPr>
          <w:rFonts w:ascii="Arial" w:cs="Arial" w:eastAsia="Arial" w:hAnsi="Arial"/>
          <w:sz w:val="22"/>
          <w:szCs w:val="22"/>
          <w:color w:val="auto"/>
        </w:rPr>
        <w:t>) day) following your termination. Your Special Equity Award will be subject to the other terms and conditions set forth in the applicable award agreement. Notwithstanding anything else in this Employment Agreement, the vesting provisions set forth in this paragraph will apply to the Special Equity Award.</w:t>
      </w:r>
    </w:p>
    <w:p>
      <w:pPr>
        <w:spacing w:after="0" w:line="203" w:lineRule="exact"/>
        <w:rPr>
          <w:sz w:val="20"/>
          <w:szCs w:val="20"/>
          <w:color w:val="auto"/>
        </w:rPr>
      </w:pPr>
    </w:p>
    <w:p>
      <w:pPr>
        <w:ind w:firstLine="1296"/>
        <w:spacing w:after="0" w:line="226" w:lineRule="auto"/>
        <w:rPr>
          <w:sz w:val="20"/>
          <w:szCs w:val="20"/>
          <w:color w:val="auto"/>
        </w:rPr>
      </w:pPr>
      <w:r>
        <w:rPr>
          <w:rFonts w:ascii="Arial" w:cs="Arial" w:eastAsia="Arial" w:hAnsi="Arial"/>
          <w:sz w:val="22"/>
          <w:szCs w:val="22"/>
          <w:color w:val="auto"/>
        </w:rPr>
        <w:t>The Employment Agreement will remain in full force and effect except to the extent modified by this Amendment. The laws of the State of New York will govern all questions related to the interpretation and construction of this Amendment, and to the performance hereof. This Amendment may be executed in several counterparts (including, without limitation, by facsimile, PDF or electronic transmission), each of which will be deemed an original, and such counterparts will constitute one and the same instrument.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414" w:right="339" w:bottom="1440" w:gutter="0" w:footer="0" w:header="0"/>
        </w:sectPr>
      </w:pPr>
    </w:p>
    <w:bookmarkStart w:id="111" w:name="page112"/>
    <w:bookmarkEnd w:id="111"/>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AMC Networks Inc.</w:t>
      </w:r>
    </w:p>
    <w:p>
      <w:pPr>
        <w:spacing w:after="0" w:line="301" w:lineRule="exact"/>
        <w:rPr>
          <w:sz w:val="20"/>
          <w:szCs w:val="20"/>
          <w:color w:val="auto"/>
        </w:rPr>
      </w:pPr>
    </w:p>
    <w:p>
      <w:pPr>
        <w:jc w:val="right"/>
        <w:ind w:right="3679"/>
        <w:spacing w:after="0"/>
        <w:rPr>
          <w:sz w:val="20"/>
          <w:szCs w:val="20"/>
          <w:color w:val="auto"/>
        </w:rPr>
      </w:pPr>
      <w:r>
        <w:rPr>
          <w:rFonts w:ascii="Arial" w:cs="Arial" w:eastAsia="Arial" w:hAnsi="Arial"/>
          <w:sz w:val="22"/>
          <w:szCs w:val="22"/>
          <w:color w:val="auto"/>
        </w:rPr>
        <w:t>/s/ Matthew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15875</wp:posOffset>
            </wp:positionV>
            <wp:extent cx="11061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5" w:lineRule="exact"/>
        <w:rPr>
          <w:sz w:val="20"/>
          <w:szCs w:val="20"/>
          <w:color w:val="auto"/>
        </w:rPr>
      </w:pPr>
    </w:p>
    <w:p>
      <w:pPr>
        <w:ind w:left="4220"/>
        <w:spacing w:after="0"/>
        <w:tabs>
          <w:tab w:leader="none" w:pos="4820" w:val="left"/>
        </w:tabs>
        <w:rPr>
          <w:sz w:val="20"/>
          <w:szCs w:val="20"/>
          <w:color w:val="auto"/>
        </w:rPr>
      </w:pPr>
      <w:r>
        <w:rPr>
          <w:rFonts w:ascii="Arial" w:cs="Arial" w:eastAsia="Arial" w:hAnsi="Arial"/>
          <w:sz w:val="22"/>
          <w:szCs w:val="22"/>
          <w:color w:val="auto"/>
        </w:rPr>
        <w:t>By:</w:t>
        <w:tab/>
        <w:t>Matthew Blank,</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0" w:type="dxa"/>
            <w:vAlign w:val="bottom"/>
          </w:tcPr>
          <w:p>
            <w:pPr>
              <w:spacing w:after="0"/>
              <w:rPr>
                <w:sz w:val="23"/>
                <w:szCs w:val="23"/>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Christina Spade</w:t>
            </w:r>
          </w:p>
        </w:tc>
      </w:tr>
      <w:tr>
        <w:trPr>
          <w:trHeight w:val="277"/>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940" w:type="dxa"/>
            <w:vAlign w:val="bottom"/>
          </w:tcPr>
          <w:p>
            <w:pPr>
              <w:ind w:left="20"/>
              <w:spacing w:after="0"/>
              <w:rPr>
                <w:sz w:val="20"/>
                <w:szCs w:val="20"/>
                <w:color w:val="auto"/>
              </w:rPr>
            </w:pPr>
            <w:r>
              <w:rPr>
                <w:rFonts w:ascii="Arial" w:cs="Arial" w:eastAsia="Arial" w:hAnsi="Arial"/>
                <w:sz w:val="22"/>
                <w:szCs w:val="22"/>
                <w:color w:val="auto"/>
              </w:rPr>
              <w:t>Christina Spade</w:t>
            </w:r>
          </w:p>
        </w:tc>
      </w:tr>
    </w:tbl>
    <w:p>
      <w:pPr>
        <w:sectPr>
          <w:pgSz w:w="11900" w:h="16838" w:orient="portrait"/>
          <w:cols w:equalWidth="0" w:num="1">
            <w:col w:w="10119"/>
          </w:cols>
          <w:pgMar w:left="340" w:top="1440"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PERFORMANCE CASH AWARD AGREEMENT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[Full Name of Employee]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Dear [First Name]:</w:t>
      </w:r>
    </w:p>
    <w:p>
      <w:pPr>
        <w:spacing w:after="0" w:line="220"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You have been selected by the Compensation Committee of the Board of Directors of AMC Networks Inc. (the “</w:t>
      </w:r>
      <w:r>
        <w:rPr>
          <w:rFonts w:ascii="Arial" w:cs="Arial" w:eastAsia="Arial" w:hAnsi="Arial"/>
          <w:sz w:val="21"/>
          <w:szCs w:val="21"/>
          <w:u w:val="single" w:color="auto"/>
          <w:color w:val="auto"/>
        </w:rPr>
        <w:t>Company</w:t>
      </w:r>
      <w:r>
        <w:rPr>
          <w:rFonts w:ascii="Arial" w:cs="Arial" w:eastAsia="Arial" w:hAnsi="Arial"/>
          <w:sz w:val="21"/>
          <w:szCs w:val="21"/>
          <w:color w:val="auto"/>
        </w:rPr>
        <w:t>”) to receive a contingent cash award (the “</w:t>
      </w:r>
      <w:r>
        <w:rPr>
          <w:rFonts w:ascii="Arial" w:cs="Arial" w:eastAsia="Arial" w:hAnsi="Arial"/>
          <w:sz w:val="21"/>
          <w:szCs w:val="21"/>
          <w:u w:val="single" w:color="auto"/>
          <w:color w:val="auto"/>
        </w:rPr>
        <w:t>Award</w:t>
      </w:r>
      <w:r>
        <w:rPr>
          <w:rFonts w:ascii="Arial" w:cs="Arial" w:eastAsia="Arial" w:hAnsi="Arial"/>
          <w:sz w:val="21"/>
          <w:szCs w:val="21"/>
          <w:color w:val="auto"/>
        </w:rPr>
        <w:t>”) effective as of March [9], 2021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Award is subject to the terms and conditions set forth below:</w:t>
      </w:r>
    </w:p>
    <w:p>
      <w:pPr>
        <w:spacing w:after="0" w:line="220" w:lineRule="exact"/>
        <w:rPr>
          <w:sz w:val="20"/>
          <w:szCs w:val="20"/>
          <w:color w:val="auto"/>
        </w:rPr>
      </w:pPr>
    </w:p>
    <w:p>
      <w:pPr>
        <w:jc w:val="both"/>
        <w:ind w:left="660" w:hanging="328"/>
        <w:spacing w:after="0" w:line="260" w:lineRule="auto"/>
        <w:tabs>
          <w:tab w:leader="none" w:pos="651"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Amount and Payment of Award</w:t>
      </w:r>
      <w:r>
        <w:rPr>
          <w:rFonts w:ascii="Arial" w:cs="Arial" w:eastAsia="Arial" w:hAnsi="Arial"/>
          <w:sz w:val="19"/>
          <w:szCs w:val="19"/>
          <w:color w:val="auto"/>
        </w:rPr>
        <w:t>. In accordance with the terms of this Performance Cash Award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the target amount of your contingent Award is $__________________ (the “</w:t>
      </w:r>
      <w:r>
        <w:rPr>
          <w:rFonts w:ascii="Arial" w:cs="Arial" w:eastAsia="Arial" w:hAnsi="Arial"/>
          <w:sz w:val="19"/>
          <w:szCs w:val="19"/>
          <w:u w:val="single" w:color="auto"/>
          <w:color w:val="auto"/>
        </w:rPr>
        <w:t>Target Award</w:t>
      </w:r>
      <w:r>
        <w:rPr>
          <w:rFonts w:ascii="Arial" w:cs="Arial" w:eastAsia="Arial" w:hAnsi="Arial"/>
          <w:sz w:val="19"/>
          <w:szCs w:val="19"/>
          <w:color w:val="auto"/>
        </w:rPr>
        <w:t xml:space="preserve">”), which may be increased or decreased to the extent the performance objectives set forth on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Objectives</w:t>
      </w:r>
      <w:r>
        <w:rPr>
          <w:rFonts w:ascii="Arial" w:cs="Arial" w:eastAsia="Arial" w:hAnsi="Arial"/>
          <w:sz w:val="19"/>
          <w:szCs w:val="19"/>
          <w:color w:val="auto"/>
        </w:rPr>
        <w:t>”) have been attained in respect of the period from January 1, 2021 through December 31, 2023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The Award, calculated in accordance with Annex 1 attached hereto, will become payable to you upon the later of March 9, 2024 and the date on which the Committee (as defined in Section 11 below) determines the Company’s performance against the Objectives (the “</w:t>
      </w:r>
      <w:r>
        <w:rPr>
          <w:rFonts w:ascii="Arial" w:cs="Arial" w:eastAsia="Arial" w:hAnsi="Arial"/>
          <w:sz w:val="19"/>
          <w:szCs w:val="19"/>
          <w:u w:val="single" w:color="auto"/>
          <w:color w:val="auto"/>
        </w:rPr>
        <w:t>Award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you have remained in the continuous employ of the Company or one of the AMC Subsidiaries (as defined in Section 22 below) from the Effective Date through the Award Date.</w:t>
      </w:r>
    </w:p>
    <w:p>
      <w:pPr>
        <w:spacing w:after="0" w:line="185" w:lineRule="exact"/>
        <w:rPr>
          <w:rFonts w:ascii="Arial" w:cs="Arial" w:eastAsia="Arial" w:hAnsi="Arial"/>
          <w:sz w:val="19"/>
          <w:szCs w:val="19"/>
          <w:color w:val="auto"/>
        </w:rPr>
      </w:pPr>
    </w:p>
    <w:p>
      <w:pPr>
        <w:jc w:val="both"/>
        <w:ind w:left="660" w:hanging="328"/>
        <w:spacing w:after="0" w:line="244" w:lineRule="auto"/>
        <w:tabs>
          <w:tab w:leader="none" w:pos="651"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Termination of Employment</w:t>
      </w:r>
      <w:r>
        <w:rPr>
          <w:rFonts w:ascii="Arial" w:cs="Arial" w:eastAsia="Arial" w:hAnsi="Arial"/>
          <w:sz w:val="21"/>
          <w:szCs w:val="21"/>
          <w:color w:val="auto"/>
        </w:rPr>
        <w:t>. If, on or prior to the Award Date, your continuous employment by the Company or one of</w:t>
      </w:r>
      <w:r>
        <w:rPr>
          <w:rFonts w:ascii="Arial" w:cs="Arial" w:eastAsia="Arial" w:hAnsi="Arial"/>
          <w:sz w:val="21"/>
          <w:szCs w:val="21"/>
          <w:i w:val="1"/>
          <w:iCs w:val="1"/>
          <w:color w:val="auto"/>
        </w:rPr>
        <w:t xml:space="preserve"> </w:t>
      </w:r>
      <w:r>
        <w:rPr>
          <w:rFonts w:ascii="Arial" w:cs="Arial" w:eastAsia="Arial" w:hAnsi="Arial"/>
          <w:sz w:val="21"/>
          <w:szCs w:val="21"/>
          <w:color w:val="auto"/>
        </w:rPr>
        <w:t>the AMC Subsidiaries ends for any reason, other than as a result of your death, then you will automatically forfeit all of your rights and interest in the Award regardless of whether the Objectives are attained.</w:t>
      </w:r>
    </w:p>
    <w:p>
      <w:pPr>
        <w:spacing w:after="0" w:line="194" w:lineRule="exact"/>
        <w:rPr>
          <w:rFonts w:ascii="Arial" w:cs="Arial" w:eastAsia="Arial" w:hAnsi="Arial"/>
          <w:sz w:val="21"/>
          <w:szCs w:val="21"/>
          <w:color w:val="auto"/>
        </w:rPr>
      </w:pPr>
    </w:p>
    <w:p>
      <w:pPr>
        <w:jc w:val="both"/>
        <w:ind w:left="660" w:hanging="328"/>
        <w:spacing w:after="0" w:line="262" w:lineRule="auto"/>
        <w:tabs>
          <w:tab w:leader="none" w:pos="651"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Death</w:t>
      </w:r>
      <w:r>
        <w:rPr>
          <w:rFonts w:ascii="Arial" w:cs="Arial" w:eastAsia="Arial" w:hAnsi="Arial"/>
          <w:sz w:val="19"/>
          <w:szCs w:val="19"/>
          <w:color w:val="auto"/>
        </w:rPr>
        <w:t>. If, prior to the end of the Performance Period, your employment with the Company or any of the AMC</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is terminated as a result of your death then your estate will receive, promptly (and in any event within 30 days) following the date of such termination, payment of the Target Award prorated for the number of completed months of your employment during the Performance Period prior to such termination. If after the end of the Performance Period but prior to the Award Date, your employment with the Company or any of the AMC Subsidiaries is terminated as a result of your death then your estate will receive, on the date payment is made to active eligible employees of the Company, the Award, if any, to which you would have been entitled on the Award Date had your employment not been so terminated.</w:t>
      </w:r>
    </w:p>
    <w:p>
      <w:pPr>
        <w:spacing w:after="0" w:line="179" w:lineRule="exact"/>
        <w:rPr>
          <w:rFonts w:ascii="Arial" w:cs="Arial" w:eastAsia="Arial" w:hAnsi="Arial"/>
          <w:sz w:val="19"/>
          <w:szCs w:val="19"/>
          <w:color w:val="auto"/>
        </w:rPr>
      </w:pPr>
    </w:p>
    <w:p>
      <w:pPr>
        <w:ind w:left="640" w:hanging="308"/>
        <w:spacing w:after="0"/>
        <w:tabs>
          <w:tab w:leader="none" w:pos="64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Going Private Transaction or Change in Control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320"/>
        <w:spacing w:after="0" w:line="239" w:lineRule="auto"/>
        <w:tabs>
          <w:tab w:leader="none" w:pos="1291" w:val="left"/>
        </w:tabs>
        <w:numPr>
          <w:ilvl w:val="1"/>
          <w:numId w:val="40"/>
        </w:numPr>
        <w:rPr>
          <w:rFonts w:ascii="Arial" w:cs="Arial" w:eastAsia="Arial" w:hAnsi="Arial"/>
          <w:sz w:val="22"/>
          <w:szCs w:val="22"/>
          <w:color w:val="auto"/>
        </w:rPr>
      </w:pPr>
      <w:r>
        <w:rPr>
          <w:rFonts w:ascii="Arial" w:cs="Arial" w:eastAsia="Arial" w:hAnsi="Arial"/>
          <w:sz w:val="22"/>
          <w:szCs w:val="22"/>
          <w:color w:val="auto"/>
        </w:rPr>
        <w:t>Going Private Transaction. Notwithstanding anything to the contrary contained in this Agreement, if at any time a Going Private Transaction (as defined below)</w:t>
      </w:r>
    </w:p>
    <w:p>
      <w:pPr>
        <w:sectPr>
          <w:pgSz w:w="11900" w:h="16838" w:orient="portrait"/>
          <w:cols w:equalWidth="0" w:num="1">
            <w:col w:w="11240"/>
          </w:cols>
          <w:pgMar w:left="320" w:top="1408" w:right="339" w:bottom="1440" w:gutter="0" w:footer="0" w:header="0"/>
        </w:sectPr>
      </w:pPr>
    </w:p>
    <w:bookmarkStart w:id="113" w:name="page114"/>
    <w:bookmarkEnd w:id="113"/>
    <w:p>
      <w:pPr>
        <w:jc w:val="both"/>
        <w:ind w:left="320"/>
        <w:spacing w:after="0" w:line="255" w:lineRule="auto"/>
        <w:rPr>
          <w:sz w:val="20"/>
          <w:szCs w:val="20"/>
          <w:color w:val="auto"/>
        </w:rPr>
      </w:pPr>
      <w:r>
        <w:rPr>
          <w:rFonts w:ascii="Arial" w:cs="Arial" w:eastAsia="Arial" w:hAnsi="Arial"/>
          <w:sz w:val="19"/>
          <w:szCs w:val="19"/>
          <w:color w:val="auto"/>
        </w:rPr>
        <w:t xml:space="preserve">occurs and immediately prior to such transaction you are employed by the Company or one of the AMC Subsidiaries, the Target Award shall become payable to you whether or not the Objectives have been attained at the earliest of (i) January 1, 2024, (ii) the date of your death or (iii) the date subsequent to the Going Private Transaction on which your employment with the Company, the Surviving Entity (as defined below) or one of the AMC Subsidiaries is terminated (A) by the Company, the Surviving Entity or one of the AMC Subsidiaries other than for Cause (as defined below) or (B) by you for Good Reason (as defined below),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you remain in the continuous employ of the Company, the Surviving Entity or one of the AMC Subsidiaries from the Effective Date through such date. Notwithstanding the foregoing, if you become entitled to payment of the Target Award by virtue of a termination in accordance with (iii)(A) or (iii)(B) of this Section 4(a) and are determined by the Company to be a “specified employee” within the meaning of Section 409A of the Internal Revenue Code of 1986, as amended (“</w:t>
      </w:r>
      <w:r>
        <w:rPr>
          <w:rFonts w:ascii="Arial" w:cs="Arial" w:eastAsia="Arial" w:hAnsi="Arial"/>
          <w:sz w:val="19"/>
          <w:szCs w:val="19"/>
          <w:u w:val="single" w:color="auto"/>
          <w:color w:val="auto"/>
        </w:rPr>
        <w:t>Section 409A of the IRC</w:t>
      </w:r>
      <w:r>
        <w:rPr>
          <w:rFonts w:ascii="Arial" w:cs="Arial" w:eastAsia="Arial" w:hAnsi="Arial"/>
          <w:sz w:val="19"/>
          <w:szCs w:val="19"/>
          <w:color w:val="auto"/>
        </w:rPr>
        <w:t xml:space="preserve">”), the Target Award shall be paid to you on the earlier of: (i) January 1, 2024, (ii) the date that is six months from your date of employment termination and (iii) any other date on which such payment or any portion thereof would be a permissible distribution under Section 409A of the IRC. In the event of such a determination, the Company shall promptly following the date of your employment termination set aside such amount for your benefit in a “rabbi trust” that satisfies the requirements of Revenue Procedure 92-64, and on a monthly basis shall deposit into such trust interest in arrears (compounded quarterly at the rate provided below) until such time as such amount, together with all accrued interest thereon, is paid to you in full pursuant to the previous sentence; </w:t>
      </w:r>
      <w:r>
        <w:rPr>
          <w:rFonts w:ascii="Arial" w:cs="Arial" w:eastAsia="Arial" w:hAnsi="Arial"/>
          <w:sz w:val="19"/>
          <w:szCs w:val="19"/>
          <w:u w:val="single" w:color="auto"/>
          <w:color w:val="auto"/>
        </w:rPr>
        <w:t>provided</w:t>
      </w:r>
      <w:r>
        <w:rPr>
          <w:rFonts w:ascii="Arial" w:cs="Arial" w:eastAsia="Arial" w:hAnsi="Arial"/>
          <w:sz w:val="19"/>
          <w:szCs w:val="19"/>
          <w:color w:val="auto"/>
        </w:rPr>
        <w:t>, that no payment will be made to such rabbi trust if it would be contrary to law or cause you to incur additional tax under Section 409A of the IRC. The initial interest rate shall be the average of the one-year LIBOR fixed rate equivalent for the ten business days prior to the date of your employment termination.</w:t>
      </w:r>
    </w:p>
    <w:p>
      <w:pPr>
        <w:spacing w:after="0" w:line="200" w:lineRule="exact"/>
        <w:rPr>
          <w:sz w:val="20"/>
          <w:szCs w:val="20"/>
          <w:color w:val="auto"/>
        </w:rPr>
      </w:pPr>
    </w:p>
    <w:p>
      <w:pPr>
        <w:spacing w:after="0" w:line="220" w:lineRule="exact"/>
        <w:rPr>
          <w:sz w:val="20"/>
          <w:szCs w:val="20"/>
          <w:color w:val="auto"/>
        </w:rPr>
      </w:pPr>
    </w:p>
    <w:p>
      <w:pPr>
        <w:jc w:val="both"/>
        <w:ind w:left="320" w:hanging="320"/>
        <w:spacing w:after="0" w:line="272" w:lineRule="auto"/>
        <w:tabs>
          <w:tab w:leader="none" w:pos="311" w:val="left"/>
        </w:tabs>
        <w:numPr>
          <w:ilvl w:val="0"/>
          <w:numId w:val="41"/>
        </w:numPr>
        <w:rPr>
          <w:rFonts w:ascii="Arial" w:cs="Arial" w:eastAsia="Arial" w:hAnsi="Arial"/>
          <w:sz w:val="19"/>
          <w:szCs w:val="19"/>
          <w:color w:val="auto"/>
        </w:rPr>
      </w:pPr>
      <w:r>
        <w:rPr>
          <w:rFonts w:ascii="Arial" w:cs="Arial" w:eastAsia="Arial" w:hAnsi="Arial"/>
          <w:sz w:val="19"/>
          <w:szCs w:val="19"/>
          <w:color w:val="auto"/>
        </w:rPr>
        <w:t>Change in Control. Notwithstanding anything to the contrary contained in this Agreement but subject to the subsections of this Section 4(b), if at any time a Change of Control (as defined below) of the Company occurs and immediately prior to such transaction you are employed by the Company or one of the AMC Subsidiaries, you will be entitled to the payment of the Target Award whether or not the Objectives have been attained.</w:t>
      </w:r>
    </w:p>
    <w:p>
      <w:pPr>
        <w:spacing w:after="0" w:line="170" w:lineRule="exact"/>
        <w:rPr>
          <w:rFonts w:ascii="Arial" w:cs="Arial" w:eastAsia="Arial" w:hAnsi="Arial"/>
          <w:sz w:val="19"/>
          <w:szCs w:val="19"/>
          <w:color w:val="auto"/>
        </w:rPr>
      </w:pPr>
    </w:p>
    <w:p>
      <w:pPr>
        <w:ind w:left="980" w:hanging="440"/>
        <w:spacing w:after="0"/>
        <w:tabs>
          <w:tab w:leader="none" w:pos="9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the actual Change of Control:</w:t>
      </w:r>
    </w:p>
    <w:p>
      <w:pPr>
        <w:spacing w:after="0" w:line="219" w:lineRule="exact"/>
        <w:rPr>
          <w:rFonts w:ascii="Arial" w:cs="Arial" w:eastAsia="Arial" w:hAnsi="Arial"/>
          <w:sz w:val="22"/>
          <w:szCs w:val="22"/>
          <w:color w:val="auto"/>
        </w:rPr>
      </w:pPr>
    </w:p>
    <w:p>
      <w:pPr>
        <w:jc w:val="both"/>
        <w:ind w:left="1620" w:right="20" w:hanging="324"/>
        <w:spacing w:after="0" w:line="226" w:lineRule="auto"/>
        <w:tabs>
          <w:tab w:leader="none" w:pos="1611" w:val="left"/>
        </w:tabs>
        <w:numPr>
          <w:ilvl w:val="2"/>
          <w:numId w:val="41"/>
        </w:numPr>
        <w:rPr>
          <w:rFonts w:ascii="Arial" w:cs="Arial" w:eastAsia="Arial" w:hAnsi="Arial"/>
          <w:sz w:val="22"/>
          <w:szCs w:val="22"/>
          <w:color w:val="auto"/>
        </w:rPr>
      </w:pPr>
      <w:r>
        <w:rPr>
          <w:rFonts w:ascii="Arial" w:cs="Arial" w:eastAsia="Arial" w:hAnsi="Arial"/>
          <w:sz w:val="22"/>
          <w:szCs w:val="22"/>
          <w:color w:val="auto"/>
        </w:rPr>
        <w:t>is a permissible distribution event under Section 409A of the IRC or payment of the Award promptly upon such event is otherwise permissible under Section 409A of the IRC (including, for the avoidance of doubt, by reason of the inapplicability of Section 409A of the IRC to the Award), then the Target Award shall be paid to you by the Company promptly following the Change of Control; or</w:t>
      </w:r>
    </w:p>
    <w:p>
      <w:pPr>
        <w:sectPr>
          <w:pgSz w:w="11900" w:h="16838" w:orient="portrait"/>
          <w:cols w:equalWidth="0" w:num="1">
            <w:col w:w="10260"/>
          </w:cols>
          <w:pgMar w:left="1300" w:top="1414" w:right="339" w:bottom="1440" w:gutter="0" w:footer="0" w:header="0"/>
        </w:sectPr>
      </w:pPr>
    </w:p>
    <w:bookmarkStart w:id="114" w:name="page115"/>
    <w:bookmarkEnd w:id="114"/>
    <w:p>
      <w:pPr>
        <w:jc w:val="both"/>
        <w:ind w:left="2600" w:hanging="324"/>
        <w:spacing w:after="0" w:line="228" w:lineRule="auto"/>
        <w:tabs>
          <w:tab w:leader="none" w:pos="2591" w:val="left"/>
        </w:tabs>
        <w:numPr>
          <w:ilvl w:val="1"/>
          <w:numId w:val="42"/>
        </w:numPr>
        <w:rPr>
          <w:rFonts w:ascii="Arial" w:cs="Arial" w:eastAsia="Arial" w:hAnsi="Arial"/>
          <w:sz w:val="22"/>
          <w:szCs w:val="22"/>
          <w:color w:val="auto"/>
        </w:rPr>
      </w:pPr>
      <w:r>
        <w:rPr>
          <w:rFonts w:ascii="Arial" w:cs="Arial" w:eastAsia="Arial" w:hAnsi="Arial"/>
          <w:sz w:val="22"/>
          <w:szCs w:val="22"/>
          <w:color w:val="auto"/>
        </w:rPr>
        <w:t>is not a permissible distribution event under Section 409A of the IRC and payment of the Award promptly upon such event is not otherwise permissible under Section 409A of the IRC, then the Target Award shall be paid to you by the Company (together with interest thereon pursuant to Section 4(b)(ii) below) on the earliest to occur of:</w:t>
      </w:r>
    </w:p>
    <w:p>
      <w:pPr>
        <w:spacing w:after="0" w:line="199" w:lineRule="exact"/>
        <w:rPr>
          <w:rFonts w:ascii="Arial" w:cs="Arial" w:eastAsia="Arial" w:hAnsi="Arial"/>
          <w:sz w:val="22"/>
          <w:szCs w:val="22"/>
          <w:color w:val="auto"/>
        </w:rPr>
      </w:pPr>
    </w:p>
    <w:p>
      <w:pPr>
        <w:jc w:val="both"/>
        <w:ind w:left="3240" w:hanging="316"/>
        <w:spacing w:after="0" w:line="226" w:lineRule="auto"/>
        <w:tabs>
          <w:tab w:leader="none" w:pos="3231" w:val="left"/>
        </w:tabs>
        <w:numPr>
          <w:ilvl w:val="2"/>
          <w:numId w:val="42"/>
        </w:numPr>
        <w:rPr>
          <w:rFonts w:ascii="Arial" w:cs="Arial" w:eastAsia="Arial" w:hAnsi="Arial"/>
          <w:sz w:val="22"/>
          <w:szCs w:val="22"/>
          <w:color w:val="auto"/>
        </w:rPr>
      </w:pPr>
      <w:r>
        <w:rPr>
          <w:rFonts w:ascii="Arial" w:cs="Arial" w:eastAsia="Arial" w:hAnsi="Arial"/>
          <w:sz w:val="22"/>
          <w:szCs w:val="22"/>
          <w:color w:val="auto"/>
        </w:rPr>
        <w:t>subsequent date on which you are no longer employed by the Company, the Surviving Entity or any of the AMC Subsidiaries for any reason other than termination of your employment by one of such entities for Cause (provided that if you are determined by the Company to be a “specified employee” within the meaning of Section 409A of the IRC, six months from such date); any</w:t>
      </w:r>
    </w:p>
    <w:p>
      <w:pPr>
        <w:spacing w:after="0" w:line="199" w:lineRule="exact"/>
        <w:rPr>
          <w:rFonts w:ascii="Arial" w:cs="Arial" w:eastAsia="Arial" w:hAnsi="Arial"/>
          <w:sz w:val="22"/>
          <w:szCs w:val="22"/>
          <w:color w:val="auto"/>
        </w:rPr>
      </w:pPr>
    </w:p>
    <w:p>
      <w:pPr>
        <w:ind w:left="3240" w:hanging="316"/>
        <w:spacing w:after="0" w:line="239" w:lineRule="auto"/>
        <w:tabs>
          <w:tab w:leader="none" w:pos="3231" w:val="left"/>
        </w:tabs>
        <w:numPr>
          <w:ilvl w:val="2"/>
          <w:numId w:val="42"/>
        </w:numPr>
        <w:rPr>
          <w:rFonts w:ascii="Arial" w:cs="Arial" w:eastAsia="Arial" w:hAnsi="Arial"/>
          <w:sz w:val="22"/>
          <w:szCs w:val="22"/>
          <w:color w:val="auto"/>
        </w:rPr>
      </w:pPr>
      <w:r>
        <w:rPr>
          <w:rFonts w:ascii="Arial" w:cs="Arial" w:eastAsia="Arial" w:hAnsi="Arial"/>
          <w:sz w:val="22"/>
          <w:szCs w:val="22"/>
          <w:color w:val="auto"/>
        </w:rPr>
        <w:t>any other date on which such payment or any portion thereof would be a permissible distribution under Section 409A of the IRC; or</w:t>
      </w:r>
    </w:p>
    <w:p>
      <w:pPr>
        <w:spacing w:after="0" w:line="198" w:lineRule="exact"/>
        <w:rPr>
          <w:rFonts w:ascii="Arial" w:cs="Arial" w:eastAsia="Arial" w:hAnsi="Arial"/>
          <w:sz w:val="22"/>
          <w:szCs w:val="22"/>
          <w:color w:val="auto"/>
        </w:rPr>
      </w:pPr>
    </w:p>
    <w:p>
      <w:pPr>
        <w:ind w:left="3240" w:hanging="316"/>
        <w:spacing w:after="0"/>
        <w:tabs>
          <w:tab w:leader="none" w:pos="3240" w:val="left"/>
        </w:tabs>
        <w:numPr>
          <w:ilvl w:val="2"/>
          <w:numId w:val="42"/>
        </w:numPr>
        <w:rPr>
          <w:rFonts w:ascii="Arial" w:cs="Arial" w:eastAsia="Arial" w:hAnsi="Arial"/>
          <w:sz w:val="22"/>
          <w:szCs w:val="22"/>
          <w:color w:val="auto"/>
        </w:rPr>
      </w:pPr>
      <w:r>
        <w:rPr>
          <w:rFonts w:ascii="Arial" w:cs="Arial" w:eastAsia="Arial" w:hAnsi="Arial"/>
          <w:sz w:val="22"/>
          <w:szCs w:val="22"/>
          <w:color w:val="auto"/>
        </w:rPr>
        <w:t>January 1, 2024.</w:t>
      </w:r>
    </w:p>
    <w:p>
      <w:pPr>
        <w:spacing w:after="0" w:line="219" w:lineRule="exact"/>
        <w:rPr>
          <w:rFonts w:ascii="Arial" w:cs="Arial" w:eastAsia="Arial" w:hAnsi="Arial"/>
          <w:sz w:val="22"/>
          <w:szCs w:val="22"/>
          <w:color w:val="auto"/>
        </w:rPr>
      </w:pPr>
    </w:p>
    <w:p>
      <w:pPr>
        <w:jc w:val="both"/>
        <w:ind w:left="1960" w:hanging="488"/>
        <w:spacing w:after="0" w:line="258" w:lineRule="auto"/>
        <w:tabs>
          <w:tab w:leader="none" w:pos="19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Upon any Change of Control, to the extent any amounts are due to be paid to you at a later date pursuant to Section 4(b)(i)(B) above, the Company shall promptly following the Change of Control set aside such amount for your benefit in a “rabbi trust” that satisfies the requirements of Revenue Procedure 92-64, and on a monthly basis shall deposit into such trust interest in arrears (compounded quarterly at the rate provided below) until such time as such amount, together with all accrued interest thereon, is paid to you in full pursuant to Section 4(b)(i)(B) above); </w:t>
      </w:r>
      <w:r>
        <w:rPr>
          <w:rFonts w:ascii="Arial" w:cs="Arial" w:eastAsia="Arial" w:hAnsi="Arial"/>
          <w:sz w:val="19"/>
          <w:szCs w:val="19"/>
          <w:u w:val="single" w:color="auto"/>
          <w:color w:val="auto"/>
        </w:rPr>
        <w:t>provided</w:t>
      </w:r>
      <w:r>
        <w:rPr>
          <w:rFonts w:ascii="Arial" w:cs="Arial" w:eastAsia="Arial" w:hAnsi="Arial"/>
          <w:sz w:val="19"/>
          <w:szCs w:val="19"/>
          <w:color w:val="auto"/>
        </w:rPr>
        <w:t>, that no payment will be made to such rabbi trust if it would be contrary to law or cause you to incur additional tax under Section 409A of the IRC. The initial interest rate shall be the average of the one-year LIBOR fixed rate equivalent for the ten business days prior to the date of the Change of Control and shall adjust annually based on the average of such rate for the ten business days prior to each anniversary of the Change of Control.</w:t>
      </w:r>
    </w:p>
    <w:p>
      <w:pPr>
        <w:spacing w:after="0" w:line="18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If and to the extent that any payment under this Section 4 is determined by the Company to constitute “non-qualified deferred compensation” subject to Section 409A of the IRC and is payable to you by reason of your termination of employment, then such payment shall be made to you only upon a “separation from service” as defined for purposes of Section 409A of the IRC under applicable regulations.</w:t>
      </w:r>
    </w:p>
    <w:p>
      <w:pPr>
        <w:spacing w:after="0" w:line="200"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For purposes of this Agreement:</w:t>
      </w:r>
    </w:p>
    <w:p>
      <w:pPr>
        <w:spacing w:after="0" w:line="220" w:lineRule="exact"/>
        <w:rPr>
          <w:sz w:val="20"/>
          <w:szCs w:val="20"/>
          <w:color w:val="auto"/>
        </w:rPr>
      </w:pPr>
    </w:p>
    <w:p>
      <w:pPr>
        <w:ind w:firstLine="648"/>
        <w:spacing w:after="0" w:line="3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(i) any Entity controlling, controlled by, or under common control with the Company or any other Affiliate and (ii) any Entity in which the Company owns at least five percent of the outstanding equity interests of such Entity.</w:t>
      </w:r>
    </w:p>
    <w:p>
      <w:pPr>
        <w:sectPr>
          <w:pgSz w:w="11900" w:h="16838" w:orient="portrait"/>
          <w:cols w:equalWidth="0" w:num="1">
            <w:col w:w="11240"/>
          </w:cols>
          <w:pgMar w:left="320" w:top="1414"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shall mean the Board of Directors of the Company, as constituted at any time.</w:t>
      </w:r>
    </w:p>
    <w:p>
      <w:pPr>
        <w:spacing w:after="0" w:line="22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any crime involving moral turpitude or any felony.</w:t>
      </w:r>
    </w:p>
    <w:p>
      <w:pPr>
        <w:spacing w:after="0" w:line="20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acquisition, in a transaction or a series of related transactions, by any person or group, other than Charles F. Dolan or members of the immediate family of Charles F. Dolan or trusts for the benefit of Charles F. Dolan or his immediate family (or an entity or entities controlled by any of them) or any employee benefit plan sponsored or maintained by the Company, of the power to direct the management of the Company or substantially all its assets (as constituted immediately prior to such transaction or transactions).</w:t>
      </w:r>
    </w:p>
    <w:p>
      <w:pPr>
        <w:spacing w:after="0" w:line="19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Entity</w:t>
      </w:r>
      <w:r>
        <w:rPr>
          <w:rFonts w:ascii="Arial" w:cs="Arial" w:eastAsia="Arial" w:hAnsi="Arial"/>
          <w:sz w:val="22"/>
          <w:szCs w:val="22"/>
          <w:color w:val="auto"/>
        </w:rPr>
        <w:t>” shall mean any business, corporation, partnership, limited liability company or other entity.</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Going Private Transaction</w:t>
      </w:r>
      <w:r>
        <w:rPr>
          <w:rFonts w:ascii="Arial" w:cs="Arial" w:eastAsia="Arial" w:hAnsi="Arial"/>
          <w:sz w:val="22"/>
          <w:szCs w:val="22"/>
          <w:color w:val="auto"/>
        </w:rPr>
        <w:t>” means a transaction involving the purchase of Company securities described in Rule 13e-3 to the Securities and Exchange Act of 1934.</w:t>
      </w:r>
    </w:p>
    <w:p>
      <w:pPr>
        <w:spacing w:after="0" w:line="19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means: (a) without your express written consent any reduction in your base salary or target bonus opportunity, or any material impairment or material adverse change in your working conditions (as the same may from time to time have been improved or, with your written consent, otherwise altered, in each case, after the Effective Date) at any time after or within ninety (90) days prior to the Going Private Transaction including, without limitation, any material reduction of your other compensation, executive perquisites or other employee benefits (measured, where applicable, by level or participation or percentage of award under any plans of the Company), or material impairment or material adverse change of your level of responsibility, authority, autonomy or title, or to your scope of duties; (b) any failure by the Company to comply with any of the provisions of this Agreement, other than an insubstantial or inadvertent failure remedied by the Company promptly after receipt of notice thereof given by you; (c) the Company’s requiring you to be based at any office or location more than thirty-five (35) miles from your location immediately prior to the Going Private Transaction except for travel reasonably required in the performance of your responsibilities; or (d) any failure by the Company to obtain the assumption and agreement to perform this Agreement by a successor.</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Surviving Entity</w:t>
      </w:r>
      <w:r>
        <w:rPr>
          <w:rFonts w:ascii="Arial" w:cs="Arial" w:eastAsia="Arial" w:hAnsi="Arial"/>
          <w:sz w:val="19"/>
          <w:szCs w:val="19"/>
          <w:color w:val="auto"/>
        </w:rPr>
        <w:t>” means the entity that owns, directly or indirectly, after consummation of any transaction, substantially all the assets of the Company as constituted immediately prior to consummation of such transaction. If any such entity is at least majority-owned, directly or indirectly, by any entity (a “</w:t>
      </w:r>
      <w:r>
        <w:rPr>
          <w:rFonts w:ascii="Arial" w:cs="Arial" w:eastAsia="Arial" w:hAnsi="Arial"/>
          <w:sz w:val="19"/>
          <w:szCs w:val="19"/>
          <w:i w:val="1"/>
          <w:iCs w:val="1"/>
          <w:color w:val="auto"/>
        </w:rPr>
        <w:t>parent entity</w:t>
      </w:r>
      <w:r>
        <w:rPr>
          <w:rFonts w:ascii="Arial" w:cs="Arial" w:eastAsia="Arial" w:hAnsi="Arial"/>
          <w:sz w:val="19"/>
          <w:szCs w:val="19"/>
          <w:color w:val="auto"/>
        </w:rPr>
        <w:t>”) which has shares of common stock (or partnership units) traded on a national stock exchange or the over-the-counter market, as reported on NASDAQ, then such parent entity shall be deemed to be the Surviving Entity, provided that if there shall be more than one such parent entity, the parent entity closest to ownership of substantially all the assets of the Company shall be deemed to be the Surviving Entity.</w:t>
      </w:r>
    </w:p>
    <w:p>
      <w:pPr>
        <w:sectPr>
          <w:pgSz w:w="11900" w:h="16838" w:orient="portrait"/>
          <w:cols w:equalWidth="0" w:num="1">
            <w:col w:w="11240"/>
          </w:cols>
          <w:pgMar w:left="320" w:top="1414" w:right="339" w:bottom="1440" w:gutter="0" w:footer="0" w:header="0"/>
        </w:sectPr>
      </w:pPr>
    </w:p>
    <w:bookmarkStart w:id="116" w:name="page117"/>
    <w:bookmarkEnd w:id="116"/>
    <w:p>
      <w:pPr>
        <w:ind w:left="-8" w:right="20" w:firstLine="8"/>
        <w:spacing w:after="0" w:line="239" w:lineRule="auto"/>
        <w:tabs>
          <w:tab w:leader="none" w:pos="464" w:val="left"/>
        </w:tabs>
        <w:numPr>
          <w:ilvl w:val="0"/>
          <w:numId w:val="45"/>
        </w:numPr>
        <w:rPr>
          <w:rFonts w:ascii="Arial" w:cs="Arial" w:eastAsia="Arial" w:hAnsi="Arial"/>
          <w:sz w:val="22"/>
          <w:szCs w:val="22"/>
          <w:i w:val="1"/>
          <w:iCs w:val="1"/>
          <w:color w:val="auto"/>
        </w:rPr>
      </w:pPr>
      <w:r>
        <w:rPr>
          <w:rFonts w:ascii="Arial" w:cs="Arial" w:eastAsia="Arial" w:hAnsi="Arial"/>
          <w:sz w:val="22"/>
          <w:szCs w:val="22"/>
          <w:i w:val="1"/>
          <w:iCs w:val="1"/>
          <w:color w:val="auto"/>
        </w:rPr>
        <w:t>Termination</w:t>
      </w:r>
      <w:r>
        <w:rPr>
          <w:rFonts w:ascii="Arial" w:cs="Arial" w:eastAsia="Arial" w:hAnsi="Arial"/>
          <w:sz w:val="22"/>
          <w:szCs w:val="22"/>
          <w:color w:val="auto"/>
        </w:rPr>
        <w:t>. Except for a right which has accrued to receive a payment on account of the Award, this Agreement shall</w:t>
      </w:r>
      <w:r>
        <w:rPr>
          <w:rFonts w:ascii="Arial" w:cs="Arial" w:eastAsia="Arial" w:hAnsi="Arial"/>
          <w:sz w:val="22"/>
          <w:szCs w:val="22"/>
          <w:i w:val="1"/>
          <w:iCs w:val="1"/>
          <w:color w:val="auto"/>
        </w:rPr>
        <w:t xml:space="preserve"> </w:t>
      </w:r>
      <w:r>
        <w:rPr>
          <w:rFonts w:ascii="Arial" w:cs="Arial" w:eastAsia="Arial" w:hAnsi="Arial"/>
          <w:sz w:val="22"/>
          <w:szCs w:val="22"/>
          <w:color w:val="auto"/>
        </w:rPr>
        <w:t>automatically terminate and be of no further force and effect on the Award Date.</w:t>
      </w:r>
    </w:p>
    <w:p>
      <w:pPr>
        <w:spacing w:after="0" w:line="198" w:lineRule="exact"/>
        <w:rPr>
          <w:rFonts w:ascii="Arial" w:cs="Arial" w:eastAsia="Arial" w:hAnsi="Arial"/>
          <w:sz w:val="22"/>
          <w:szCs w:val="22"/>
          <w:i w:val="1"/>
          <w:iCs w:val="1"/>
          <w:color w:val="auto"/>
        </w:rPr>
      </w:pPr>
    </w:p>
    <w:p>
      <w:pPr>
        <w:jc w:val="both"/>
        <w:ind w:left="-8" w:firstLine="8"/>
        <w:spacing w:after="0" w:line="226" w:lineRule="auto"/>
        <w:tabs>
          <w:tab w:leader="none" w:pos="381" w:val="left"/>
        </w:tabs>
        <w:numPr>
          <w:ilvl w:val="0"/>
          <w:numId w:val="45"/>
        </w:numPr>
        <w:rPr>
          <w:rFonts w:ascii="Arial" w:cs="Arial" w:eastAsia="Arial" w:hAnsi="Arial"/>
          <w:sz w:val="22"/>
          <w:szCs w:val="22"/>
          <w:i w:val="1"/>
          <w:iCs w:val="1"/>
          <w:color w:val="auto"/>
        </w:rPr>
      </w:pPr>
      <w:r>
        <w:rPr>
          <w:rFonts w:ascii="Arial" w:cs="Arial" w:eastAsia="Arial" w:hAnsi="Arial"/>
          <w:sz w:val="22"/>
          <w:szCs w:val="22"/>
          <w:i w:val="1"/>
          <w:iCs w:val="1"/>
          <w:color w:val="auto"/>
        </w:rPr>
        <w:t>Transfer Restrictions</w:t>
      </w:r>
      <w:r>
        <w:rPr>
          <w:rFonts w:ascii="Arial" w:cs="Arial" w:eastAsia="Arial" w:hAnsi="Arial"/>
          <w:sz w:val="22"/>
          <w:szCs w:val="22"/>
          <w:color w:val="auto"/>
        </w:rPr>
        <w:t>. Unless the Committee shall permit (on such terms and conditions as it shall establish) the Award to be</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transferred to a member of your immediate family or to a trust or similar vehicle for the benefit of members of your immediate family, you may not transfer, assign, pledge or otherwise encumber the Award, except by will or by the laws of descent and distribution, and except to the extent required by law, none of your rights or interests under the Award shall not be subject to any lien, obligation or liability.</w:t>
      </w:r>
    </w:p>
    <w:p>
      <w:pPr>
        <w:spacing w:after="0" w:line="199" w:lineRule="exact"/>
        <w:rPr>
          <w:rFonts w:ascii="Arial" w:cs="Arial" w:eastAsia="Arial" w:hAnsi="Arial"/>
          <w:sz w:val="22"/>
          <w:szCs w:val="22"/>
          <w:i w:val="1"/>
          <w:iCs w:val="1"/>
          <w:color w:val="auto"/>
        </w:rPr>
      </w:pPr>
    </w:p>
    <w:p>
      <w:pPr>
        <w:jc w:val="both"/>
        <w:ind w:left="-8" w:firstLine="8"/>
        <w:spacing w:after="0" w:line="224" w:lineRule="auto"/>
        <w:tabs>
          <w:tab w:leader="none" w:pos="381" w:val="left"/>
        </w:tabs>
        <w:numPr>
          <w:ilvl w:val="0"/>
          <w:numId w:val="45"/>
        </w:numPr>
        <w:rPr>
          <w:rFonts w:ascii="Arial" w:cs="Arial" w:eastAsia="Arial" w:hAnsi="Arial"/>
          <w:sz w:val="22"/>
          <w:szCs w:val="22"/>
          <w:i w:val="1"/>
          <w:iCs w:val="1"/>
          <w:color w:val="auto"/>
        </w:rPr>
      </w:pPr>
      <w:r>
        <w:rPr>
          <w:rFonts w:ascii="Arial" w:cs="Arial" w:eastAsia="Arial" w:hAnsi="Arial"/>
          <w:sz w:val="22"/>
          <w:szCs w:val="22"/>
          <w:i w:val="1"/>
          <w:iCs w:val="1"/>
          <w:color w:val="auto"/>
        </w:rPr>
        <w:t>Unfunded Obligation</w:t>
      </w:r>
      <w:r>
        <w:rPr>
          <w:rFonts w:ascii="Arial" w:cs="Arial" w:eastAsia="Arial" w:hAnsi="Arial"/>
          <w:sz w:val="22"/>
          <w:szCs w:val="22"/>
          <w:color w:val="auto"/>
        </w:rPr>
        <w:t>. The Award will at all times be unfunded and, except as set forth in Section 4(b) of this Agreement, no</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 will at any time be made with respect to segregating any assets of the Company or any of its Affiliates for payment of any benefits under the Agreement. Your right or that of your estate to receive payments under this Agreement shall be an unsecured claim against the general assets of the Company, including any rabbi trust established pursuant to Section 4(b). Neither you nor your estate shall have any rights in or against any specific assets of the Company other than the assets held by the rabbi trust established pursuant to Section 4(b).</w:t>
      </w:r>
    </w:p>
    <w:p>
      <w:pPr>
        <w:spacing w:after="0" w:line="203" w:lineRule="exact"/>
        <w:rPr>
          <w:rFonts w:ascii="Arial" w:cs="Arial" w:eastAsia="Arial" w:hAnsi="Arial"/>
          <w:sz w:val="22"/>
          <w:szCs w:val="22"/>
          <w:i w:val="1"/>
          <w:iCs w:val="1"/>
          <w:color w:val="auto"/>
        </w:rPr>
      </w:pPr>
    </w:p>
    <w:p>
      <w:pPr>
        <w:ind w:left="372" w:hanging="372"/>
        <w:spacing w:after="0"/>
        <w:tabs>
          <w:tab w:leader="none" w:pos="372" w:val="left"/>
        </w:tabs>
        <w:numPr>
          <w:ilvl w:val="0"/>
          <w:numId w:val="45"/>
        </w:numPr>
        <w:rPr>
          <w:rFonts w:ascii="Arial" w:cs="Arial" w:eastAsia="Arial" w:hAnsi="Arial"/>
          <w:sz w:val="22"/>
          <w:szCs w:val="22"/>
          <w:i w:val="1"/>
          <w:iCs w:val="1"/>
          <w:color w:val="auto"/>
        </w:rPr>
      </w:pPr>
      <w:r>
        <w:rPr>
          <w:rFonts w:ascii="Arial" w:cs="Arial" w:eastAsia="Arial" w:hAnsi="Arial"/>
          <w:sz w:val="22"/>
          <w:szCs w:val="22"/>
          <w:i w:val="1"/>
          <w:iCs w:val="1"/>
          <w:color w:val="auto"/>
        </w:rPr>
        <w:t>Tax Representations and Tax Withholding</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8" w:firstLine="656"/>
        <w:spacing w:after="0" w:line="226" w:lineRule="auto"/>
        <w:tabs>
          <w:tab w:leader="none" w:pos="1175" w:val="left"/>
        </w:tabs>
        <w:numPr>
          <w:ilvl w:val="1"/>
          <w:numId w:val="45"/>
        </w:numPr>
        <w:rPr>
          <w:rFonts w:ascii="Arial" w:cs="Arial" w:eastAsia="Arial" w:hAnsi="Arial"/>
          <w:sz w:val="22"/>
          <w:szCs w:val="22"/>
          <w:color w:val="auto"/>
        </w:rPr>
      </w:pPr>
      <w:r>
        <w:rPr>
          <w:rFonts w:ascii="Arial" w:cs="Arial" w:eastAsia="Arial" w:hAnsi="Arial"/>
          <w:sz w:val="22"/>
          <w:szCs w:val="22"/>
          <w:color w:val="auto"/>
        </w:rPr>
        <w:t>You hereby acknowledge that you have reviewed with your own tax advisors the federal, state and local tax consequences of receiving the Award. You hereby represent to the Company that you are relying solely on such advisors and not on any statements or representations of the Company, its Affiliates or any of their respective agents. If, in connection with the Award, the Company is required to withhold any amounts by reason of any federal, state or local tax, such withholding shall be effected in accordance with Section 9(b) of the Agreement.</w:t>
      </w:r>
    </w:p>
    <w:p>
      <w:pPr>
        <w:spacing w:after="0" w:line="199" w:lineRule="exact"/>
        <w:rPr>
          <w:rFonts w:ascii="Arial" w:cs="Arial" w:eastAsia="Arial" w:hAnsi="Arial"/>
          <w:sz w:val="22"/>
          <w:szCs w:val="22"/>
          <w:color w:val="auto"/>
        </w:rPr>
      </w:pPr>
    </w:p>
    <w:p>
      <w:pPr>
        <w:jc w:val="both"/>
        <w:ind w:left="-8" w:firstLine="656"/>
        <w:spacing w:after="0" w:line="264" w:lineRule="auto"/>
        <w:tabs>
          <w:tab w:leader="none" w:pos="1029"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Company or an Affiliate shall be required to withhold any amounts by reason of federal, state or local tax laws, rules or regulations in respect of the payment of the Award to you, the Company or an Affiliate shall be entitled to deduct or withhold such amounts from any cash payments made to you. In any event, you shall make available to the Company or Affiliate, promptly when requested by the Company or such Affiliate, sufficient funds to meet the requirements of such withholding and the Company or Affiliate shall be entitled to take and authorize such steps as it may deem advisable in order to have such funds made available to the Company or Affiliate out of any funds or property due to you.</w:t>
      </w:r>
    </w:p>
    <w:p>
      <w:pPr>
        <w:spacing w:after="0" w:line="177" w:lineRule="exact"/>
        <w:rPr>
          <w:rFonts w:ascii="Arial" w:cs="Arial" w:eastAsia="Arial" w:hAnsi="Arial"/>
          <w:sz w:val="19"/>
          <w:szCs w:val="19"/>
          <w:color w:val="auto"/>
        </w:rPr>
      </w:pPr>
    </w:p>
    <w:p>
      <w:pPr>
        <w:jc w:val="both"/>
        <w:ind w:left="-8" w:firstLine="8"/>
        <w:spacing w:after="0" w:line="239" w:lineRule="auto"/>
        <w:tabs>
          <w:tab w:leader="none" w:pos="547" w:val="left"/>
        </w:tabs>
        <w:numPr>
          <w:ilvl w:val="0"/>
          <w:numId w:val="45"/>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Right of Offset. </w:t>
      </w:r>
      <w:r>
        <w:rPr>
          <w:rFonts w:ascii="Arial" w:cs="Arial" w:eastAsia="Arial" w:hAnsi="Arial"/>
          <w:sz w:val="21"/>
          <w:szCs w:val="21"/>
          <w:color w:val="auto"/>
        </w:rPr>
        <w:t>You hereby agree that if the Company shall owe you any amount that does not constitute “non-qualified</w:t>
      </w:r>
      <w:r>
        <w:rPr>
          <w:rFonts w:ascii="Arial" w:cs="Arial" w:eastAsia="Arial" w:hAnsi="Arial"/>
          <w:sz w:val="21"/>
          <w:szCs w:val="21"/>
          <w:i w:val="1"/>
          <w:iCs w:val="1"/>
          <w:color w:val="auto"/>
        </w:rPr>
        <w:t xml:space="preserve"> </w:t>
      </w:r>
      <w:r>
        <w:rPr>
          <w:rFonts w:ascii="Arial" w:cs="Arial" w:eastAsia="Arial" w:hAnsi="Arial"/>
          <w:sz w:val="21"/>
          <w:szCs w:val="21"/>
          <w:color w:val="auto"/>
        </w:rPr>
        <w:t>deferred compensation” pursuant to Section 409A of the IRC (the “</w:t>
      </w:r>
      <w:r>
        <w:rPr>
          <w:rFonts w:ascii="Arial" w:cs="Arial" w:eastAsia="Arial" w:hAnsi="Arial"/>
          <w:sz w:val="21"/>
          <w:szCs w:val="21"/>
          <w:u w:val="single" w:color="auto"/>
          <w:color w:val="auto"/>
        </w:rPr>
        <w:t>Company-Owed Amount</w:t>
      </w:r>
      <w:r>
        <w:rPr>
          <w:rFonts w:ascii="Arial" w:cs="Arial" w:eastAsia="Arial" w:hAnsi="Arial"/>
          <w:sz w:val="21"/>
          <w:szCs w:val="21"/>
          <w:color w:val="auto"/>
        </w:rPr>
        <w:t>”) under this Agreement, then the Company shall have the right to offset against the Company-Owed Amount, to the maximum extent permitted by law, any amounts that you may owe to the Company or the AMC Subsidiaries of whatever nature.</w:t>
      </w:r>
    </w:p>
    <w:p>
      <w:pPr>
        <w:spacing w:after="0" w:line="199" w:lineRule="exact"/>
        <w:rPr>
          <w:rFonts w:ascii="Arial" w:cs="Arial" w:eastAsia="Arial" w:hAnsi="Arial"/>
          <w:sz w:val="21"/>
          <w:szCs w:val="21"/>
          <w:i w:val="1"/>
          <w:iCs w:val="1"/>
          <w:color w:val="auto"/>
        </w:rPr>
      </w:pPr>
    </w:p>
    <w:p>
      <w:pPr>
        <w:jc w:val="both"/>
        <w:ind w:left="-8" w:firstLine="8"/>
        <w:spacing w:after="0" w:line="231" w:lineRule="auto"/>
        <w:tabs>
          <w:tab w:leader="none" w:pos="494" w:val="left"/>
        </w:tabs>
        <w:numPr>
          <w:ilvl w:val="0"/>
          <w:numId w:val="45"/>
        </w:numPr>
        <w:rPr>
          <w:rFonts w:ascii="Arial" w:cs="Arial" w:eastAsia="Arial" w:hAnsi="Arial"/>
          <w:sz w:val="22"/>
          <w:szCs w:val="22"/>
          <w:i w:val="1"/>
          <w:iCs w:val="1"/>
          <w:color w:val="auto"/>
        </w:rPr>
      </w:pPr>
      <w:r>
        <w:rPr>
          <w:rFonts w:ascii="Arial" w:cs="Arial" w:eastAsia="Arial" w:hAnsi="Arial"/>
          <w:sz w:val="22"/>
          <w:szCs w:val="22"/>
          <w:i w:val="1"/>
          <w:iCs w:val="1"/>
          <w:color w:val="auto"/>
        </w:rPr>
        <w:t>The Committee</w:t>
      </w:r>
      <w:r>
        <w:rPr>
          <w:rFonts w:ascii="Arial" w:cs="Arial" w:eastAsia="Arial" w:hAnsi="Arial"/>
          <w:sz w:val="22"/>
          <w:szCs w:val="22"/>
          <w:color w:val="auto"/>
        </w:rPr>
        <w:t>. For purposes of this Agreement, the term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w:t>
      </w:r>
      <w:r>
        <w:rPr>
          <w:rFonts w:ascii="Arial" w:cs="Arial" w:eastAsia="Arial" w:hAnsi="Arial"/>
          <w:sz w:val="22"/>
          <w:szCs w:val="22"/>
          <w:i w:val="1"/>
          <w:iCs w:val="1"/>
          <w:color w:val="auto"/>
        </w:rPr>
        <w:t xml:space="preserve"> </w:t>
      </w:r>
      <w:r>
        <w:rPr>
          <w:rFonts w:ascii="Arial" w:cs="Arial" w:eastAsia="Arial" w:hAnsi="Arial"/>
          <w:sz w:val="22"/>
          <w:szCs w:val="22"/>
          <w:color w:val="auto"/>
        </w:rPr>
        <w:t>of Directors of the Company. The Award shall be administered by the Committee. Such members shall be appointed by, and shall serve at the</w:t>
      </w:r>
    </w:p>
    <w:p>
      <w:pPr>
        <w:sectPr>
          <w:pgSz w:w="11900" w:h="16838" w:orient="portrait"/>
          <w:cols w:equalWidth="0" w:num="1">
            <w:col w:w="11232"/>
          </w:cols>
          <w:pgMar w:left="328" w:top="1414" w:right="339" w:bottom="1440" w:gutter="0" w:footer="0" w:header="0"/>
        </w:sectPr>
      </w:pPr>
    </w:p>
    <w:bookmarkStart w:id="117" w:name="page118"/>
    <w:bookmarkEnd w:id="117"/>
    <w:p>
      <w:pPr>
        <w:jc w:val="both"/>
        <w:spacing w:after="0" w:line="233" w:lineRule="auto"/>
        <w:rPr>
          <w:sz w:val="20"/>
          <w:szCs w:val="20"/>
          <w:color w:val="auto"/>
        </w:rPr>
      </w:pPr>
      <w:r>
        <w:rPr>
          <w:rFonts w:ascii="Arial" w:cs="Arial" w:eastAsia="Arial" w:hAnsi="Arial"/>
          <w:sz w:val="21"/>
          <w:szCs w:val="21"/>
          <w:color w:val="auto"/>
        </w:rPr>
        <w:t>pleasure of, the Board of Directors. Except as otherwise determined by the Board of Directors, the members of the Committee shall be “non-employee directors” as defined in Rule 16b-3 of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provided, however, that the failure of the Committee to be so comprised shall not cause the Award to be invalid. The Committee may delegate any of its powers under the Agreement to a subcommittee of the Committee (which hereinafter shall also be referred to as the Committee). The Committee may also delegate (i) to any person who is not a member of the Committee or (ii) to any administrative group within the Company, any of its powers, responsibilities or duties. In delegating its authority, the Committee shall consider the extent to which any delegation may cause the Award to fail to meet the requirements of Rule 16(b)-3(d)(1) or Rule 16(b)-3(e) under the Exchange Act.</w:t>
      </w:r>
    </w:p>
    <w:p>
      <w:pPr>
        <w:spacing w:after="0" w:line="203" w:lineRule="exact"/>
        <w:rPr>
          <w:sz w:val="20"/>
          <w:szCs w:val="20"/>
          <w:color w:val="auto"/>
        </w:rPr>
      </w:pPr>
    </w:p>
    <w:p>
      <w:pPr>
        <w:ind w:firstLine="8"/>
        <w:spacing w:after="0" w:line="260" w:lineRule="auto"/>
        <w:tabs>
          <w:tab w:leader="none" w:pos="551"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Committee Discretion</w:t>
      </w:r>
      <w:r>
        <w:rPr>
          <w:rFonts w:ascii="Arial" w:cs="Arial" w:eastAsia="Arial" w:hAnsi="Arial"/>
          <w:sz w:val="21"/>
          <w:szCs w:val="21"/>
          <w:color w:val="auto"/>
        </w:rPr>
        <w:t>. The Committee has full discretion with respect to any actions to be taken or determinations to be</w:t>
      </w:r>
      <w:r>
        <w:rPr>
          <w:rFonts w:ascii="Arial" w:cs="Arial" w:eastAsia="Arial" w:hAnsi="Arial"/>
          <w:sz w:val="21"/>
          <w:szCs w:val="21"/>
          <w:i w:val="1"/>
          <w:iCs w:val="1"/>
          <w:color w:val="auto"/>
        </w:rPr>
        <w:t xml:space="preserve"> </w:t>
      </w:r>
      <w:r>
        <w:rPr>
          <w:rFonts w:ascii="Arial" w:cs="Arial" w:eastAsia="Arial" w:hAnsi="Arial"/>
          <w:sz w:val="21"/>
          <w:szCs w:val="21"/>
          <w:color w:val="auto"/>
        </w:rPr>
        <w:t>made in connection with this Agreement, and its determinations shall be final, binding and conclusive.</w:t>
      </w:r>
    </w:p>
    <w:p>
      <w:pPr>
        <w:spacing w:after="0" w:line="178" w:lineRule="exact"/>
        <w:rPr>
          <w:rFonts w:ascii="Arial" w:cs="Arial" w:eastAsia="Arial" w:hAnsi="Arial"/>
          <w:sz w:val="21"/>
          <w:szCs w:val="21"/>
          <w:i w:val="1"/>
          <w:iCs w:val="1"/>
          <w:color w:val="auto"/>
        </w:rPr>
      </w:pPr>
    </w:p>
    <w:p>
      <w:pPr>
        <w:jc w:val="both"/>
        <w:ind w:firstLine="8"/>
        <w:spacing w:after="0" w:line="239" w:lineRule="auto"/>
        <w:tabs>
          <w:tab w:leader="none" w:pos="631"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Amendment</w:t>
      </w:r>
      <w:r>
        <w:rPr>
          <w:rFonts w:ascii="Arial" w:cs="Arial" w:eastAsia="Arial" w:hAnsi="Arial"/>
          <w:sz w:val="21"/>
          <w:szCs w:val="21"/>
          <w:color w:val="auto"/>
        </w:rPr>
        <w:t>. The Committee reserves the right at any time and from time to time to amend or revise the terms and</w:t>
      </w:r>
      <w:r>
        <w:rPr>
          <w:rFonts w:ascii="Arial" w:cs="Arial" w:eastAsia="Arial" w:hAnsi="Arial"/>
          <w:sz w:val="21"/>
          <w:szCs w:val="21"/>
          <w:i w:val="1"/>
          <w:iCs w:val="1"/>
          <w:color w:val="auto"/>
        </w:rPr>
        <w:t xml:space="preserve"> </w:t>
      </w:r>
      <w:r>
        <w:rPr>
          <w:rFonts w:ascii="Arial" w:cs="Arial" w:eastAsia="Arial" w:hAnsi="Arial"/>
          <w:sz w:val="21"/>
          <w:szCs w:val="21"/>
          <w:color w:val="auto"/>
        </w:rPr>
        <w:t>conditions set forth in this Agreement, except that the Committee may not make any such amendment or revision in a manner unfavorable to you (other than if immaterial) without your consent. Any amendment of this Agreement shall be in writing and signed by an authorized member of the Committee or a person or persons designated by the Committee.</w:t>
      </w:r>
    </w:p>
    <w:p>
      <w:pPr>
        <w:spacing w:after="0" w:line="199" w:lineRule="exact"/>
        <w:rPr>
          <w:rFonts w:ascii="Arial" w:cs="Arial" w:eastAsia="Arial" w:hAnsi="Arial"/>
          <w:sz w:val="21"/>
          <w:szCs w:val="21"/>
          <w:i w:val="1"/>
          <w:iCs w:val="1"/>
          <w:color w:val="auto"/>
        </w:rPr>
      </w:pPr>
    </w:p>
    <w:p>
      <w:pPr>
        <w:jc w:val="both"/>
        <w:ind w:firstLine="8"/>
        <w:spacing w:after="0" w:line="223" w:lineRule="auto"/>
        <w:tabs>
          <w:tab w:leader="none" w:pos="497" w:val="left"/>
        </w:tabs>
        <w:numPr>
          <w:ilvl w:val="0"/>
          <w:numId w:val="46"/>
        </w:numPr>
        <w:rPr>
          <w:rFonts w:ascii="Arial" w:cs="Arial" w:eastAsia="Arial" w:hAnsi="Arial"/>
          <w:sz w:val="22"/>
          <w:szCs w:val="22"/>
          <w:i w:val="1"/>
          <w:iCs w:val="1"/>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Except for any employment agreement between you and the Company or any of its Affiliates in effect as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date of the grant hereof (as such employment agreement may be modified, renewed or replaced), this Agreement constitutes the entire understanding and agreement of you and the Company with respect to the Award covered hereby and supersede all prior understandings and agreements. In the event of a conflict among the documents with respect to the terms and conditions of the Award covered hereby, the documents will be accorded the following order of authority: the terms and conditions of your employment agreement, if any, will have highest authority, followed by the terms and conditions of this Agreement.</w:t>
      </w:r>
    </w:p>
    <w:p>
      <w:pPr>
        <w:spacing w:after="0" w:line="200" w:lineRule="exact"/>
        <w:rPr>
          <w:rFonts w:ascii="Arial" w:cs="Arial" w:eastAsia="Arial" w:hAnsi="Arial"/>
          <w:sz w:val="22"/>
          <w:szCs w:val="22"/>
          <w:i w:val="1"/>
          <w:iCs w:val="1"/>
          <w:color w:val="auto"/>
        </w:rPr>
      </w:pPr>
    </w:p>
    <w:p>
      <w:pPr>
        <w:spacing w:after="0" w:line="247" w:lineRule="exact"/>
        <w:rPr>
          <w:rFonts w:ascii="Arial" w:cs="Arial" w:eastAsia="Arial" w:hAnsi="Arial"/>
          <w:sz w:val="22"/>
          <w:szCs w:val="22"/>
          <w:i w:val="1"/>
          <w:iCs w:val="1"/>
          <w:color w:val="auto"/>
        </w:rPr>
      </w:pPr>
    </w:p>
    <w:p>
      <w:pPr>
        <w:ind w:firstLine="8"/>
        <w:spacing w:after="0" w:line="239" w:lineRule="auto"/>
        <w:tabs>
          <w:tab w:leader="none" w:pos="486" w:val="left"/>
        </w:tabs>
        <w:numPr>
          <w:ilvl w:val="0"/>
          <w:numId w:val="46"/>
        </w:numPr>
        <w:rPr>
          <w:rFonts w:ascii="Arial" w:cs="Arial" w:eastAsia="Arial" w:hAnsi="Arial"/>
          <w:sz w:val="22"/>
          <w:szCs w:val="22"/>
          <w:i w:val="1"/>
          <w:iCs w:val="1"/>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The terms and conditions of this Agreement shall be binding upon, and shall inure to the benefit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and its successors and assigns.</w:t>
      </w:r>
    </w:p>
    <w:p>
      <w:pPr>
        <w:spacing w:after="0" w:line="198" w:lineRule="exact"/>
        <w:rPr>
          <w:rFonts w:ascii="Arial" w:cs="Arial" w:eastAsia="Arial" w:hAnsi="Arial"/>
          <w:sz w:val="22"/>
          <w:szCs w:val="22"/>
          <w:i w:val="1"/>
          <w:iCs w:val="1"/>
          <w:color w:val="auto"/>
        </w:rPr>
      </w:pPr>
    </w:p>
    <w:p>
      <w:pPr>
        <w:ind w:firstLine="8"/>
        <w:spacing w:after="0" w:line="260" w:lineRule="auto"/>
        <w:tabs>
          <w:tab w:leader="none" w:pos="605" w:val="left"/>
        </w:tabs>
        <w:numPr>
          <w:ilvl w:val="0"/>
          <w:numId w:val="46"/>
        </w:numPr>
        <w:rPr>
          <w:rFonts w:ascii="Arial" w:cs="Arial" w:eastAsia="Arial" w:hAnsi="Arial"/>
          <w:sz w:val="21"/>
          <w:szCs w:val="21"/>
          <w:i w:val="1"/>
          <w:iCs w:val="1"/>
          <w:color w:val="auto"/>
        </w:rPr>
      </w:pPr>
      <w:r>
        <w:rPr>
          <w:rFonts w:ascii="Arial" w:cs="Arial" w:eastAsia="Arial" w:hAnsi="Arial"/>
          <w:sz w:val="21"/>
          <w:szCs w:val="21"/>
          <w:i w:val="1"/>
          <w:iCs w:val="1"/>
          <w:color w:val="auto"/>
        </w:rPr>
        <w:t>Governing Law</w:t>
      </w:r>
      <w:r>
        <w:rPr>
          <w:rFonts w:ascii="Arial" w:cs="Arial" w:eastAsia="Arial" w:hAnsi="Arial"/>
          <w:sz w:val="21"/>
          <w:szCs w:val="21"/>
          <w:color w:val="auto"/>
        </w:rPr>
        <w:t>. This Agreement shall be deemed to be made under, and in all respects be interpreted, construed and</w:t>
      </w:r>
      <w:r>
        <w:rPr>
          <w:rFonts w:ascii="Arial" w:cs="Arial" w:eastAsia="Arial" w:hAnsi="Arial"/>
          <w:sz w:val="21"/>
          <w:szCs w:val="21"/>
          <w:i w:val="1"/>
          <w:iCs w:val="1"/>
          <w:color w:val="auto"/>
        </w:rPr>
        <w:t xml:space="preserve"> </w:t>
      </w:r>
      <w:r>
        <w:rPr>
          <w:rFonts w:ascii="Arial" w:cs="Arial" w:eastAsia="Arial" w:hAnsi="Arial"/>
          <w:sz w:val="21"/>
          <w:szCs w:val="21"/>
          <w:color w:val="auto"/>
        </w:rPr>
        <w:t>governed by and in accordance with, the laws of the State of New York without regard to conflict of law principles.</w:t>
      </w:r>
    </w:p>
    <w:p>
      <w:pPr>
        <w:spacing w:after="0" w:line="178" w:lineRule="exact"/>
        <w:rPr>
          <w:rFonts w:ascii="Arial" w:cs="Arial" w:eastAsia="Arial" w:hAnsi="Arial"/>
          <w:sz w:val="21"/>
          <w:szCs w:val="21"/>
          <w:i w:val="1"/>
          <w:iCs w:val="1"/>
          <w:color w:val="auto"/>
        </w:rPr>
      </w:pPr>
    </w:p>
    <w:p>
      <w:pPr>
        <w:jc w:val="both"/>
        <w:ind w:firstLine="8"/>
        <w:spacing w:after="0" w:line="267" w:lineRule="auto"/>
        <w:tabs>
          <w:tab w:leader="none" w:pos="531" w:val="left"/>
        </w:tabs>
        <w:numPr>
          <w:ilvl w:val="0"/>
          <w:numId w:val="46"/>
        </w:numPr>
        <w:rPr>
          <w:rFonts w:ascii="Arial" w:cs="Arial" w:eastAsia="Arial" w:hAnsi="Arial"/>
          <w:sz w:val="19"/>
          <w:szCs w:val="19"/>
          <w:i w:val="1"/>
          <w:iCs w:val="1"/>
          <w:color w:val="auto"/>
        </w:rPr>
      </w:pPr>
      <w:r>
        <w:rPr>
          <w:rFonts w:ascii="Arial" w:cs="Arial" w:eastAsia="Arial" w:hAnsi="Arial"/>
          <w:sz w:val="19"/>
          <w:szCs w:val="19"/>
          <w:i w:val="1"/>
          <w:iCs w:val="1"/>
          <w:color w:val="auto"/>
        </w:rPr>
        <w:t>Jurisdiction and Venue</w:t>
      </w:r>
      <w:r>
        <w:rPr>
          <w:rFonts w:ascii="Arial" w:cs="Arial" w:eastAsia="Arial" w:hAnsi="Arial"/>
          <w:sz w:val="19"/>
          <w:szCs w:val="19"/>
          <w:color w:val="auto"/>
        </w:rPr>
        <w:t>. You irrevocably submit to the jurisdiction of the courts of the State of New York and the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courts of the United States located in the Southern District and Eastern District of the State of New York in respect of the interpretation and enforcement of the provisions of this Agreement, and hereby waive, and agree not to assert, as a defense that you are not subject thereto or that the venue thereof may not be appropriate. You agree that the mailing of process or other papers in connection with any action or proceeding in any manner permitted by law shall be valid and sufficient service.</w:t>
      </w:r>
    </w:p>
    <w:p>
      <w:pPr>
        <w:sectPr>
          <w:pgSz w:w="11900" w:h="16838" w:orient="portrait"/>
          <w:cols w:equalWidth="0" w:num="1">
            <w:col w:w="11240"/>
          </w:cols>
          <w:pgMar w:left="320" w:top="1414" w:right="339" w:bottom="1440" w:gutter="0" w:footer="0" w:header="0"/>
        </w:sectPr>
      </w:pPr>
    </w:p>
    <w:bookmarkStart w:id="118" w:name="page119"/>
    <w:bookmarkEnd w:id="118"/>
    <w:p>
      <w:pPr>
        <w:jc w:val="both"/>
        <w:ind w:left="-8" w:firstLine="8"/>
        <w:spacing w:after="0" w:line="231" w:lineRule="auto"/>
        <w:tabs>
          <w:tab w:leader="none" w:pos="491" w:val="left"/>
        </w:tabs>
        <w:numPr>
          <w:ilvl w:val="0"/>
          <w:numId w:val="47"/>
        </w:numPr>
        <w:rPr>
          <w:rFonts w:ascii="Arial" w:cs="Arial" w:eastAsia="Arial" w:hAnsi="Arial"/>
          <w:sz w:val="22"/>
          <w:szCs w:val="22"/>
          <w:i w:val="1"/>
          <w:iCs w:val="1"/>
          <w:color w:val="auto"/>
        </w:rPr>
      </w:pPr>
      <w:r>
        <w:rPr>
          <w:rFonts w:ascii="Arial" w:cs="Arial" w:eastAsia="Arial" w:hAnsi="Arial"/>
          <w:sz w:val="22"/>
          <w:szCs w:val="22"/>
          <w:i w:val="1"/>
          <w:iCs w:val="1"/>
          <w:color w:val="auto"/>
        </w:rPr>
        <w:t>Waiver</w:t>
      </w:r>
      <w:r>
        <w:rPr>
          <w:rFonts w:ascii="Arial" w:cs="Arial" w:eastAsia="Arial" w:hAnsi="Arial"/>
          <w:sz w:val="22"/>
          <w:szCs w:val="22"/>
          <w:color w:val="auto"/>
        </w:rPr>
        <w:t>. No waiver by the Company at any time of any breach by you of, or compliance with, any term or condition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to be performed by you shall be deemed a waiver of the same, any similar or any dissimilar term or condition at the same or at any prior or subsequent time.</w:t>
      </w:r>
    </w:p>
    <w:p>
      <w:pPr>
        <w:spacing w:after="0" w:line="201" w:lineRule="exact"/>
        <w:rPr>
          <w:rFonts w:ascii="Arial" w:cs="Arial" w:eastAsia="Arial" w:hAnsi="Arial"/>
          <w:sz w:val="22"/>
          <w:szCs w:val="22"/>
          <w:i w:val="1"/>
          <w:iCs w:val="1"/>
          <w:color w:val="auto"/>
        </w:rPr>
      </w:pPr>
    </w:p>
    <w:p>
      <w:pPr>
        <w:ind w:left="-8" w:firstLine="8"/>
        <w:spacing w:after="0" w:line="313" w:lineRule="auto"/>
        <w:tabs>
          <w:tab w:leader="none" w:pos="478" w:val="left"/>
        </w:tabs>
        <w:numPr>
          <w:ilvl w:val="0"/>
          <w:numId w:val="47"/>
        </w:numPr>
        <w:rPr>
          <w:rFonts w:ascii="Arial" w:cs="Arial" w:eastAsia="Arial" w:hAnsi="Arial"/>
          <w:sz w:val="19"/>
          <w:szCs w:val="19"/>
          <w:i w:val="1"/>
          <w:iCs w:val="1"/>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The provisions of this Agreement shall be deemed severable and the invalidity or unenforceability of any term</w:t>
      </w:r>
      <w:r>
        <w:rPr>
          <w:rFonts w:ascii="Arial" w:cs="Arial" w:eastAsia="Arial" w:hAnsi="Arial"/>
          <w:sz w:val="19"/>
          <w:szCs w:val="19"/>
          <w:i w:val="1"/>
          <w:iCs w:val="1"/>
          <w:color w:val="auto"/>
        </w:rPr>
        <w:t xml:space="preserve"> </w:t>
      </w:r>
      <w:r>
        <w:rPr>
          <w:rFonts w:ascii="Arial" w:cs="Arial" w:eastAsia="Arial" w:hAnsi="Arial"/>
          <w:sz w:val="19"/>
          <w:szCs w:val="19"/>
          <w:color w:val="auto"/>
        </w:rPr>
        <w:t>or condition hereof shall not affect the validity or enforceability of the other terms and conditions set forth herein.</w:t>
      </w:r>
    </w:p>
    <w:p>
      <w:pPr>
        <w:spacing w:after="0" w:line="132" w:lineRule="exact"/>
        <w:rPr>
          <w:rFonts w:ascii="Arial" w:cs="Arial" w:eastAsia="Arial" w:hAnsi="Arial"/>
          <w:sz w:val="19"/>
          <w:szCs w:val="19"/>
          <w:i w:val="1"/>
          <w:iCs w:val="1"/>
          <w:color w:val="auto"/>
        </w:rPr>
      </w:pPr>
    </w:p>
    <w:p>
      <w:pPr>
        <w:jc w:val="both"/>
        <w:ind w:left="-8" w:firstLine="8"/>
        <w:spacing w:after="0" w:line="224" w:lineRule="auto"/>
        <w:tabs>
          <w:tab w:leader="none" w:pos="486" w:val="left"/>
        </w:tabs>
        <w:numPr>
          <w:ilvl w:val="0"/>
          <w:numId w:val="47"/>
        </w:numPr>
        <w:rPr>
          <w:rFonts w:ascii="Arial" w:cs="Arial" w:eastAsia="Arial" w:hAnsi="Arial"/>
          <w:sz w:val="22"/>
          <w:szCs w:val="22"/>
          <w:i w:val="1"/>
          <w:iCs w:val="1"/>
          <w:color w:val="auto"/>
        </w:rPr>
      </w:pPr>
      <w:r>
        <w:rPr>
          <w:rFonts w:ascii="Arial" w:cs="Arial" w:eastAsia="Arial" w:hAnsi="Arial"/>
          <w:sz w:val="22"/>
          <w:szCs w:val="22"/>
          <w:i w:val="1"/>
          <w:iCs w:val="1"/>
          <w:color w:val="auto"/>
        </w:rPr>
        <w:t>Exclusion from Compensation Calculation</w:t>
      </w:r>
      <w:r>
        <w:rPr>
          <w:rFonts w:ascii="Arial" w:cs="Arial" w:eastAsia="Arial" w:hAnsi="Arial"/>
          <w:sz w:val="22"/>
          <w:szCs w:val="22"/>
          <w:color w:val="auto"/>
        </w:rPr>
        <w:t>. By acceptance of this Agreement, you shall be considered in agreement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Award shall be considered special incentive compensation and will be exempt from inclusion as “wages” or “salary” in pension, retirement, life insurance and other employee benefits arrangements of the Company and its Affiliates, except as determined otherwise by the Company. In addition, each of your beneficiaries shall be deemed to be in agreement that the Award shall be exempt from inclusion in “wages” or “salary” for purposes of calculating benefits of any life insurance coverage sponsored by the Company or any of its Affiliates.</w:t>
      </w:r>
    </w:p>
    <w:p>
      <w:pPr>
        <w:spacing w:after="0" w:line="203" w:lineRule="exact"/>
        <w:rPr>
          <w:rFonts w:ascii="Arial" w:cs="Arial" w:eastAsia="Arial" w:hAnsi="Arial"/>
          <w:sz w:val="22"/>
          <w:szCs w:val="22"/>
          <w:i w:val="1"/>
          <w:iCs w:val="1"/>
          <w:color w:val="auto"/>
        </w:rPr>
      </w:pPr>
    </w:p>
    <w:p>
      <w:pPr>
        <w:jc w:val="both"/>
        <w:ind w:left="-8" w:firstLine="8"/>
        <w:spacing w:after="0" w:line="231" w:lineRule="auto"/>
        <w:tabs>
          <w:tab w:leader="none" w:pos="512" w:val="left"/>
        </w:tabs>
        <w:numPr>
          <w:ilvl w:val="0"/>
          <w:numId w:val="47"/>
        </w:numPr>
        <w:rPr>
          <w:rFonts w:ascii="Arial" w:cs="Arial" w:eastAsia="Arial" w:hAnsi="Arial"/>
          <w:sz w:val="22"/>
          <w:szCs w:val="22"/>
          <w:i w:val="1"/>
          <w:iCs w:val="1"/>
          <w:color w:val="auto"/>
        </w:rPr>
      </w:pPr>
      <w:r>
        <w:rPr>
          <w:rFonts w:ascii="Arial" w:cs="Arial" w:eastAsia="Arial" w:hAnsi="Arial"/>
          <w:sz w:val="22"/>
          <w:szCs w:val="22"/>
          <w:i w:val="1"/>
          <w:iCs w:val="1"/>
          <w:color w:val="auto"/>
        </w:rPr>
        <w:t>No Right to Continued Employment</w:t>
      </w:r>
      <w:r>
        <w:rPr>
          <w:rFonts w:ascii="Arial" w:cs="Arial" w:eastAsia="Arial" w:hAnsi="Arial"/>
          <w:sz w:val="22"/>
          <w:szCs w:val="22"/>
          <w:color w:val="auto"/>
        </w:rPr>
        <w:t>. Nothing contained in this Agreement shall be construed to confer on you any right to</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 in the employ of the Company or any Affiliate, or derogate from the right of the Company or any Affiliate, as applicable, to retire, request the resignation of, or discharge you, at any time, with or without cause.</w:t>
      </w:r>
    </w:p>
    <w:p>
      <w:pPr>
        <w:spacing w:after="0" w:line="201" w:lineRule="exact"/>
        <w:rPr>
          <w:rFonts w:ascii="Arial" w:cs="Arial" w:eastAsia="Arial" w:hAnsi="Arial"/>
          <w:sz w:val="22"/>
          <w:szCs w:val="22"/>
          <w:i w:val="1"/>
          <w:iCs w:val="1"/>
          <w:color w:val="auto"/>
        </w:rPr>
      </w:pPr>
    </w:p>
    <w:p>
      <w:pPr>
        <w:jc w:val="both"/>
        <w:ind w:left="-8" w:firstLine="8"/>
        <w:spacing w:after="0" w:line="231" w:lineRule="auto"/>
        <w:tabs>
          <w:tab w:leader="none" w:pos="316"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AMC Subsidiaries. </w:t>
      </w:r>
      <w:r>
        <w:rPr>
          <w:rFonts w:ascii="Arial" w:cs="Arial" w:eastAsia="Arial" w:hAnsi="Arial"/>
          <w:sz w:val="22"/>
          <w:szCs w:val="22"/>
          <w:color w:val="auto"/>
        </w:rPr>
        <w:t>For purposes of this Agreement, “AMC Subsidiary” shall mean the direct and indirect subsidiaries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(or, in the case of a Going Private Transaction or Change in Control, the direct or indirect subsidiaries of the Surviving Entity).</w:t>
      </w:r>
    </w:p>
    <w:p>
      <w:pPr>
        <w:spacing w:after="0" w:line="201" w:lineRule="exact"/>
        <w:rPr>
          <w:rFonts w:ascii="Arial" w:cs="Arial" w:eastAsia="Arial" w:hAnsi="Arial"/>
          <w:sz w:val="22"/>
          <w:szCs w:val="22"/>
          <w:color w:val="auto"/>
        </w:rPr>
      </w:pPr>
    </w:p>
    <w:p>
      <w:pPr>
        <w:jc w:val="both"/>
        <w:ind w:left="-8" w:firstLine="8"/>
        <w:spacing w:after="0" w:line="282" w:lineRule="auto"/>
        <w:tabs>
          <w:tab w:leader="none" w:pos="329"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 xml:space="preserve">Clawback. </w:t>
      </w:r>
      <w:r>
        <w:rPr>
          <w:rFonts w:ascii="Arial" w:cs="Arial" w:eastAsia="Arial" w:hAnsi="Arial"/>
          <w:sz w:val="19"/>
          <w:szCs w:val="19"/>
          <w:color w:val="auto"/>
        </w:rPr>
        <w:t>To the extent the Award is subject to recovery under any law, government regulation or stock exchange listing</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 the Award will be subject to such deductions and clawback as may be required to be made pursuant to such law, government regulation or stock exchange listing requirement, or any clawback policy adopted by the Company.</w:t>
      </w:r>
    </w:p>
    <w:p>
      <w:pPr>
        <w:spacing w:after="0" w:line="161" w:lineRule="exact"/>
        <w:rPr>
          <w:rFonts w:ascii="Arial" w:cs="Arial" w:eastAsia="Arial" w:hAnsi="Arial"/>
          <w:sz w:val="19"/>
          <w:szCs w:val="19"/>
          <w:color w:val="auto"/>
        </w:rPr>
      </w:pPr>
    </w:p>
    <w:p>
      <w:pPr>
        <w:jc w:val="both"/>
        <w:ind w:left="-8" w:firstLine="8"/>
        <w:spacing w:after="0" w:line="231" w:lineRule="auto"/>
        <w:tabs>
          <w:tab w:leader="none" w:pos="629" w:val="left"/>
        </w:tabs>
        <w:numPr>
          <w:ilvl w:val="0"/>
          <w:numId w:val="47"/>
        </w:numPr>
        <w:rPr>
          <w:rFonts w:ascii="Arial" w:cs="Arial" w:eastAsia="Arial" w:hAnsi="Arial"/>
          <w:sz w:val="21"/>
          <w:szCs w:val="21"/>
          <w:i w:val="1"/>
          <w:iCs w:val="1"/>
          <w:color w:val="auto"/>
        </w:rPr>
      </w:pPr>
      <w:r>
        <w:rPr>
          <w:rFonts w:ascii="Arial" w:cs="Arial" w:eastAsia="Arial" w:hAnsi="Arial"/>
          <w:sz w:val="21"/>
          <w:szCs w:val="21"/>
          <w:i w:val="1"/>
          <w:iCs w:val="1"/>
          <w:color w:val="auto"/>
        </w:rPr>
        <w:t>Section 409A</w:t>
      </w:r>
      <w:r>
        <w:rPr>
          <w:rFonts w:ascii="Arial" w:cs="Arial" w:eastAsia="Arial" w:hAnsi="Arial"/>
          <w:sz w:val="21"/>
          <w:szCs w:val="21"/>
          <w:color w:val="auto"/>
        </w:rPr>
        <w:t>. It is the Company’s intent that payments under this Agreement be exempt from, or comply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requirements of Section 409A of the IRC, and that this Agreement be administered and interpreted accordingly. If and to the extent that any payment or benefit under this Agreement, or any plan or arrangement of the Company or its affiliates, is determined by the Company to constitute “non-qualified deferred compensation” subject to Section 409A of the IRC and is payable to you by reason of your termination of employment, then (a) such payment or benefit shall be made or provided to you only upon a “separation from service” as defined for purposes of Section 409A of the IRC under applicable regulations and (b) if you are a “specified employee” (within the meaning of Section 409A of the IRC and as determined by the Company), such payment or benefit shall not be made or provided before the date that is six months after the date of your separation from service (or your earlier death). Any amount not paid in respect of the six month period specified in the preceding sentence will be paid to you, together with interest on such delayed amount at the rate equal to the average of the one-year LIBOR fixed rate equivalent for the ten business days prior to the date of your separation from service (or your earlier death), in a lump sum after the expiration of such six month period. The Committee will determine the Company’s performance against the Objectives under Section 1 hereof during the</w:t>
      </w:r>
    </w:p>
    <w:p>
      <w:pPr>
        <w:sectPr>
          <w:pgSz w:w="11900" w:h="16838" w:orient="portrait"/>
          <w:cols w:equalWidth="0" w:num="1">
            <w:col w:w="11232"/>
          </w:cols>
          <w:pgMar w:left="328" w:top="1414" w:right="339" w:bottom="1440" w:gutter="0" w:footer="0" w:header="0"/>
        </w:sectPr>
      </w:pPr>
    </w:p>
    <w:bookmarkStart w:id="119" w:name="page120"/>
    <w:bookmarkEnd w:id="119"/>
    <w:p>
      <w:pPr>
        <w:jc w:val="both"/>
        <w:spacing w:after="0" w:line="231" w:lineRule="auto"/>
        <w:rPr>
          <w:sz w:val="20"/>
          <w:szCs w:val="20"/>
          <w:color w:val="auto"/>
        </w:rPr>
      </w:pPr>
      <w:r>
        <w:rPr>
          <w:rFonts w:ascii="Arial" w:cs="Arial" w:eastAsia="Arial" w:hAnsi="Arial"/>
          <w:sz w:val="22"/>
          <w:szCs w:val="22"/>
          <w:color w:val="auto"/>
        </w:rPr>
        <w:t>calendar year immediately following the Performance Period. This Section 24 will also apply to all previous awards granted to you pursuant to the Company’s 2016 Executive Cash Incentive Plan. Each payment under this Agreement will be treated as a separate payment under Section 409A of the IRC.</w:t>
      </w:r>
    </w:p>
    <w:p>
      <w:pPr>
        <w:spacing w:after="0" w:line="20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Restrictive Covenants. </w:t>
      </w:r>
      <w:r>
        <w:rPr>
          <w:rFonts w:ascii="Arial" w:cs="Arial" w:eastAsia="Arial" w:hAnsi="Arial"/>
          <w:sz w:val="22"/>
          <w:szCs w:val="22"/>
          <w:color w:val="auto"/>
        </w:rPr>
        <w:t>You agree to be bound by the restrictive covenants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Annex 2</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8"/>
        <w:spacing w:after="0" w:line="239" w:lineRule="auto"/>
        <w:tabs>
          <w:tab w:leader="none" w:pos="337"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Headings</w:t>
      </w:r>
      <w:r>
        <w:rPr>
          <w:rFonts w:ascii="Arial" w:cs="Arial" w:eastAsia="Arial" w:hAnsi="Arial"/>
          <w:sz w:val="22"/>
          <w:szCs w:val="22"/>
          <w:color w:val="auto"/>
        </w:rPr>
        <w:t>. The headings in this Agreement are for purposes of convenience only and are not intended to define or limit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of the terms and conditions of this Agreement.</w:t>
      </w:r>
    </w:p>
    <w:p>
      <w:pPr>
        <w:spacing w:after="0" w:line="198" w:lineRule="exact"/>
        <w:rPr>
          <w:rFonts w:ascii="Arial" w:cs="Arial" w:eastAsia="Arial" w:hAnsi="Arial"/>
          <w:sz w:val="22"/>
          <w:szCs w:val="22"/>
          <w:color w:val="auto"/>
        </w:rPr>
      </w:pPr>
    </w:p>
    <w:p>
      <w:pPr>
        <w:ind w:left="340" w:hanging="332"/>
        <w:spacing w:after="0"/>
        <w:tabs>
          <w:tab w:leader="none" w:pos="34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Effective Date</w:t>
      </w:r>
      <w:r>
        <w:rPr>
          <w:rFonts w:ascii="Arial" w:cs="Arial" w:eastAsia="Arial" w:hAnsi="Arial"/>
          <w:sz w:val="22"/>
          <w:szCs w:val="22"/>
          <w:color w:val="auto"/>
        </w:rPr>
        <w:t>. Upon execution by you, this Agreement shall be effective from and as of the Effective Date.</w:t>
      </w:r>
    </w:p>
    <w:p>
      <w:pPr>
        <w:spacing w:after="0" w:line="219" w:lineRule="exact"/>
        <w:rPr>
          <w:rFonts w:ascii="Arial" w:cs="Arial" w:eastAsia="Arial" w:hAnsi="Arial"/>
          <w:sz w:val="22"/>
          <w:szCs w:val="22"/>
          <w:color w:val="auto"/>
        </w:rPr>
      </w:pPr>
    </w:p>
    <w:p>
      <w:pPr>
        <w:ind w:right="20" w:firstLine="8"/>
        <w:spacing w:after="0" w:line="239" w:lineRule="auto"/>
        <w:tabs>
          <w:tab w:leader="none" w:pos="324"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Signatures</w:t>
      </w:r>
      <w:r>
        <w:rPr>
          <w:rFonts w:ascii="Arial" w:cs="Arial" w:eastAsia="Arial" w:hAnsi="Arial"/>
          <w:sz w:val="22"/>
          <w:szCs w:val="22"/>
          <w:color w:val="auto"/>
        </w:rPr>
        <w:t>. Execution of this Agreement by the Company may be in the form of an electronic or similar signature,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signature shall be treated as an original signature for all purposes.</w:t>
      </w:r>
    </w:p>
    <w:p>
      <w:pPr>
        <w:sectPr>
          <w:pgSz w:w="11900" w:h="16838" w:orient="portrait"/>
          <w:cols w:equalWidth="0" w:num="1">
            <w:col w:w="11240"/>
          </w:cols>
          <w:pgMar w:left="320" w:top="1414" w:right="339" w:bottom="1440" w:gutter="0" w:footer="0" w:header="0"/>
        </w:sectPr>
      </w:pPr>
    </w:p>
    <w:bookmarkStart w:id="120" w:name="page121"/>
    <w:bookmarkEnd w:id="120"/>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AMC NETWORKS INC.</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15875</wp:posOffset>
            </wp:positionV>
            <wp:extent cx="33775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4"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Joshua Sapan</w:t>
      </w:r>
    </w:p>
    <w:p>
      <w:pPr>
        <w:spacing w:after="0" w:line="31"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President and CEO</w:t>
      </w:r>
    </w:p>
    <w:p>
      <w:pPr>
        <w:spacing w:after="0" w:line="341"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By your electronic signature, you (i) acknowledge that a complete copy of this Agreement has been made available to you and (ii) agree to all of the terms and conditions set forth in this Agreement.</w:t>
      </w:r>
    </w:p>
    <w:p>
      <w:pPr>
        <w:sectPr>
          <w:pgSz w:w="11900" w:h="16838" w:orient="portrait"/>
          <w:cols w:equalWidth="0" w:num="1">
            <w:col w:w="11240"/>
          </w:cols>
          <w:pgMar w:left="320" w:top="1440" w:right="339" w:bottom="1440" w:gutter="0" w:footer="0" w:header="0"/>
        </w:sectPr>
      </w:pPr>
    </w:p>
    <w:bookmarkStart w:id="121" w:name="page122"/>
    <w:bookmarkEnd w:id="121"/>
    <w:p>
      <w:pPr>
        <w:ind w:left="4440"/>
        <w:spacing w:after="0"/>
        <w:rPr>
          <w:sz w:val="20"/>
          <w:szCs w:val="20"/>
          <w:color w:val="auto"/>
        </w:rPr>
      </w:pPr>
      <w:r>
        <w:rPr>
          <w:rFonts w:ascii="Arial" w:cs="Arial" w:eastAsia="Arial" w:hAnsi="Arial"/>
          <w:sz w:val="22"/>
          <w:szCs w:val="22"/>
          <w:b w:val="1"/>
          <w:bCs w:val="1"/>
          <w:color w:val="auto"/>
        </w:rPr>
        <w:t>Annex 1</w:t>
      </w:r>
    </w:p>
    <w:p>
      <w:pPr>
        <w:ind w:left="4420"/>
        <w:spacing w:after="0" w:line="218" w:lineRule="auto"/>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19"/>
          <w:szCs w:val="19"/>
          <w:b w:val="1"/>
          <w:bCs w:val="1"/>
          <w:color w:val="auto"/>
        </w:rPr>
        <w:t>Performance Cash Award Agreement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[Objectives Intentionally Omitted.]</w:t>
      </w:r>
    </w:p>
    <w:p>
      <w:pPr>
        <w:sectPr>
          <w:pgSz w:w="11900" w:h="16838" w:orient="portrait"/>
          <w:cols w:equalWidth="0" w:num="1">
            <w:col w:w="9019"/>
          </w:cols>
          <w:pgMar w:left="1440" w:top="1408" w:right="1440" w:bottom="1440" w:gutter="0" w:footer="0" w:header="0"/>
        </w:sectPr>
      </w:pPr>
    </w:p>
    <w:bookmarkStart w:id="122" w:name="page123"/>
    <w:bookmarkEnd w:id="122"/>
    <w:p>
      <w:pPr>
        <w:ind w:left="5560"/>
        <w:spacing w:after="0"/>
        <w:rPr>
          <w:sz w:val="20"/>
          <w:szCs w:val="20"/>
          <w:color w:val="auto"/>
        </w:rPr>
      </w:pPr>
      <w:r>
        <w:rPr>
          <w:rFonts w:ascii="Arial" w:cs="Arial" w:eastAsia="Arial" w:hAnsi="Arial"/>
          <w:sz w:val="22"/>
          <w:szCs w:val="22"/>
          <w:b w:val="1"/>
          <w:bCs w:val="1"/>
          <w:color w:val="auto"/>
        </w:rPr>
        <w:t>Annex 2</w:t>
      </w:r>
    </w:p>
    <w:p>
      <w:pPr>
        <w:ind w:left="5540"/>
        <w:spacing w:after="0" w:line="218" w:lineRule="auto"/>
        <w:rPr>
          <w:sz w:val="20"/>
          <w:szCs w:val="20"/>
          <w:color w:val="auto"/>
        </w:rPr>
      </w:pPr>
      <w:r>
        <w:rPr>
          <w:rFonts w:ascii="Arial" w:cs="Arial" w:eastAsia="Arial" w:hAnsi="Arial"/>
          <w:sz w:val="22"/>
          <w:szCs w:val="22"/>
          <w:b w:val="1"/>
          <w:bCs w:val="1"/>
          <w:color w:val="auto"/>
        </w:rPr>
        <w:t>to</w:t>
      </w:r>
    </w:p>
    <w:p>
      <w:pPr>
        <w:ind w:left="3900"/>
        <w:spacing w:after="0"/>
        <w:rPr>
          <w:sz w:val="20"/>
          <w:szCs w:val="20"/>
          <w:color w:val="auto"/>
        </w:rPr>
      </w:pPr>
      <w:r>
        <w:rPr>
          <w:rFonts w:ascii="Arial" w:cs="Arial" w:eastAsia="Arial" w:hAnsi="Arial"/>
          <w:sz w:val="22"/>
          <w:szCs w:val="22"/>
          <w:b w:val="1"/>
          <w:bCs w:val="1"/>
          <w:u w:val="single" w:color="auto"/>
          <w:color w:val="auto"/>
        </w:rPr>
        <w:t>Performance Cash Award Agreement</w:t>
      </w:r>
    </w:p>
    <w:p>
      <w:pPr>
        <w:spacing w:after="0" w:line="20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RESTRICTIVE COVENANTS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You agree to comply with the following covenants.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 CONFIDENTIALITY</w:t>
      </w:r>
    </w:p>
    <w:p>
      <w:pPr>
        <w:spacing w:after="0" w:line="220"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You agree to retain in strict confidence and not divulge, disseminate, copy or disclose to any third party any Confidential Information, other than for legitimate business purposes of the Company and its subsidiaries. As used herein,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means any non-public information that is material or of a confidential, proprietary, commercially sensitive or personal nature of, or regarding, the Company or its Affiliates or any current or former director, officer or member of senior management of any of the foregoing (collectively “</w:t>
      </w:r>
      <w:r>
        <w:rPr>
          <w:rFonts w:ascii="Arial" w:cs="Arial" w:eastAsia="Arial" w:hAnsi="Arial"/>
          <w:sz w:val="19"/>
          <w:szCs w:val="19"/>
          <w:u w:val="single" w:color="auto"/>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 (i) information designated or treated as confidential;</w:t>
      </w:r>
    </w:p>
    <w:p>
      <w:pPr>
        <w:spacing w:after="0" w:line="2" w:lineRule="exact"/>
        <w:rPr>
          <w:sz w:val="20"/>
          <w:szCs w:val="20"/>
          <w:color w:val="auto"/>
        </w:rPr>
      </w:pPr>
    </w:p>
    <w:p>
      <w:pPr>
        <w:ind w:right="200" w:firstLine="8"/>
        <w:spacing w:after="0" w:line="256" w:lineRule="auto"/>
        <w:tabs>
          <w:tab w:leader="none" w:pos="318" w:val="left"/>
        </w:tabs>
        <w:numPr>
          <w:ilvl w:val="0"/>
          <w:numId w:val="49"/>
        </w:numPr>
        <w:rPr>
          <w:rFonts w:ascii="Arial" w:cs="Arial" w:eastAsia="Arial" w:hAnsi="Arial"/>
          <w:sz w:val="19"/>
          <w:szCs w:val="19"/>
          <w:color w:val="auto"/>
        </w:rPr>
      </w:pPr>
      <w:r>
        <w:rPr>
          <w:rFonts w:ascii="Arial" w:cs="Arial" w:eastAsia="Arial" w:hAnsi="Arial"/>
          <w:sz w:val="19"/>
          <w:szCs w:val="19"/>
          <w:color w:val="auto"/>
        </w:rPr>
        <w:t>budgets, plans, forecasts or other financial or accounting data; (iii) subscriber, customer, fan, vendor or shareholder lists or data; (iv) technical, strategic or other proprietary information regarding the Covered Parties’ cable, data, telephone, programming, advertising, film or television production, motion picture exhibition, newspaper, multichannel video data and distribution services, direct to consumer (or “over-the-top”) services, subscription services or other businesses; (v) advertising, business,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agents,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189"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If disclosed, Confidential Information or Other Information could have an adverse effect on the Company’s standing in the community, its business reputation, operations or competitive position or the standing, reputation, operations or competitive position of any of its affiliates subsidiaries, officers, directors, employees, teams, players, coaches, consultants or agents or any of the Covered Parties.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foregoing, the obligations of this section, other than with respect to subscriber information, shall not apply to</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which is:</w:t>
      </w:r>
    </w:p>
    <w:p>
      <w:pPr>
        <w:spacing w:after="0" w:line="202"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19" w:lineRule="exact"/>
        <w:rPr>
          <w:rFonts w:ascii="Arial" w:cs="Arial" w:eastAsia="Arial" w:hAnsi="Arial"/>
          <w:sz w:val="22"/>
          <w:szCs w:val="22"/>
          <w:color w:val="auto"/>
        </w:rPr>
      </w:pPr>
    </w:p>
    <w:p>
      <w:pPr>
        <w:ind w:left="240" w:hanging="232"/>
        <w:spacing w:after="0"/>
        <w:tabs>
          <w:tab w:leader="none" w:pos="2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219" w:lineRule="exact"/>
        <w:rPr>
          <w:rFonts w:ascii="Arial" w:cs="Arial" w:eastAsia="Arial" w:hAnsi="Arial"/>
          <w:sz w:val="22"/>
          <w:szCs w:val="22"/>
          <w:color w:val="auto"/>
        </w:rPr>
      </w:pPr>
    </w:p>
    <w:p>
      <w:pPr>
        <w:ind w:left="220" w:hanging="212"/>
        <w:spacing w:after="0"/>
        <w:tabs>
          <w:tab w:leader="none" w:pos="2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specifically exempted in writing by the Company from the applicability of this Agreement.</w:t>
      </w:r>
    </w:p>
    <w:p>
      <w:pPr>
        <w:sectPr>
          <w:pgSz w:w="11900" w:h="16838" w:orient="portrait"/>
          <w:cols w:equalWidth="0" w:num="1">
            <w:col w:w="11240"/>
          </w:cols>
          <w:pgMar w:left="320" w:top="1408" w:right="339" w:bottom="1440" w:gutter="0" w:footer="0" w:header="0"/>
        </w:sectPr>
      </w:pPr>
    </w:p>
    <w:bookmarkStart w:id="123" w:name="page124"/>
    <w:bookmarkEnd w:id="123"/>
    <w:p>
      <w:pPr>
        <w:ind w:right="160"/>
        <w:spacing w:after="0" w:line="231"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01"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2. NON-DISPARAGEMENT</w:t>
      </w:r>
    </w:p>
    <w:p>
      <w:pPr>
        <w:spacing w:after="0" w:line="220" w:lineRule="exact"/>
        <w:rPr>
          <w:sz w:val="20"/>
          <w:szCs w:val="20"/>
          <w:color w:val="auto"/>
        </w:rPr>
      </w:pPr>
    </w:p>
    <w:p>
      <w:pPr>
        <w:ind w:right="300"/>
        <w:spacing w:after="0" w:line="228"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or any of its incumbent or former officers, directors, agents, consultants, employees, successors and assigns or any of the Covered Parties.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3. COMPANY PROPERTY</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As an employee of the Company, you agree that all original works of authorship that result from your activities within the scope of your employment and which are protectable by copyright are “works made for hire,” as the term is defined in the United States Copyright Act (17 USCA, Section 101). In addition, you agree that the Company is the owner of, and you hereby assign to the Company, without further consideration, all rights, title and interest in and to all programming and programming ideas, trademarks, copyrights, content, trade secrets, domain names, social media accounts and other intellectual property relating thereto, documents, tapes, videos, designs, plans, formulas, models, processes, computer programs, inventions (whether patentable or not), schematics, music, lyrics and other technical, business, financial, advertising, sales, marketing, customer or product development concepts, plans, forecasts, strategies, information and materials (in any medium whatsoever) developed or prepared by you or with your cooperation during the course of your employment by the Company (the “</w:t>
      </w:r>
      <w:r>
        <w:rPr>
          <w:rFonts w:ascii="Arial" w:cs="Arial" w:eastAsia="Arial" w:hAnsi="Arial"/>
          <w:sz w:val="19"/>
          <w:szCs w:val="19"/>
          <w:u w:val="single" w:color="auto"/>
          <w:color w:val="auto"/>
        </w:rPr>
        <w:t>Materials</w:t>
      </w:r>
      <w:r>
        <w:rPr>
          <w:rFonts w:ascii="Arial" w:cs="Arial" w:eastAsia="Arial" w:hAnsi="Arial"/>
          <w:sz w:val="19"/>
          <w:szCs w:val="19"/>
          <w:color w:val="auto"/>
        </w:rPr>
        <w:t>”), excluding only those assets that the Executive Vice President and Chief Financial Officer and the Executive Vice President and General Counsel have agreed to in writing to except. All such “works made for hire” and assigned assets are the sole property of the Company and freely transferable by the Company throughout the world. The Company will have the sole and exclusive authority to use the Materials in any manner that it deems appropriate, in perpetuity, without additional payment to you. Notwithstanding the terms set forth in this Section 3, in the event that the terms of your written employment agreement or other written agreement with the Company conflict with the terms set forth in this Section 3, the terms of those agreements will control.</w:t>
      </w:r>
    </w:p>
    <w:p>
      <w:pPr>
        <w:sectPr>
          <w:pgSz w:w="11900" w:h="16838" w:orient="portrait"/>
          <w:cols w:equalWidth="0" w:num="1">
            <w:col w:w="11220"/>
          </w:cols>
          <w:pgMar w:left="320" w:top="1414" w:right="359" w:bottom="1440" w:gutter="0" w:footer="0" w:header="0"/>
        </w:sectPr>
      </w:pPr>
    </w:p>
    <w:bookmarkStart w:id="124" w:name="page125"/>
    <w:bookmarkEnd w:id="124"/>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4. FURTHER COOPERATION</w:t>
      </w:r>
    </w:p>
    <w:p>
      <w:pPr>
        <w:spacing w:after="0" w:line="220"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Following the date of termination of your employment with the Company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you will no longer provide any regular services to the Company or represent yourself as a Company agent. If, however, the Company so requests, you agree to cooperate fully with the Company in connection with any matter with which you were involved prior to the Expiration Date, or in any litigation or administrative proceedings or appeals (including any preparation therefore) where the Company believes that your personal knowledge, attendance and participation could be beneficial to the Company or its Affiliates. This cooperation includes, without limitation, participation on behalf of the Company or its Affiliates in any litigation or administrative proceeding brought by any former or existing employee, team, player, coach, guest, representative, agent or vendor of the Company or its Affiliates.</w:t>
      </w:r>
    </w:p>
    <w:p>
      <w:pPr>
        <w:spacing w:after="0" w:line="199"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such expense before you incur the same.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5. NON-HIRE OR SOLICIT</w:t>
      </w:r>
    </w:p>
    <w:p>
      <w:pPr>
        <w:spacing w:after="0" w:line="220" w:lineRule="exact"/>
        <w:rPr>
          <w:sz w:val="20"/>
          <w:szCs w:val="20"/>
          <w:color w:val="auto"/>
        </w:rPr>
      </w:pPr>
    </w:p>
    <w:p>
      <w:pPr>
        <w:ind w:right="160"/>
        <w:spacing w:after="0" w:line="237" w:lineRule="auto"/>
        <w:rPr>
          <w:sz w:val="20"/>
          <w:szCs w:val="20"/>
          <w:color w:val="auto"/>
        </w:rPr>
      </w:pPr>
      <w:r>
        <w:rPr>
          <w:rFonts w:ascii="Arial" w:cs="Arial" w:eastAsia="Arial" w:hAnsi="Arial"/>
          <w:sz w:val="21"/>
          <w:szCs w:val="21"/>
          <w:color w:val="auto"/>
        </w:rPr>
        <w:t>You agree not to hire, seek to hire, or cause any person or entity to hire or seek to hire (without the prior written consent of the Company), directly or indirectly (whether for your own interest or any other person or entity’s interest) any then current employee of the Company, or any of its Affiliates, until the first anniversary of the date of your termination of employment with the Company. This restriction does not apply to any employee who was discharged by the Company. In addition, this restriction will not prevent you from providing references in your personal capacity.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6. ACKNOWLEDGMENTS</w:t>
      </w:r>
    </w:p>
    <w:p>
      <w:pPr>
        <w:spacing w:after="0" w:line="220"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You acknowledge that the restrictions contained in this Annex 2,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the provisions of this Annex 2, and therefore agree that the Company shall be entitled to injunctive relief, to prevent any breach or threatened breach of any of those provisions and to specific performance of the terms of each of such provisions in addition to any other legal or equitable remedy it may have. You further agree that you will not, in any equity proceeding relating to the enforcement of the provisions of this Annex 2, raise the defense that the Company has an adequate remedy at law. Nothing in this Annex 2 shall be construed as prohibiting the Company from pursuing any other remedies at law or in equity that it may have or any other rights that it may have under any other agreement. If it is determined that any of the provisions of this Annex 2 or any part thereof, is unenforceable because of the duration or scope (geographic or otherwise) of such provision, it is the intention of the parties that the duration or scope of such provision, as</w:t>
      </w:r>
    </w:p>
    <w:p>
      <w:pPr>
        <w:sectPr>
          <w:pgSz w:w="11900" w:h="16838" w:orient="portrait"/>
          <w:cols w:equalWidth="0" w:num="1">
            <w:col w:w="11240"/>
          </w:cols>
          <w:pgMar w:left="320" w:top="1440" w:right="339" w:bottom="1440" w:gutter="0" w:footer="0" w:header="0"/>
        </w:sectPr>
      </w:pPr>
    </w:p>
    <w:bookmarkStart w:id="125" w:name="page126"/>
    <w:bookmarkEnd w:id="125"/>
    <w:p>
      <w:pPr>
        <w:ind w:right="120"/>
        <w:spacing w:after="0" w:line="239" w:lineRule="auto"/>
        <w:rPr>
          <w:sz w:val="20"/>
          <w:szCs w:val="20"/>
          <w:color w:val="auto"/>
        </w:rPr>
      </w:pPr>
      <w:r>
        <w:rPr>
          <w:rFonts w:ascii="Arial" w:cs="Arial" w:eastAsia="Arial" w:hAnsi="Arial"/>
          <w:sz w:val="22"/>
          <w:szCs w:val="22"/>
          <w:color w:val="auto"/>
        </w:rPr>
        <w:t>the case may be, shall be reduced so that such provision becomes enforceable and, in its reduced form, such provision shall then be enforceable and shall be enforced.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7. SURVIVAL</w:t>
      </w:r>
    </w:p>
    <w:p>
      <w:pPr>
        <w:spacing w:after="0" w:line="220" w:lineRule="exact"/>
        <w:rPr>
          <w:sz w:val="20"/>
          <w:szCs w:val="20"/>
          <w:color w:val="auto"/>
        </w:rPr>
      </w:pPr>
    </w:p>
    <w:p>
      <w:pPr>
        <w:ind w:right="600"/>
        <w:spacing w:after="0" w:line="239" w:lineRule="auto"/>
        <w:rPr>
          <w:sz w:val="20"/>
          <w:szCs w:val="20"/>
          <w:color w:val="auto"/>
        </w:rPr>
      </w:pPr>
      <w:r>
        <w:rPr>
          <w:rFonts w:ascii="Arial" w:cs="Arial" w:eastAsia="Arial" w:hAnsi="Arial"/>
          <w:sz w:val="22"/>
          <w:szCs w:val="22"/>
          <w:color w:val="auto"/>
        </w:rPr>
        <w:t>The provisions of this Annex 3 shall survive any termination of your employment by the Company or the expiration of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8. CLAWBACK</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If you breach any of the covenants in this Annex 2, then the Company will be entitled to (i) seek injunctive relief in accordance with Section 6 of this Annex 2 or (ii) exercise its right to receive, and you will be obligated to immediately repay to the Company upon demand therefor, the gross (pre-tax) amount of and any cash payable in respect of the Award granted under this Agreement.</w:t>
      </w:r>
    </w:p>
    <w:p>
      <w:pPr>
        <w:sectPr>
          <w:pgSz w:w="11900" w:h="16838" w:orient="portrait"/>
          <w:cols w:equalWidth="0" w:num="1">
            <w:col w:w="11200"/>
          </w:cols>
          <w:pgMar w:left="320" w:top="1414" w:right="3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AMC Networks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Deferred Compensation Plan</w:t>
      </w:r>
    </w:p>
    <w:p>
      <w:pPr>
        <w:spacing w:after="0" w:line="20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The Company has established the AMC Networks Inc. Executive Deferred Compensation Plan for the purpose of permitting a select group of highly-compensated employees to defer the employee’s annual base salary and bonus into the Plan with returns on such deferrals tracking the performance of certain investments. The Plan is adopted effective as of March 16,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Definitions</w:t>
      </w:r>
    </w:p>
    <w:p>
      <w:pPr>
        <w:spacing w:after="0" w:line="22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Whenever the following words and phrases are used in the Plan, with the first letter capitalized, they shall have the meanings specified below.</w:t>
      </w:r>
    </w:p>
    <w:p>
      <w:pPr>
        <w:spacing w:after="0" w:line="198"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Administrator</w:t>
      </w:r>
      <w:r>
        <w:rPr>
          <w:rFonts w:ascii="Arial" w:cs="Arial" w:eastAsia="Arial" w:hAnsi="Arial"/>
          <w:sz w:val="22"/>
          <w:szCs w:val="22"/>
          <w:color w:val="auto"/>
        </w:rPr>
        <w:t xml:space="preserve"> means the AMC Networks Inc. Compensation Committee, the AMC Networks Inc. Investment and Benefits Committee or any other committee of at least three members appointed by the Compensation Committee of the Board. The administration of the Plan, the exclusive power to interpret it and the responsibility for carrying out its provisions are vested in the Administrator.</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any entity that is, or would be, aggregated and treated as a single employer with the Company under Sections 414(b) or (c) of the Code; provided, however, that an ownership threshold of at least 50% shall be used hereunder instead of the 80% minimum ownership threshold that would otherwise apply under such sections of the Code and provided further that a joint venture in which the Company has a direct or indirect ownership interest may be an Affiliate of the Company as determined by the Administrator.</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Annual Enrollment Letter</w:t>
      </w:r>
      <w:r>
        <w:rPr>
          <w:rFonts w:ascii="Arial" w:cs="Arial" w:eastAsia="Arial" w:hAnsi="Arial"/>
          <w:sz w:val="22"/>
          <w:szCs w:val="22"/>
          <w:color w:val="auto"/>
        </w:rPr>
        <w:t xml:space="preserve"> means the letter provided prior to the Deferral Deadline by the Administrator to an Eligible Employee for each Plan Year in which an employee is an Eligible Employee setting forth the Eligible Employee’s eligibility to defer compensation under the Plan, the maximum amount that the Eligible Employee is eligible to defer under the Plan and such other terms as the Administrator may determine.</w:t>
      </w:r>
    </w:p>
    <w:p>
      <w:pPr>
        <w:spacing w:after="0" w:line="20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 xml:space="preserve">Board </w:t>
      </w:r>
      <w:r>
        <w:rPr>
          <w:rFonts w:ascii="Arial" w:cs="Arial" w:eastAsia="Arial" w:hAnsi="Arial"/>
          <w:sz w:val="19"/>
          <w:szCs w:val="19"/>
          <w:color w:val="auto"/>
        </w:rPr>
        <w:t>means the Board of Directors of the Company.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1.5 Change in Control</w:t>
      </w:r>
      <w:r>
        <w:rPr>
          <w:rFonts w:ascii="Arial" w:cs="Arial" w:eastAsia="Arial" w:hAnsi="Arial"/>
          <w:sz w:val="19"/>
          <w:szCs w:val="19"/>
          <w:color w:val="auto"/>
        </w:rPr>
        <w:t xml:space="preserve"> means a change in ownership or effective control of the Company or in the ownership of a substantial portion of its assets, in each case within the meaning of Section 409A(a)(2)(A)(v) of the Code, other than the acquisition, in a transaction or a series of related transactions by Charles F. Dolan or members of the immediate family of Charles F. Dolan or trusts for the benefit of Charles F. Dolan or his immediate family (or an entity or entities controlled by any of them) or any employee benefit plan sponsored or maintained by the Company, of the power to direct the management of the Company or substantially all of its assets (as constituted immediately prior to such transaction or transactions).</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9"/>
          <w:szCs w:val="19"/>
          <w:u w:val="single" w:color="auto"/>
          <w:color w:val="auto"/>
        </w:rPr>
        <w:t>1.6 Code</w:t>
      </w:r>
      <w:r>
        <w:rPr>
          <w:rFonts w:ascii="Arial" w:cs="Arial" w:eastAsia="Arial" w:hAnsi="Arial"/>
          <w:sz w:val="19"/>
          <w:szCs w:val="19"/>
          <w:color w:val="auto"/>
        </w:rPr>
        <w:t xml:space="preserve"> means the Internal Revenue Code of 1986, as amended from time to time, or any successor statute. Any reference to any section of the Code shall also be a reference to any successor provision and any Treasury Regulation promulgated thereunder.</w:t>
      </w:r>
    </w:p>
    <w:p>
      <w:pPr>
        <w:sectPr>
          <w:pgSz w:w="11900" w:h="16838" w:orient="portrait"/>
          <w:cols w:equalWidth="0" w:num="1">
            <w:col w:w="11240"/>
          </w:cols>
          <w:pgMar w:left="320" w:top="1403" w:right="339" w:bottom="1440" w:gutter="0" w:footer="0" w:header="0"/>
        </w:sectPr>
      </w:pPr>
    </w:p>
    <w:bookmarkStart w:id="127" w:name="page128"/>
    <w:bookmarkEnd w:id="127"/>
    <w:p>
      <w:pPr>
        <w:spacing w:after="0"/>
        <w:tabs>
          <w:tab w:leader="none" w:pos="480" w:val="left"/>
        </w:tabs>
        <w:rPr>
          <w:sz w:val="20"/>
          <w:szCs w:val="20"/>
          <w:color w:val="auto"/>
        </w:rPr>
      </w:pPr>
      <w:r>
        <w:rPr>
          <w:rFonts w:ascii="Arial" w:cs="Arial" w:eastAsia="Arial" w:hAnsi="Arial"/>
          <w:sz w:val="22"/>
          <w:szCs w:val="22"/>
          <w:u w:val="single" w:color="auto"/>
          <w:color w:val="auto"/>
        </w:rPr>
        <w:t>1.7</w:t>
      </w:r>
      <w:r>
        <w:rPr>
          <w:sz w:val="20"/>
          <w:szCs w:val="20"/>
          <w:color w:val="auto"/>
        </w:rPr>
        <w:tab/>
      </w:r>
      <w:r>
        <w:rPr>
          <w:rFonts w:ascii="Arial" w:cs="Arial" w:eastAsia="Arial" w:hAnsi="Arial"/>
          <w:sz w:val="19"/>
          <w:szCs w:val="19"/>
          <w:u w:val="single" w:color="auto"/>
          <w:color w:val="auto"/>
        </w:rPr>
        <w:t xml:space="preserve">Company </w:t>
      </w:r>
      <w:r>
        <w:rPr>
          <w:rFonts w:ascii="Arial" w:cs="Arial" w:eastAsia="Arial" w:hAnsi="Arial"/>
          <w:sz w:val="19"/>
          <w:szCs w:val="19"/>
          <w:color w:val="auto"/>
        </w:rPr>
        <w:t>means AMC Networks Inc. and any successor company thereto.</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u w:val="single" w:color="auto"/>
          <w:color w:val="auto"/>
        </w:rPr>
        <w:t>1.8</w:t>
      </w:r>
      <w:r>
        <w:rPr>
          <w:sz w:val="20"/>
          <w:szCs w:val="20"/>
          <w:color w:val="auto"/>
        </w:rPr>
        <w:tab/>
      </w:r>
      <w:r>
        <w:rPr>
          <w:rFonts w:ascii="Arial" w:cs="Arial" w:eastAsia="Arial" w:hAnsi="Arial"/>
          <w:sz w:val="19"/>
          <w:szCs w:val="19"/>
          <w:u w:val="single" w:color="auto"/>
          <w:color w:val="auto"/>
        </w:rPr>
        <w:t xml:space="preserve">Deferral Deadline </w:t>
      </w:r>
      <w:r>
        <w:rPr>
          <w:rFonts w:ascii="Arial" w:cs="Arial" w:eastAsia="Arial" w:hAnsi="Arial"/>
          <w:sz w:val="19"/>
          <w:szCs w:val="19"/>
          <w:color w:val="auto"/>
        </w:rPr>
        <w:t>means the date by which the Participation Agreement must be completed.</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u w:val="single" w:color="auto"/>
          <w:color w:val="auto"/>
        </w:rPr>
        <w:t>1.9 Deferred Compensation Account</w:t>
      </w:r>
      <w:r>
        <w:rPr>
          <w:rFonts w:ascii="Arial" w:cs="Arial" w:eastAsia="Arial" w:hAnsi="Arial"/>
          <w:sz w:val="22"/>
          <w:szCs w:val="22"/>
          <w:color w:val="auto"/>
        </w:rPr>
        <w:t xml:space="preserve"> means the account, which may be by book-keeping entry, maintained by the Employer for each Participant that reflects the sum of the amounts in the Participant’s Deferred Compensation Principal Account and the Deferred Compensation Earnings Account (including any negative amount as a result of any net losses). The Deferred Compensation Account may be divided into subaccounts (based on the source of the Deferred Compensation Amount, on a Plan Year basis, or such other basis determined by the Administrator).</w:t>
      </w:r>
    </w:p>
    <w:p>
      <w:pPr>
        <w:spacing w:after="0" w:line="19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u w:val="single" w:color="auto"/>
          <w:color w:val="auto"/>
        </w:rPr>
        <w:t>1.10</w:t>
      </w:r>
      <w:r>
        <w:rPr>
          <w:sz w:val="20"/>
          <w:szCs w:val="20"/>
          <w:color w:val="auto"/>
        </w:rPr>
        <w:tab/>
      </w:r>
      <w:r>
        <w:rPr>
          <w:rFonts w:ascii="Arial" w:cs="Arial" w:eastAsia="Arial" w:hAnsi="Arial"/>
          <w:sz w:val="19"/>
          <w:szCs w:val="19"/>
          <w:u w:val="single" w:color="auto"/>
          <w:color w:val="auto"/>
        </w:rPr>
        <w:t xml:space="preserve">Deferred Compensation Amount </w:t>
      </w:r>
      <w:r>
        <w:rPr>
          <w:rFonts w:ascii="Arial" w:cs="Arial" w:eastAsia="Arial" w:hAnsi="Arial"/>
          <w:sz w:val="19"/>
          <w:szCs w:val="19"/>
          <w:color w:val="auto"/>
        </w:rPr>
        <w:t>means the amount voluntarily deferred under Article 2.</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u w:val="single" w:color="auto"/>
          <w:color w:val="auto"/>
        </w:rPr>
        <w:t>1.11 Deferred Compensation Earnings Account</w:t>
      </w:r>
      <w:r>
        <w:rPr>
          <w:rFonts w:ascii="Arial" w:cs="Arial" w:eastAsia="Arial" w:hAnsi="Arial"/>
          <w:sz w:val="19"/>
          <w:szCs w:val="19"/>
          <w:color w:val="auto"/>
        </w:rPr>
        <w:t xml:space="preserve"> means the account, which may be by book-keeping entry, maintained by the Employer for each Participant that reflects the earnings, if any, with respect to such Participant’s Deferred Compensation Amount debited by amounts equal to all distributions to the Participant. The Deferred Compensation Earnings Account may be divided into subaccounts (based on a Plan Year basis or such other basis determined by the Administrator).</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u w:val="single" w:color="auto"/>
          <w:color w:val="auto"/>
        </w:rPr>
        <w:t>1.12 Deferred Compensation Principal Account</w:t>
      </w:r>
      <w:r>
        <w:rPr>
          <w:rFonts w:ascii="Arial" w:cs="Arial" w:eastAsia="Arial" w:hAnsi="Arial"/>
          <w:sz w:val="22"/>
          <w:szCs w:val="22"/>
          <w:color w:val="auto"/>
        </w:rPr>
        <w:t xml:space="preserve"> means the account, which may be by book-keeping entry, maintained by the Employer for each Participant that reflects such Participant’s Deferred Compensation Amount debited by amounts equal to all distributions to the Participant. The Deferred Compensation Principal Account may be divided into subaccounts (based on a Plan Year basis or such other basis determined by the Administrator).</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1.13 Disability</w:t>
      </w:r>
      <w:r>
        <w:rPr>
          <w:rFonts w:ascii="Arial" w:cs="Arial" w:eastAsia="Arial" w:hAnsi="Arial"/>
          <w:sz w:val="19"/>
          <w:szCs w:val="19"/>
          <w:color w:val="auto"/>
        </w:rPr>
        <w:t xml:space="preserve"> means that the Participant received short term disability income replacement payments for six months, and thereafter (A) has been determined to be disabled in accordance with the Company’s long term disability plan in which employees of the Company are generally able to participate, if one is in effect at such time, or (B) to the extent no such long term disability plan exists, has been determined to have a medically determinable physical or mental impairment that can be expected to result in death or can be expected to last for a continuous period of not less than 12 months as determined by the department or vendor directed by the Company to determine eligibility for unpaid medical leave.</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1.14 Eligible Employee</w:t>
      </w:r>
      <w:r>
        <w:rPr>
          <w:rFonts w:ascii="Arial" w:cs="Arial" w:eastAsia="Arial" w:hAnsi="Arial"/>
          <w:sz w:val="21"/>
          <w:szCs w:val="21"/>
          <w:color w:val="auto"/>
        </w:rPr>
        <w:t xml:space="preserve"> means a full-time employee of the Employer, whose title with respect to the Employer is Senior Vice President or above, or who otherwise has been designated as eligible to participate in the Plan by the Administrator.</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1.15 Employer</w:t>
      </w:r>
      <w:r>
        <w:rPr>
          <w:rFonts w:ascii="Arial" w:cs="Arial" w:eastAsia="Arial" w:hAnsi="Arial"/>
          <w:sz w:val="22"/>
          <w:szCs w:val="22"/>
          <w:color w:val="auto"/>
        </w:rPr>
        <w:t xml:space="preserve"> means the Company and any Participating Affiliate. All acts required of the Employers under the Plan may be performed by the Company for itself and its Participating Affiliates.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1.16 ERISA</w:t>
      </w:r>
      <w:r>
        <w:rPr>
          <w:rFonts w:ascii="Arial" w:cs="Arial" w:eastAsia="Arial" w:hAnsi="Arial"/>
          <w:sz w:val="22"/>
          <w:szCs w:val="22"/>
          <w:color w:val="auto"/>
        </w:rPr>
        <w:t xml:space="preserve"> means the Employee Retirement Income Security Act of 1974, as amended from time to time, or any successor statute. Any reference to any section of ERISA shall also be a</w:t>
      </w:r>
    </w:p>
    <w:p>
      <w:pPr>
        <w:sectPr>
          <w:pgSz w:w="11900" w:h="16838" w:orient="portrait"/>
          <w:cols w:equalWidth="0" w:num="1">
            <w:col w:w="11240"/>
          </w:cols>
          <w:pgMar w:left="320" w:top="1414"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reference to any successor provision and any Department of Labor regulation promulgated thereunder.</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u w:val="single" w:color="auto"/>
          <w:color w:val="auto"/>
        </w:rPr>
        <w:t>1.17</w:t>
      </w:r>
      <w:r>
        <w:rPr>
          <w:sz w:val="20"/>
          <w:szCs w:val="20"/>
          <w:color w:val="auto"/>
        </w:rPr>
        <w:tab/>
      </w:r>
      <w:r>
        <w:rPr>
          <w:rFonts w:ascii="Arial" w:cs="Arial" w:eastAsia="Arial" w:hAnsi="Arial"/>
          <w:sz w:val="19"/>
          <w:szCs w:val="19"/>
          <w:u w:val="single" w:color="auto"/>
          <w:color w:val="auto"/>
        </w:rPr>
        <w:t xml:space="preserve">Investments </w:t>
      </w:r>
      <w:r>
        <w:rPr>
          <w:rFonts w:ascii="Arial" w:cs="Arial" w:eastAsia="Arial" w:hAnsi="Arial"/>
          <w:sz w:val="19"/>
          <w:szCs w:val="19"/>
          <w:color w:val="auto"/>
        </w:rPr>
        <w:t>means one or more investment alternatives as may be determined from time to time by the Administrator.</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1.18 Participant</w:t>
      </w:r>
      <w:r>
        <w:rPr>
          <w:rFonts w:ascii="Arial" w:cs="Arial" w:eastAsia="Arial" w:hAnsi="Arial"/>
          <w:sz w:val="21"/>
          <w:szCs w:val="21"/>
          <w:color w:val="auto"/>
        </w:rPr>
        <w:t xml:space="preserve"> means an Eligible Employee who has become a Participant in accordance with the provisions of Article 2 and who has not received a complete distribution of all amounts credited to his or her Deferred Compensation Account.</w:t>
      </w:r>
    </w:p>
    <w:p>
      <w:pPr>
        <w:spacing w:after="0" w:line="179" w:lineRule="exact"/>
        <w:rPr>
          <w:sz w:val="20"/>
          <w:szCs w:val="20"/>
          <w:color w:val="auto"/>
        </w:rPr>
      </w:pPr>
    </w:p>
    <w:p>
      <w:pPr>
        <w:jc w:val="both"/>
        <w:spacing w:after="0" w:line="228" w:lineRule="auto"/>
        <w:rPr>
          <w:sz w:val="20"/>
          <w:szCs w:val="20"/>
          <w:color w:val="auto"/>
        </w:rPr>
      </w:pPr>
      <w:r>
        <w:rPr>
          <w:rFonts w:ascii="Arial" w:cs="Arial" w:eastAsia="Arial" w:hAnsi="Arial"/>
          <w:sz w:val="22"/>
          <w:szCs w:val="22"/>
          <w:u w:val="single" w:color="auto"/>
          <w:color w:val="auto"/>
        </w:rPr>
        <w:t>1.19 Participating Affiliate</w:t>
      </w:r>
      <w:r>
        <w:rPr>
          <w:rFonts w:ascii="Arial" w:cs="Arial" w:eastAsia="Arial" w:hAnsi="Arial"/>
          <w:sz w:val="22"/>
          <w:szCs w:val="22"/>
          <w:color w:val="auto"/>
        </w:rPr>
        <w:t xml:space="preserve"> means an Affiliate that the Administrator has designated as a Participating Affiliate. At such times and under such conditions as the Administrator may direct, one or more other Affiliates may become Participating Affiliates or a Participating Affiliate may be withdrawn from the Plan. An initial list of the Participating Affiliates is set forth in Appendix A to the Plan.</w:t>
      </w:r>
    </w:p>
    <w:p>
      <w:pPr>
        <w:spacing w:after="0" w:line="20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u w:val="single" w:color="auto"/>
          <w:color w:val="auto"/>
        </w:rPr>
        <w:t>1.20 Participation Agreement</w:t>
      </w:r>
      <w:r>
        <w:rPr>
          <w:rFonts w:ascii="Arial" w:cs="Arial" w:eastAsia="Arial" w:hAnsi="Arial"/>
          <w:sz w:val="22"/>
          <w:szCs w:val="22"/>
          <w:color w:val="auto"/>
        </w:rPr>
        <w:t xml:space="preserve"> means the agreement, in a form prescribed by the Administrator, filed by a Participant on a Plan Year basis on or prior to December 31 of the calendar year prior to the calendar year during which services for which the Eligible Compensation is paid are performed.</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u w:val="single" w:color="auto"/>
          <w:color w:val="auto"/>
        </w:rPr>
        <w:t>1.21</w:t>
      </w:r>
      <w:r>
        <w:rPr>
          <w:sz w:val="20"/>
          <w:szCs w:val="20"/>
          <w:color w:val="auto"/>
        </w:rPr>
        <w:tab/>
      </w:r>
      <w:r>
        <w:rPr>
          <w:rFonts w:ascii="Arial" w:cs="Arial" w:eastAsia="Arial" w:hAnsi="Arial"/>
          <w:sz w:val="19"/>
          <w:szCs w:val="19"/>
          <w:u w:val="single" w:color="auto"/>
          <w:color w:val="auto"/>
        </w:rPr>
        <w:t xml:space="preserve">Plan </w:t>
      </w:r>
      <w:r>
        <w:rPr>
          <w:rFonts w:ascii="Arial" w:cs="Arial" w:eastAsia="Arial" w:hAnsi="Arial"/>
          <w:sz w:val="19"/>
          <w:szCs w:val="19"/>
          <w:color w:val="auto"/>
        </w:rPr>
        <w:t>means the AMC Networks Inc. Executive Deferred Compensation Plan, as it may be amended from time to time.</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1.22 Plan Year</w:t>
      </w:r>
      <w:r>
        <w:rPr>
          <w:rFonts w:ascii="Arial" w:cs="Arial" w:eastAsia="Arial" w:hAnsi="Arial"/>
          <w:sz w:val="22"/>
          <w:szCs w:val="22"/>
          <w:color w:val="auto"/>
        </w:rPr>
        <w:t xml:space="preserve"> means the calendar year or any other 12-consecutive-month period that may be designated by the Company as the plan year of the Plan.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1.23 Scheduled Withdrawal Date</w:t>
      </w:r>
      <w:r>
        <w:rPr>
          <w:rFonts w:ascii="Arial" w:cs="Arial" w:eastAsia="Arial" w:hAnsi="Arial"/>
          <w:sz w:val="22"/>
          <w:szCs w:val="22"/>
          <w:color w:val="auto"/>
        </w:rPr>
        <w:t xml:space="preserve"> means the date elected by the Participant for an in-service withdrawal, if any, as set forth on the applicable Participation Agreement executed by the Participant.</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21"/>
          <w:szCs w:val="21"/>
          <w:u w:val="single" w:color="auto"/>
          <w:color w:val="auto"/>
        </w:rPr>
        <w:t>1.24 Termination or Termination of Employment</w:t>
      </w:r>
      <w:r>
        <w:rPr>
          <w:rFonts w:ascii="Arial" w:cs="Arial" w:eastAsia="Arial" w:hAnsi="Arial"/>
          <w:sz w:val="21"/>
          <w:szCs w:val="21"/>
          <w:color w:val="auto"/>
        </w:rPr>
        <w:t xml:space="preserve"> means that a Participant shall have incurred a “separation from service” within the meaning of Section 409A of the Code and the Treasury Regulations and other applicable guidance issued thereunder. Whether a Termination has occurred, including as a result of military leave, sick leave or other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leave of absence, shall be determined in accordance with Section 409A of the Code. In the event of any dispute as to whether a Participant has separated from service, the Administrator shall make the final determination in accordance with the Treasury Regulations and other guidance issued under Section 409A of the Code.</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1.25 Treasury Regulations</w:t>
      </w:r>
      <w:r>
        <w:rPr>
          <w:rFonts w:ascii="Arial" w:cs="Arial" w:eastAsia="Arial" w:hAnsi="Arial"/>
          <w:sz w:val="22"/>
          <w:szCs w:val="22"/>
          <w:color w:val="auto"/>
        </w:rPr>
        <w:t xml:space="preserve"> means the regulations promulgated under the Code by the United States Internal Revenue Service, as they may be from time to time amended.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Deferred Amounts</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u w:val="single" w:color="auto"/>
          <w:color w:val="auto"/>
        </w:rPr>
        <w:t>2.1 General</w:t>
      </w:r>
      <w:r>
        <w:rPr>
          <w:rFonts w:ascii="Arial" w:cs="Arial" w:eastAsia="Arial" w:hAnsi="Arial"/>
          <w:sz w:val="22"/>
          <w:szCs w:val="22"/>
          <w:color w:val="auto"/>
        </w:rPr>
        <w:t>. For each Plan Year, on or prior to the Deferral Deadline, an Eligible Employee may elect to participate in the Plan by filing a Participation Agreement with the Company. An employee who becomes an Eligible Employee part way through a Plan Year shall first be eligible</w:t>
      </w:r>
    </w:p>
    <w:p>
      <w:pPr>
        <w:sectPr>
          <w:pgSz w:w="11900" w:h="16838" w:orient="portrait"/>
          <w:cols w:equalWidth="0" w:num="1">
            <w:col w:w="11240"/>
          </w:cols>
          <w:pgMar w:left="320" w:top="1414" w:right="339" w:bottom="1440" w:gutter="0" w:footer="0" w:header="0"/>
        </w:sectPr>
      </w:pPr>
    </w:p>
    <w:bookmarkStart w:id="129" w:name="page130"/>
    <w:bookmarkEnd w:id="129"/>
    <w:p>
      <w:pPr>
        <w:jc w:val="both"/>
        <w:spacing w:after="0" w:line="258" w:lineRule="auto"/>
        <w:rPr>
          <w:sz w:val="20"/>
          <w:szCs w:val="20"/>
          <w:color w:val="auto"/>
        </w:rPr>
      </w:pPr>
      <w:r>
        <w:rPr>
          <w:rFonts w:ascii="Arial" w:cs="Arial" w:eastAsia="Arial" w:hAnsi="Arial"/>
          <w:sz w:val="19"/>
          <w:szCs w:val="19"/>
          <w:color w:val="auto"/>
        </w:rPr>
        <w:t>to participate in the Plan in the subsequent Plan Year and may elect to participate in the Plan by filing a Participation Agreement with the Company on or prior to the Deferral Deadline for the subsequent Plan Year. Notwithstanding the foregoing, for the Plan Year during which the Plan becomes effective, an Eligible Employee may elect to participate in the Plan by filing a Participation Agreement with the Company no later than 30 days following the date on which the Plan became effective or such earlier deadline established by the Administrator. A Participation Agreement must be filed in the manner specified by the Administrator. A new Participation Agreement shall be filed by the Eligible Employee for each Plan Year in which he or she is permitted to elect to make a deferral election. After the Deferral Deadline (or, for a newly eligible Participant, the applicable 30-day period, subject to Section 6.2 and Section 6.3), an Eligible Employee’s election to defer Eligible Compensation shall be irrevocable. An Eligible Employee’s eligibility to participate in the Plan in any Plan Year shall not be a guarantee of the Eligible Employee’s eligibility to participate in the Plan for future Plan Years.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2.2 Eligible Deferrals</w:t>
      </w:r>
      <w:r>
        <w:rPr>
          <w:rFonts w:ascii="Arial" w:cs="Arial" w:eastAsia="Arial" w:hAnsi="Arial"/>
          <w:sz w:val="22"/>
          <w:szCs w:val="22"/>
          <w:color w:val="auto"/>
        </w:rPr>
        <w:t>. Each Eligible Employee may elect to defer receipt of one or more of the following to his or her Deferred Compensation Account (the “</w:t>
      </w:r>
      <w:r>
        <w:rPr>
          <w:rFonts w:ascii="Arial" w:cs="Arial" w:eastAsia="Arial" w:hAnsi="Arial"/>
          <w:sz w:val="22"/>
          <w:szCs w:val="22"/>
          <w:u w:val="single" w:color="auto"/>
          <w:color w:val="auto"/>
        </w:rPr>
        <w:t>Eligible Compensation</w:t>
      </w:r>
      <w:r>
        <w:rPr>
          <w:rFonts w:ascii="Arial" w:cs="Arial" w:eastAsia="Arial" w:hAnsi="Arial"/>
          <w:sz w:val="22"/>
          <w:szCs w:val="22"/>
          <w:color w:val="auto"/>
        </w:rPr>
        <w:t>”):</w:t>
      </w:r>
    </w:p>
    <w:p>
      <w:pPr>
        <w:spacing w:after="0" w:line="19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up to a maximum of 50% of his or her annual base salary, in increments of 10%; and</w:t>
      </w:r>
    </w:p>
    <w:p>
      <w:pPr>
        <w:ind w:left="660" w:hanging="328"/>
        <w:spacing w:after="0"/>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or any portion of his or her earned award, if any, under the Annual Incentive Program (AIP), in increments of 25%.</w:t>
      </w:r>
    </w:p>
    <w:p>
      <w:pPr>
        <w:spacing w:after="0" w:line="236"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22"/>
          <w:szCs w:val="22"/>
          <w:color w:val="auto"/>
        </w:rPr>
        <w:t>For a newly eligible Participant, Eligible Compensation only includes such portions of salary and AIP awards earned with respect to service after the date on which the Participation Agreement becomes irrevocable as determined by the Administrator in accordance with Section 409A of the Code.</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u w:val="single" w:color="auto"/>
          <w:color w:val="auto"/>
        </w:rPr>
        <w:t>2.3 Allocation of Deferred Compensation Amounts</w:t>
      </w:r>
      <w:r>
        <w:rPr>
          <w:rFonts w:ascii="Arial" w:cs="Arial" w:eastAsia="Arial" w:hAnsi="Arial"/>
          <w:sz w:val="19"/>
          <w:szCs w:val="19"/>
          <w:color w:val="auto"/>
        </w:rPr>
        <w:t>. A Participant’s Deferred Compensation Amount shall be credited to his or her Deferred Compensation Principal Account at the time the Participant is paid the Eligible Compensation for that Plan Year (or, if all of the Eligible Compensation is deferred, at the time such Eligible Compensation would otherwise have been paid). The amount initially credited to the Participant’s Deferred Compensation Principal Account shall equal the amount deferred.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Vesting</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3.1 Deferred Compensation Principal Account. A Participant shall at all times be fully vested in his or her Deferred Compensation Principal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28822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2882265" cy="8890"/>
                    </a:xfrm>
                    <a:prstGeom prst="rect">
                      <a:avLst/>
                    </a:prstGeom>
                    <a:noFill/>
                  </pic:spPr>
                </pic:pic>
              </a:graphicData>
            </a:graphic>
          </wp:anchor>
        </w:drawing>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3.2 Deferred Compensation Earnings Account. A Participant shall at all times be fully vested in his or her Deferred Compensation Earnings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2874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Investments</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5.1 The Administrator shall have the sole discretion to determine the Investments in which the Deferred Compensation Amounts will be invested and may change, limit or eliminate an Investment from time to time.</w:t>
      </w:r>
    </w:p>
    <w:p>
      <w:pPr>
        <w:sectPr>
          <w:pgSz w:w="11900" w:h="16838" w:orient="portrait"/>
          <w:cols w:equalWidth="0" w:num="1">
            <w:col w:w="11240"/>
          </w:cols>
          <w:pgMar w:left="320" w:top="1414" w:right="339" w:bottom="1440" w:gutter="0" w:footer="0" w:header="0"/>
        </w:sectPr>
      </w:pPr>
    </w:p>
    <w:bookmarkStart w:id="130" w:name="page131"/>
    <w:bookmarkEnd w:id="130"/>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5.2 In the manner specified by the Administrator, Participants may elect one or more Investments in which the funds in their Deferred Compensation Earnings Account are invested and may elect to change the Investment allocations of the Deferred Compensation Account by filing an election on a form or in the manner provided by the Administrator.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Timing and Form of Benefit Distributions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6.1 Form and Timing</w:t>
      </w:r>
      <w:r>
        <w:rPr>
          <w:rFonts w:ascii="Arial" w:cs="Arial" w:eastAsia="Arial" w:hAnsi="Arial"/>
          <w:sz w:val="19"/>
          <w:szCs w:val="19"/>
          <w:color w:val="auto"/>
        </w:rPr>
        <w:t>. Subject to the provisions of this Article 6, the Deferred Compensation Account for a Participant for each Plan Year shall be distributed to the Participant in a lump sum, cash payment, or up to five annual cash installments, in each case on or beginning 90 days following the first to occur of: (i) the Scheduled Withdrawal Date, (ii) a Termination of Employment,</w:t>
      </w:r>
    </w:p>
    <w:p>
      <w:pPr>
        <w:spacing w:after="0" w:line="2" w:lineRule="exact"/>
        <w:rPr>
          <w:sz w:val="20"/>
          <w:szCs w:val="20"/>
          <w:color w:val="auto"/>
        </w:rPr>
      </w:pPr>
    </w:p>
    <w:p>
      <w:pPr>
        <w:jc w:val="both"/>
        <w:ind w:firstLine="8"/>
        <w:spacing w:after="0" w:line="226" w:lineRule="auto"/>
        <w:tabs>
          <w:tab w:leader="none" w:pos="38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Participant’s death or Disability and (iv) a Change in Control. Participants must file such payment timing elections on or prior to the Deferral Deadline for the applicable Plan Year. For those Participants who fail to file a timely election, payment will be made in the form of a lump sum payment.</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2"/>
          <w:szCs w:val="22"/>
          <w:u w:val="single" w:color="auto"/>
          <w:color w:val="auto"/>
        </w:rPr>
        <w:t>6.2 Domestic Relations Orders</w:t>
      </w:r>
      <w:r>
        <w:rPr>
          <w:rFonts w:ascii="Arial" w:cs="Arial" w:eastAsia="Arial" w:hAnsi="Arial"/>
          <w:sz w:val="22"/>
          <w:szCs w:val="22"/>
          <w:color w:val="auto"/>
        </w:rPr>
        <w:t>. To the extent permitted by Section 409A of the Code, and notwithstanding any provision of the Plan to the contrary, the Administrator, in its sole discretion, may elect to accelerate the time or form of payment of a benefit owed to a Participant hereunder in accordance with the terms and subject to the conditions of Treasury Regulation 1.409A-3(j)(4) (ii).</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6.3 Unforeseeable Emergency</w:t>
      </w:r>
      <w:r>
        <w:rPr>
          <w:rFonts w:ascii="Arial" w:cs="Arial" w:eastAsia="Arial" w:hAnsi="Arial"/>
          <w:sz w:val="19"/>
          <w:szCs w:val="19"/>
          <w:color w:val="auto"/>
        </w:rPr>
        <w:t>. In the event the Administrator, upon written request of a Participant, determines in its sole discretion that the Participant has suffered an unforeseeable emergency, consistent with the guidance contained in Section 1.409A-3(i)(3) of the Treasury Regulations, the Administrator may (i) revoke the Participant’s deferral election with respect to future Eligible Compensation in accordance with Section 1.409A-3(j)(4)(viii) of the Treasury Regulations and/or (ii) pay to a Participant as soon as practicable following such determination, an amount from a Participant’s Deferred Compensation Account that shall not exceed the minimum amount necessary to satisfy the emergency, including payment of applicable taxes, consistent with the guidance in Section 1.409A-3(i)(3)(ii) of the Treasury Regulations. A Participant who receives a hardship distribution pursuant to this Section 6.3 shall be ineligible to make any additional deferrals under the Plan for the balance of the Plan Year in which the hardship distribution occurs and for the immediately following Plan Year.</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1"/>
          <w:szCs w:val="21"/>
          <w:u w:val="single" w:color="auto"/>
          <w:color w:val="auto"/>
        </w:rPr>
        <w:t>6.4 Subsequent Elections</w:t>
      </w:r>
      <w:r>
        <w:rPr>
          <w:rFonts w:ascii="Arial" w:cs="Arial" w:eastAsia="Arial" w:hAnsi="Arial"/>
          <w:sz w:val="21"/>
          <w:szCs w:val="21"/>
          <w:color w:val="auto"/>
        </w:rPr>
        <w:t>. With respect to any Deferred Compensation Account for a Plan Year that a Participant elected to receive in a lump sum, the Participant may delay the distribution of such Deferred Compensation Amount subject to the following requirements: (A) the new election may not take effect until at least 12 months after the date on which the new election is made; (B) if the new election relates to a payment other than in connection with the Participant’s death, Disability or unforeseeable emergency, then the new election must provide for the deferral of the distribution for a period of at least five years from the date such distribution otherwise would have been made and (C) the new election must be made at least 12 months prior to the date such distribution otherwise would have been made.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Administration</w:t>
      </w:r>
    </w:p>
    <w:p>
      <w:pPr>
        <w:sectPr>
          <w:pgSz w:w="11900" w:h="16838" w:orient="portrait"/>
          <w:cols w:equalWidth="0" w:num="1">
            <w:col w:w="11240"/>
          </w:cols>
          <w:pgMar w:left="320" w:top="1440" w:right="339" w:bottom="1440" w:gutter="0" w:footer="0" w:header="0"/>
        </w:sectPr>
      </w:pPr>
    </w:p>
    <w:bookmarkStart w:id="131" w:name="page132"/>
    <w:bookmarkEnd w:id="131"/>
    <w:p>
      <w:pPr>
        <w:jc w:val="both"/>
        <w:ind w:right="20"/>
        <w:spacing w:after="0" w:line="239" w:lineRule="auto"/>
        <w:rPr>
          <w:sz w:val="20"/>
          <w:szCs w:val="20"/>
          <w:color w:val="auto"/>
        </w:rPr>
      </w:pPr>
      <w:r>
        <w:rPr>
          <w:rFonts w:ascii="Arial" w:cs="Arial" w:eastAsia="Arial" w:hAnsi="Arial"/>
          <w:sz w:val="22"/>
          <w:szCs w:val="22"/>
          <w:u w:val="single" w:color="auto"/>
          <w:color w:val="auto"/>
        </w:rPr>
        <w:t>7.1 Administration by the Committee</w:t>
      </w:r>
      <w:r>
        <w:rPr>
          <w:rFonts w:ascii="Arial" w:cs="Arial" w:eastAsia="Arial" w:hAnsi="Arial"/>
          <w:sz w:val="22"/>
          <w:szCs w:val="22"/>
          <w:color w:val="auto"/>
        </w:rPr>
        <w:t>. The Administrator shall be responsible for the general operation and administration of the Plan and for carrying out the provisions thereof.</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7.2 General Powers of Administration</w:t>
      </w:r>
      <w:r>
        <w:rPr>
          <w:rFonts w:ascii="Arial" w:cs="Arial" w:eastAsia="Arial" w:hAnsi="Arial"/>
          <w:sz w:val="19"/>
          <w:szCs w:val="19"/>
          <w:color w:val="auto"/>
        </w:rPr>
        <w:t>. The Administrator shall have all the authority that may be necessary or helpful to enable it to discharge its responsibilities with respect to the Plan. The Administrator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shall be final and conclusive for all purposes and persons. The Administrator shall be entitled to rely conclusively upon all certificates, opinions, and information furnished by any counsel, or other person employed or engaged by the Administrator with respect to the Plan.</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7.3 Indemnification</w:t>
      </w:r>
      <w:r>
        <w:rPr>
          <w:rFonts w:ascii="Arial" w:cs="Arial" w:eastAsia="Arial" w:hAnsi="Arial"/>
          <w:sz w:val="19"/>
          <w:szCs w:val="19"/>
          <w:color w:val="auto"/>
        </w:rPr>
        <w:t>. In addition to such other rights of indemnification as they may have as members of the Investment and Benefits Committee, or as its delegatees, the members of the Committee and its delegatees shall be indemnified by the Company against (a) the reasonable expenses (as such expenses are incurred),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and (b)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member or delegatee is liable for gross negligence or misconduct in the performance of his duties; provided that within 60 days after institution of any such action, suit or proceeding a member or delegatee shall in writing the Company offer the opportunity, at its own expense, to handle and defend the same.</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7.4 Section 409A of the Code</w:t>
      </w:r>
      <w:r>
        <w:rPr>
          <w:rFonts w:ascii="Arial" w:cs="Arial" w:eastAsia="Arial" w:hAnsi="Arial"/>
          <w:sz w:val="19"/>
          <w:szCs w:val="19"/>
          <w:color w:val="auto"/>
        </w:rPr>
        <w:t>. It is intended that the payments and benefits under the Plan comply with the provisions of Section 409A of the Code. The Plan will be administered and interpreted in a manner consistent with this intent, and any provision that would cause the Plan to fail to satisfy Section 409A of the Code will have no force and effect until amended to comply therewith (which amendment may be retroactive to the extent permitted by Section 409A of the Code). In addition, for purposes of the Plan, each amount to be paid or benefit to be provided to the Participant pursuant to the Plan, which constitutes deferred compensation subject to Section 409A of the Code, shall be construed as a separate identified payment for purposes of Section 409A of the Code. The Company shall have no liability to any Participant, beneficiary or otherwise if the Plan or any amounts paid or payable hereunder are subject to the additional taxes and penalties under Section 409A.</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To the extent that any amount payable to the Participant pursuant to the Plan is determined by the Company to constitute “non-qualified deferred compensation” subject to Section 409A of the Code and is payable to the Participant by reason of the Participant’s termination of employment (other than death), then if the Participant is a “specified employee” (within the meaning of Section 409A as determined by the Company), such payment shall not be made before the date that is six months after the date of the Participant’s termination of employment (or, if earlier than the expiration of such six month period, the date of death).</w:t>
      </w:r>
    </w:p>
    <w:p>
      <w:pPr>
        <w:sectPr>
          <w:pgSz w:w="11900" w:h="16838" w:orient="portrait"/>
          <w:cols w:equalWidth="0" w:num="1">
            <w:col w:w="11240"/>
          </w:cols>
          <w:pgMar w:left="320" w:top="1414" w:right="339" w:bottom="1440" w:gutter="0" w:footer="0" w:header="0"/>
        </w:sectPr>
      </w:pPr>
    </w:p>
    <w:bookmarkStart w:id="132" w:name="page133"/>
    <w:bookmarkEnd w:id="132"/>
    <w:p>
      <w:pPr>
        <w:spacing w:after="0" w:line="239" w:lineRule="auto"/>
        <w:rPr>
          <w:sz w:val="20"/>
          <w:szCs w:val="20"/>
          <w:color w:val="auto"/>
        </w:rPr>
      </w:pPr>
      <w:r>
        <w:rPr>
          <w:rFonts w:ascii="Arial" w:cs="Arial" w:eastAsia="Arial" w:hAnsi="Arial"/>
          <w:sz w:val="22"/>
          <w:szCs w:val="22"/>
          <w:color w:val="auto"/>
        </w:rPr>
        <w:t>Any amount not paid at the end of such six-month period shall be paid to the Participant in a lump sum on the expiration of such six-month period.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Claims Appeal Procedure</w:t>
      </w:r>
    </w:p>
    <w:p>
      <w:pPr>
        <w:spacing w:after="0" w:line="226"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u w:val="single" w:color="auto"/>
          <w:color w:val="auto"/>
        </w:rPr>
        <w:t>8.1 Initial Claims</w:t>
      </w:r>
      <w:r>
        <w:rPr>
          <w:rFonts w:ascii="Arial" w:cs="Arial" w:eastAsia="Arial" w:hAnsi="Arial"/>
          <w:sz w:val="19"/>
          <w:szCs w:val="19"/>
          <w:color w:val="auto"/>
        </w:rPr>
        <w:t>. After first discussing any claims a Participant (or anyone claiming through a Participant) may have under the Plan with the Company’s Senior Vice President – Total Rewards, the Participant may then make a claim under the Plan in writing to the Administrator. The Administrator shall make all determinations concerning such claim. Any decision by the Administrator denying such claim shall be in writing and shall be delivered to the Participant, or if applicable, anyone who makes claim in respect of the Participant. Such decision shall set forth the reasons for denial in plain language. Pertinent provisions of the Plan shall be cited and, where appropriate, an explanation as to how the claimant can perfect the claim will be provided. This notice of denial of benefits will be provided within 90 days of the Administrator’s receipt of the claimant’s claim for benefits (or within 180 days if special circumstances require an extension of time for processing the claim and if written notice of such extension and special circumstances is given to the claimant within the initial 90-day period). If the Administrator fails to notify the claimant of its decision regarding the claim within such period, the claim shall be considered denied as of the last day of such period, and the claimant shall then be permitted to proceed with the appeal as provided in Section 8.2.</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9"/>
          <w:szCs w:val="19"/>
          <w:u w:val="single" w:color="auto"/>
          <w:color w:val="auto"/>
        </w:rPr>
        <w:t>8.2 Appeals</w:t>
      </w:r>
      <w:r>
        <w:rPr>
          <w:rFonts w:ascii="Arial" w:cs="Arial" w:eastAsia="Arial" w:hAnsi="Arial"/>
          <w:sz w:val="19"/>
          <w:szCs w:val="19"/>
          <w:color w:val="auto"/>
        </w:rPr>
        <w:t>. A claimant who has been completely or partially denied a benefit shall be entitled to appeal this denial of his/her claim by filing a written statement of his/her position with the Administrator no later than 60 days after receipt of the written notification of such claim denial. If the claimant does not request a review within such 60-day or 180-day period, he or she shall be barred and estopped from challenging the Administrator’s determination. The Administrator shall schedule an opportunity for a full and fair review of the issue within 30 days of receipt of the appeal. The decision on review shall set forth specific reasons for the decision, and shall cite specific references to the pertinent Plan provisions on which the decision is based. Following the review of any additional information submitted by the claimant, either through the hearing process or otherwise, the Administrator shall render a decision on the review of the denied claim. The Administrator shall make its decision regarding the merits of the denied claim within 60 days following receipt of the request for review (or within 120 days after such receipt, in a case where there are special circumstances requiring extension of time for reviewing the appealed claim). The Administrator shall deliver the decision to the claimant in writing. If an extension of time for reviewing the appealed claim is required because of special circumstances, written notice of the extension shall be furnished to the claimant prior to the commencement of the extension. If the decision on review is not furnished within the prescribed time, the claim shall be deemed denied on review.</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u w:val="single" w:color="auto"/>
          <w:color w:val="auto"/>
        </w:rPr>
        <w:t>8.3 General</w:t>
      </w:r>
      <w:r>
        <w:rPr>
          <w:rFonts w:ascii="Arial" w:cs="Arial" w:eastAsia="Arial" w:hAnsi="Arial"/>
          <w:sz w:val="19"/>
          <w:szCs w:val="19"/>
          <w:color w:val="auto"/>
        </w:rPr>
        <w:t>. The Administrator may at any time alter the claims procedure set forth above. The claims procedure set forth in this Article 8 is intended to comply with United States Department of Labor Regulation §2560.503-1 and should be construed in accordance with such regulation. In no event shall the claims procedure be interpreted as expanding the rights of claimants beyond what is required by United States Department of Labor Regulation §2560.503-1. A claimant must exhaust all administrative remedies under the Plan prior to bringing an action. No such action may be brought later than three years from the date the claim arose. The Administrator’s interpretations, determinations and decisions with respect to any</w:t>
      </w:r>
    </w:p>
    <w:p>
      <w:pPr>
        <w:sectPr>
          <w:pgSz w:w="11900" w:h="16838" w:orient="portrait"/>
          <w:cols w:equalWidth="0" w:num="1">
            <w:col w:w="11240"/>
          </w:cols>
          <w:pgMar w:left="320" w:top="1414" w:right="339" w:bottom="1440" w:gutter="0" w:footer="0" w:header="0"/>
        </w:sectPr>
      </w:pPr>
    </w:p>
    <w:bookmarkStart w:id="133" w:name="page134"/>
    <w:bookmarkEnd w:id="133"/>
    <w:p>
      <w:pPr>
        <w:ind w:right="400"/>
        <w:spacing w:after="0" w:line="239" w:lineRule="auto"/>
        <w:rPr>
          <w:sz w:val="20"/>
          <w:szCs w:val="20"/>
          <w:color w:val="auto"/>
        </w:rPr>
      </w:pPr>
      <w:r>
        <w:rPr>
          <w:rFonts w:ascii="Arial" w:cs="Arial" w:eastAsia="Arial" w:hAnsi="Arial"/>
          <w:sz w:val="22"/>
          <w:szCs w:val="22"/>
          <w:color w:val="auto"/>
        </w:rPr>
        <w:t>claim shall be made in its sole discretion based on the Plan and other relevant documents and shall be final and binding on all persons.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Amendment and Termination of Plan</w:t>
      </w:r>
    </w:p>
    <w:p>
      <w:pPr>
        <w:spacing w:after="0" w:line="226" w:lineRule="exact"/>
        <w:rPr>
          <w:sz w:val="20"/>
          <w:szCs w:val="20"/>
          <w:color w:val="auto"/>
        </w:rPr>
      </w:pPr>
    </w:p>
    <w:p>
      <w:pPr>
        <w:ind w:right="300"/>
        <w:spacing w:after="0" w:line="226" w:lineRule="auto"/>
        <w:rPr>
          <w:sz w:val="20"/>
          <w:szCs w:val="20"/>
          <w:color w:val="auto"/>
        </w:rPr>
      </w:pPr>
      <w:r>
        <w:rPr>
          <w:rFonts w:ascii="Arial" w:cs="Arial" w:eastAsia="Arial" w:hAnsi="Arial"/>
          <w:sz w:val="22"/>
          <w:szCs w:val="22"/>
          <w:u w:val="single" w:color="auto"/>
          <w:color w:val="auto"/>
        </w:rPr>
        <w:t>9.1 Amendment or Termination</w:t>
      </w:r>
      <w:r>
        <w:rPr>
          <w:rFonts w:ascii="Arial" w:cs="Arial" w:eastAsia="Arial" w:hAnsi="Arial"/>
          <w:sz w:val="22"/>
          <w:szCs w:val="22"/>
          <w:color w:val="auto"/>
        </w:rPr>
        <w:t>. The Company intends the Plan to be permanent but reserves the right to amend or terminate the Plan when, in the sole opinion of the Company, such amendment or termination is advisable. Any such amendment or termination shall be made pursuant to a resolution of the Board or Compensation Committee. To the extent the Company has delegated the authority to amend the Plan to the Committee, any such amendment by the Administrator shall be made by resolution of the Administrator.</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9.2 Effect of Amendment or Termination</w:t>
      </w:r>
      <w:r>
        <w:rPr>
          <w:rFonts w:ascii="Arial" w:cs="Arial" w:eastAsia="Arial" w:hAnsi="Arial"/>
          <w:sz w:val="19"/>
          <w:szCs w:val="19"/>
          <w:color w:val="auto"/>
        </w:rPr>
        <w:t>. No amendment or termination of the Plan shall directly or indirectly reduce the balance of any account held hereunder as of the effective date of such amendment or termination. No amendment, modification, suspension or termination will accelerate distributions unless such acceleration is approved by the Company and permitted under Section 409A of the Code and the Treasury Regulations and other applicable guidance issued thereunder. A Participant’s Deferred Compensation Account shall continue to be credited with gains and losses pursuant to Article 3 of the Plan until the balance of such Deferred Compensation Account has been fully distributed to the Participant or such Participant’s beneficiary.</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u w:val="single" w:color="auto"/>
          <w:color w:val="auto"/>
        </w:rPr>
        <w:t>9.3 Employer’s Right to Terminate Plan</w:t>
      </w:r>
      <w:r>
        <w:rPr>
          <w:rFonts w:ascii="Arial" w:cs="Arial" w:eastAsia="Arial" w:hAnsi="Arial"/>
          <w:sz w:val="21"/>
          <w:szCs w:val="21"/>
          <w:color w:val="auto"/>
        </w:rPr>
        <w:t>. Any Employer may, at any time, by resolution of the Board or Compensation Committee, terminate participation in the Plan with respect to its employees, in accordance with Section 9.2. If the Plan is terminated by fewer than all Employers, the Plan shall continue in effect for employees of the remaining Employers. In the event that an Employer shall, for any reason, cease to exist, the Plan shall terminate with respect to the employees of such Employer, unless a successor organization adopts the Plan and thereby continues their participation.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Miscellaneous</w:t>
      </w:r>
    </w:p>
    <w:p>
      <w:pPr>
        <w:spacing w:after="0" w:line="22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u w:val="single" w:color="auto"/>
          <w:color w:val="auto"/>
        </w:rPr>
        <w:t>10.1 Participant’s Rights Unsecured</w:t>
      </w:r>
      <w:r>
        <w:rPr>
          <w:rFonts w:ascii="Arial" w:cs="Arial" w:eastAsia="Arial" w:hAnsi="Arial"/>
          <w:sz w:val="22"/>
          <w:szCs w:val="22"/>
          <w:color w:val="auto"/>
        </w:rPr>
        <w:t>. Except as set forth in Section 10.2, the Plan at all times shall be entirely unfunded and no provision shall at any time be made with respect to segregating any assets of the Company for payment of any distributions hereunder. The right of a Participant or his or her beneficiary to receive a distribution hereunder shall be an unsecured claim against the general assets of the Company and the Employer, and neither a Participant nor a beneficiary shall have any rights in or against any specific assets of the Company. All amounts credited to Deferred Compensation Accounts of Participants shall constitute general assets of the Company and may be disposed of by the Company at such time and for such purposes as it may deem appropriate.</w:t>
      </w:r>
    </w:p>
    <w:p>
      <w:pPr>
        <w:spacing w:after="0" w:line="204" w:lineRule="exact"/>
        <w:rPr>
          <w:sz w:val="20"/>
          <w:szCs w:val="20"/>
          <w:color w:val="auto"/>
        </w:rPr>
      </w:pPr>
    </w:p>
    <w:p>
      <w:pPr>
        <w:jc w:val="both"/>
        <w:spacing w:after="0" w:line="226" w:lineRule="auto"/>
        <w:rPr>
          <w:sz w:val="20"/>
          <w:szCs w:val="20"/>
          <w:color w:val="auto"/>
        </w:rPr>
      </w:pPr>
      <w:r>
        <w:rPr>
          <w:rFonts w:ascii="Arial" w:cs="Arial" w:eastAsia="Arial" w:hAnsi="Arial"/>
          <w:sz w:val="22"/>
          <w:szCs w:val="22"/>
          <w:u w:val="single" w:color="auto"/>
          <w:color w:val="auto"/>
        </w:rPr>
        <w:t>10.2 Trust Agreement</w:t>
      </w:r>
      <w:r>
        <w:rPr>
          <w:rFonts w:ascii="Arial" w:cs="Arial" w:eastAsia="Arial" w:hAnsi="Arial"/>
          <w:sz w:val="22"/>
          <w:szCs w:val="22"/>
          <w:color w:val="auto"/>
        </w:rPr>
        <w:t>. Notwithstanding the provisions of Section 10.1, an Employer shall enter into a trust agreement (“</w:t>
      </w:r>
      <w:r>
        <w:rPr>
          <w:rFonts w:ascii="Arial" w:cs="Arial" w:eastAsia="Arial" w:hAnsi="Arial"/>
          <w:sz w:val="22"/>
          <w:szCs w:val="22"/>
          <w:u w:val="single" w:color="auto"/>
          <w:color w:val="auto"/>
        </w:rPr>
        <w:t>Trust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with a bank or trust company located in the continental United States as trustee, whereby the Employer shall contribute deferrals under the Plan to a trust (“</w:t>
      </w:r>
      <w:r>
        <w:rPr>
          <w:rFonts w:ascii="Arial" w:cs="Arial" w:eastAsia="Arial" w:hAnsi="Arial"/>
          <w:sz w:val="22"/>
          <w:szCs w:val="22"/>
          <w:u w:val="single" w:color="auto"/>
          <w:color w:val="auto"/>
        </w:rPr>
        <w:t>Trust</w:t>
      </w:r>
      <w:r>
        <w:rPr>
          <w:rFonts w:ascii="Arial" w:cs="Arial" w:eastAsia="Arial" w:hAnsi="Arial"/>
          <w:sz w:val="22"/>
          <w:szCs w:val="22"/>
          <w:color w:val="auto"/>
        </w:rPr>
        <w:t>”). Such Trust Agreement shall be substantially in the form of the model trust agreement set forth in Internal Revenue Service Revenue Procedure 92-64, or any subsequent Internal Revenue Service Revenue Procedure, and shall include provisions required</w:t>
      </w:r>
    </w:p>
    <w:p>
      <w:pPr>
        <w:sectPr>
          <w:pgSz w:w="11900" w:h="16838" w:orient="portrait"/>
          <w:cols w:equalWidth="0" w:num="1">
            <w:col w:w="11240"/>
          </w:cols>
          <w:pgMar w:left="320" w:top="1414" w:right="339" w:bottom="1440" w:gutter="0" w:footer="0" w:header="0"/>
        </w:sectPr>
      </w:pPr>
    </w:p>
    <w:bookmarkStart w:id="134" w:name="page135"/>
    <w:bookmarkEnd w:id="134"/>
    <w:p>
      <w:pPr>
        <w:jc w:val="both"/>
        <w:spacing w:after="0" w:line="272" w:lineRule="auto"/>
        <w:rPr>
          <w:sz w:val="20"/>
          <w:szCs w:val="20"/>
          <w:color w:val="auto"/>
        </w:rPr>
      </w:pPr>
      <w:r>
        <w:rPr>
          <w:rFonts w:ascii="Arial" w:cs="Arial" w:eastAsia="Arial" w:hAnsi="Arial"/>
          <w:sz w:val="19"/>
          <w:szCs w:val="19"/>
          <w:color w:val="auto"/>
        </w:rPr>
        <w:t>in such model trust agreement that all assets of the Trust shall be subject to creditors of the Employer in the event of insolvency. To the extent any benefits provided under the Plan are paid from the Trust, the Employer shall have no further obligation to pay them. If not paid from the Trust, such benefits shall remain the obligation of the Employer or the Company. Notwithstanding the foregoing, no Employer contributions shall be made to the Trust if doing so would violate the provisions of Section 409A.</w:t>
      </w:r>
    </w:p>
    <w:p>
      <w:pPr>
        <w:spacing w:after="0" w:line="171"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u w:val="single" w:color="auto"/>
          <w:color w:val="auto"/>
        </w:rPr>
        <w:t>10.3 No Guarantee of Benefits</w:t>
      </w:r>
      <w:r>
        <w:rPr>
          <w:rFonts w:ascii="Arial" w:cs="Arial" w:eastAsia="Arial" w:hAnsi="Arial"/>
          <w:sz w:val="22"/>
          <w:szCs w:val="22"/>
          <w:color w:val="auto"/>
        </w:rPr>
        <w:t>. Nothing contained in the Plan shall constitute a guaranty by the Company or any other person or entity that the assets of the Company shall be sufficient to pay any benefit hereunder.</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u w:val="single" w:color="auto"/>
          <w:color w:val="auto"/>
        </w:rPr>
        <w:t>10.4 No Enlargement of Employee Rights</w:t>
      </w:r>
      <w:r>
        <w:rPr>
          <w:rFonts w:ascii="Arial" w:cs="Arial" w:eastAsia="Arial" w:hAnsi="Arial"/>
          <w:sz w:val="21"/>
          <w:szCs w:val="21"/>
          <w:color w:val="auto"/>
        </w:rPr>
        <w:t>. No Participant or Beneficiary shall have any right to receive a distribution of contributions made under the Plan except in accordance with the terms of the Plan. Establishment of the Plan shall not be construed to give any Participant the right to be retained in the service of the Company or any Employer.</w:t>
      </w:r>
    </w:p>
    <w:p>
      <w:pPr>
        <w:spacing w:after="0" w:line="195" w:lineRule="exact"/>
        <w:rPr>
          <w:sz w:val="20"/>
          <w:szCs w:val="20"/>
          <w:color w:val="auto"/>
        </w:rPr>
      </w:pPr>
    </w:p>
    <w:p>
      <w:pPr>
        <w:jc w:val="both"/>
        <w:spacing w:after="0" w:line="226" w:lineRule="auto"/>
        <w:rPr>
          <w:sz w:val="20"/>
          <w:szCs w:val="20"/>
          <w:color w:val="auto"/>
        </w:rPr>
      </w:pPr>
      <w:r>
        <w:rPr>
          <w:rFonts w:ascii="Arial" w:cs="Arial" w:eastAsia="Arial" w:hAnsi="Arial"/>
          <w:sz w:val="22"/>
          <w:szCs w:val="22"/>
          <w:u w:val="single" w:color="auto"/>
          <w:color w:val="auto"/>
        </w:rPr>
        <w:t>10.5 Spendthrift Provision</w:t>
      </w:r>
      <w:r>
        <w:rPr>
          <w:rFonts w:ascii="Arial" w:cs="Arial" w:eastAsia="Arial" w:hAnsi="Arial"/>
          <w:sz w:val="22"/>
          <w:szCs w:val="22"/>
          <w:color w:val="auto"/>
        </w:rPr>
        <w:t>. No interest of any person or entity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 or entity, except with respect to claims for alimony, support or separate maintenance.</w:t>
      </w:r>
    </w:p>
    <w:p>
      <w:pPr>
        <w:spacing w:after="0" w:line="199"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u w:val="single" w:color="auto"/>
          <w:color w:val="auto"/>
        </w:rPr>
        <w:t>10.6 Applicable Law</w:t>
      </w:r>
      <w:r>
        <w:rPr>
          <w:rFonts w:ascii="Arial" w:cs="Arial" w:eastAsia="Arial" w:hAnsi="Arial"/>
          <w:sz w:val="22"/>
          <w:szCs w:val="22"/>
          <w:color w:val="auto"/>
        </w:rPr>
        <w:t>. The Plan shall be construed and administered under the laws of the State of New York, except to the extent preempted by applicable federal law.</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10.7 Incapacity of Recipient</w:t>
      </w:r>
      <w:r>
        <w:rPr>
          <w:rFonts w:ascii="Arial" w:cs="Arial" w:eastAsia="Arial" w:hAnsi="Arial"/>
          <w:sz w:val="19"/>
          <w:szCs w:val="19"/>
          <w:color w:val="auto"/>
        </w:rPr>
        <w:t>. If any person entitled to a distribution under the Plan is deemed by the Administrator to be incapable of personally receiving and giving a valid receipt for such payment, then, unless and until claim therefor shall have been made by a duly appointed guardian or other legal representative of such person, the Administrator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Administrator, the Company, Participating Affiliates and the Plan therefor.</w:t>
      </w:r>
    </w:p>
    <w:p>
      <w:pPr>
        <w:spacing w:after="0" w:line="17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u w:val="single" w:color="auto"/>
          <w:color w:val="auto"/>
        </w:rPr>
        <w:t>10.8 Corporate Successors</w:t>
      </w:r>
      <w:r>
        <w:rPr>
          <w:rFonts w:ascii="Arial" w:cs="Arial" w:eastAsia="Arial" w:hAnsi="Arial"/>
          <w:sz w:val="22"/>
          <w:szCs w:val="22"/>
          <w:color w:val="auto"/>
        </w:rPr>
        <w:t>. 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Section 10.2.</w:t>
      </w:r>
    </w:p>
    <w:p>
      <w:pPr>
        <w:spacing w:after="0" w:line="19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u w:val="single" w:color="auto"/>
          <w:color w:val="auto"/>
        </w:rPr>
        <w:t>10.9 Unclaimed Benefit</w:t>
      </w:r>
      <w:r>
        <w:rPr>
          <w:rFonts w:ascii="Arial" w:cs="Arial" w:eastAsia="Arial" w:hAnsi="Arial"/>
          <w:sz w:val="22"/>
          <w:szCs w:val="22"/>
          <w:color w:val="auto"/>
        </w:rPr>
        <w:t>. Each Participant shall keep the Administrator informed of his or her current address and the current address of his or her beneficiary. The Administrator shall not be obligated to search for the whereabouts of any person. If the location of a Participant is not made known to the Administrator within three years after the date on which payment of the Administrator’s Deferred Compensation Account may first be made, payment may be made as though the Participant had died at the end of the three-year period. If, within one additional year</w:t>
      </w:r>
    </w:p>
    <w:p>
      <w:pPr>
        <w:sectPr>
          <w:pgSz w:w="11900" w:h="16838" w:orient="portrait"/>
          <w:cols w:equalWidth="0" w:num="1">
            <w:col w:w="11240"/>
          </w:cols>
          <w:pgMar w:left="320" w:top="1414" w:right="339" w:bottom="1440" w:gutter="0" w:footer="0" w:header="0"/>
        </w:sectPr>
      </w:pPr>
    </w:p>
    <w:bookmarkStart w:id="135" w:name="page136"/>
    <w:bookmarkEnd w:id="135"/>
    <w:p>
      <w:pPr>
        <w:jc w:val="both"/>
        <w:spacing w:after="0" w:line="244" w:lineRule="auto"/>
        <w:rPr>
          <w:sz w:val="20"/>
          <w:szCs w:val="20"/>
          <w:color w:val="auto"/>
        </w:rPr>
      </w:pPr>
      <w:r>
        <w:rPr>
          <w:rFonts w:ascii="Arial" w:cs="Arial" w:eastAsia="Arial" w:hAnsi="Arial"/>
          <w:sz w:val="21"/>
          <w:szCs w:val="21"/>
          <w:color w:val="auto"/>
        </w:rPr>
        <w:t>after such three-year period has elapsed, or, within three years after the actual death of a Participant, the Administrator is unable to locate any beneficiary of the Participant, then the Administrator shall have no further obligation to pay any benefit hereunder to such Participant or beneficiary and such benefit shall be irrevocably forfeited.</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10.10 Limitations on Liability. Notwithstanding any of the preceding provisions of the Plan, neither the Company and Participating Affiliates, nor any individual acting as employee or agent of the Company or Participating Affiliates shall be liable to any Participant, former Participant, beneficiary, or any other person for any claim, loss, liability, or expense incurred in connection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1927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1927860" cy="8255"/>
                    </a:xfrm>
                    <a:prstGeom prst="rect">
                      <a:avLst/>
                    </a:prstGeom>
                    <a:noFill/>
                  </pic:spPr>
                </pic:pic>
              </a:graphicData>
            </a:graphic>
          </wp:anchor>
        </w:drawing>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10.11 Withholding Taxes</w:t>
      </w:r>
      <w:r>
        <w:rPr>
          <w:rFonts w:ascii="Arial" w:cs="Arial" w:eastAsia="Arial" w:hAnsi="Arial"/>
          <w:sz w:val="22"/>
          <w:szCs w:val="22"/>
          <w:color w:val="auto"/>
        </w:rPr>
        <w:t>. An Employer shall have the right to deduct from each payment to be made under the Plan any required withholding taxes.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u w:val="single" w:color="auto"/>
          <w:color w:val="auto"/>
        </w:rPr>
        <w:t>10.12 Top-Hat Plan</w:t>
      </w:r>
      <w:r>
        <w:rPr>
          <w:rFonts w:ascii="Arial" w:cs="Arial" w:eastAsia="Arial" w:hAnsi="Arial"/>
          <w:sz w:val="21"/>
          <w:szCs w:val="21"/>
          <w:color w:val="auto"/>
        </w:rPr>
        <w:t>. It is the intention of the Company that, to the extent the Plan is determined to be an employee pension benefit plan subject to ERISA, it shall be considered and interpreted in all respects as an unfunded “top-hat” plan maintained primarily to provide deferred compensation benefits for “a select group of management or highly compensated employees” within the meaning of Sections 201(2), 301(a)(3), 401(a)(1) and 4021(b)(6) of ERISA.</w:t>
      </w:r>
    </w:p>
    <w:p>
      <w:pPr>
        <w:spacing w:after="0" w:line="199" w:lineRule="exact"/>
        <w:rPr>
          <w:sz w:val="20"/>
          <w:szCs w:val="20"/>
          <w:color w:val="auto"/>
        </w:rPr>
      </w:pPr>
    </w:p>
    <w:p>
      <w:pPr>
        <w:jc w:val="both"/>
        <w:spacing w:after="0" w:line="231" w:lineRule="auto"/>
        <w:rPr>
          <w:sz w:val="20"/>
          <w:szCs w:val="20"/>
          <w:color w:val="auto"/>
        </w:rPr>
      </w:pPr>
      <w:r>
        <w:rPr>
          <w:rFonts w:ascii="Arial" w:cs="Arial" w:eastAsia="Arial" w:hAnsi="Arial"/>
          <w:sz w:val="22"/>
          <w:szCs w:val="22"/>
          <w:u w:val="single" w:color="auto"/>
          <w:color w:val="auto"/>
        </w:rPr>
        <w:t>10.13 Electronic Election</w:t>
      </w:r>
      <w:r>
        <w:rPr>
          <w:rFonts w:ascii="Arial" w:cs="Arial" w:eastAsia="Arial" w:hAnsi="Arial"/>
          <w:sz w:val="22"/>
          <w:szCs w:val="22"/>
          <w:color w:val="auto"/>
        </w:rPr>
        <w:t>. Any reference herein to an election, designation or other action by a Participant in writing shall be deemed to include an electronic election, designation or act made on the Internet to the maximum extent permitted by applicable law.</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AMC Networks Inc. has caused the Plan to be executed in its name, by its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on this 26th day of January, 2022.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AMC NETWORKS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________________________________</w:t>
      </w:r>
    </w:p>
    <w:p>
      <w:pPr>
        <w:sectPr>
          <w:pgSz w:w="11900" w:h="16838" w:orient="portrait"/>
          <w:cols w:equalWidth="0" w:num="1">
            <w:col w:w="11240"/>
          </w:cols>
          <w:pgMar w:left="320" w:top="1414"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APPENDIX A</w:t>
      </w:r>
    </w:p>
    <w:p>
      <w:pPr>
        <w:jc w:val="center"/>
        <w:ind w:right="19"/>
        <w:spacing w:after="0" w:line="221" w:lineRule="auto"/>
        <w:rPr>
          <w:sz w:val="20"/>
          <w:szCs w:val="20"/>
          <w:color w:val="auto"/>
        </w:rPr>
      </w:pPr>
      <w:r>
        <w:rPr>
          <w:rFonts w:ascii="Arial" w:cs="Arial" w:eastAsia="Arial" w:hAnsi="Arial"/>
          <w:sz w:val="18"/>
          <w:szCs w:val="18"/>
          <w:b w:val="1"/>
          <w:bCs w:val="1"/>
          <w:color w:val="auto"/>
        </w:rPr>
        <w:t>PARTICIPATING AFFILIATES</w:t>
      </w:r>
    </w:p>
    <w:p>
      <w:pPr>
        <w:jc w:val="center"/>
        <w:ind w:right="19"/>
        <w:spacing w:after="0"/>
        <w:rPr>
          <w:sz w:val="20"/>
          <w:szCs w:val="20"/>
          <w:color w:val="auto"/>
        </w:rPr>
      </w:pPr>
      <w:r>
        <w:rPr>
          <w:rFonts w:ascii="Arial" w:cs="Arial" w:eastAsia="Arial" w:hAnsi="Arial"/>
          <w:sz w:val="18"/>
          <w:szCs w:val="18"/>
          <w:b w:val="1"/>
          <w:bCs w:val="1"/>
          <w:color w:val="auto"/>
        </w:rPr>
        <w:t>As of 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304800</wp:posOffset>
            </wp:positionV>
            <wp:extent cx="5349240" cy="54603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5349240" cy="546036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980"/>
              <w:spacing w:after="0"/>
              <w:rPr>
                <w:sz w:val="20"/>
                <w:szCs w:val="20"/>
                <w:color w:val="auto"/>
              </w:rPr>
            </w:pPr>
            <w:r>
              <w:rPr>
                <w:rFonts w:ascii="Arial" w:cs="Arial" w:eastAsia="Arial" w:hAnsi="Arial"/>
                <w:sz w:val="18"/>
                <w:szCs w:val="18"/>
                <w:color w:val="auto"/>
                <w:w w:val="93"/>
              </w:rPr>
              <w:t>Exhibit 21</w:t>
            </w:r>
          </w:p>
        </w:tc>
      </w:tr>
      <w:tr>
        <w:trPr>
          <w:trHeight w:val="810"/>
        </w:trPr>
        <w:tc>
          <w:tcPr>
            <w:tcW w:w="4040" w:type="dxa"/>
            <w:vAlign w:val="bottom"/>
          </w:tcPr>
          <w:p>
            <w:pPr>
              <w:spacing w:after="0"/>
              <w:rPr>
                <w:sz w:val="24"/>
                <w:szCs w:val="24"/>
                <w:color w:val="auto"/>
              </w:rPr>
            </w:pPr>
          </w:p>
        </w:tc>
        <w:tc>
          <w:tcPr>
            <w:tcW w:w="54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1"/>
              </w:rPr>
              <w:t>Material Subsidiaries of the Registrant</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40" w:type="dxa"/>
            <w:vAlign w:val="bottom"/>
          </w:tcPr>
          <w:p>
            <w:pPr>
              <w:spacing w:after="0"/>
              <w:rPr>
                <w:sz w:val="23"/>
                <w:szCs w:val="23"/>
                <w:color w:val="auto"/>
              </w:rPr>
            </w:pPr>
          </w:p>
        </w:tc>
        <w:tc>
          <w:tcPr>
            <w:tcW w:w="5440" w:type="dxa"/>
            <w:vAlign w:val="bottom"/>
            <w:gridSpan w:val="4"/>
          </w:tcPr>
          <w:p>
            <w:pPr>
              <w:jc w:val="center"/>
              <w:ind w:right="2320"/>
              <w:spacing w:after="0"/>
              <w:rPr>
                <w:sz w:val="20"/>
                <w:szCs w:val="20"/>
                <w:color w:val="auto"/>
              </w:rPr>
            </w:pPr>
            <w:r>
              <w:rPr>
                <w:rFonts w:ascii="Arial" w:cs="Arial" w:eastAsia="Arial" w:hAnsi="Arial"/>
                <w:sz w:val="18"/>
                <w:szCs w:val="18"/>
                <w:b w:val="1"/>
                <w:bCs w:val="1"/>
                <w:color w:val="auto"/>
                <w:w w:val="95"/>
              </w:rPr>
              <w:t>AMC Networks Inc.</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4040" w:type="dxa"/>
            <w:vAlign w:val="bottom"/>
          </w:tcPr>
          <w:p>
            <w:pPr>
              <w:ind w:left="3280"/>
              <w:spacing w:after="0"/>
              <w:rPr>
                <w:sz w:val="20"/>
                <w:szCs w:val="20"/>
                <w:color w:val="auto"/>
              </w:rPr>
            </w:pPr>
            <w:r>
              <w:rPr>
                <w:rFonts w:ascii="Arial" w:cs="Arial" w:eastAsia="Arial" w:hAnsi="Arial"/>
                <w:sz w:val="14"/>
                <w:szCs w:val="14"/>
                <w:b w:val="1"/>
                <w:bCs w:val="1"/>
                <w:color w:val="auto"/>
              </w:rPr>
              <w:t>Subsidiary</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Jurisdiction of Formation</w:t>
            </w: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 Owned</w:t>
            </w:r>
          </w:p>
        </w:tc>
      </w:tr>
      <w:tr>
        <w:trPr>
          <w:trHeight w:val="22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AMC Network Entertainment LLC</w:t>
            </w:r>
          </w:p>
        </w:tc>
        <w:tc>
          <w:tcPr>
            <w:tcW w:w="3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AMC Networks International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Movie Classics IV Holding Corporation</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IFC 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Video Channel America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49.9%</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Rainbow Media Holdings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Rainbow Programming Holdings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SundanceTV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 tv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19"/>
                <w:szCs w:val="19"/>
                <w:color w:val="auto"/>
              </w:rPr>
            </w:pPr>
          </w:p>
        </w:tc>
      </w:tr>
    </w:tbl>
    <w:p>
      <w:pPr>
        <w:sectPr>
          <w:pgSz w:w="11900" w:h="16838" w:orient="portrait"/>
          <w:cols w:equalWidth="0" w:num="1">
            <w:col w:w="11220"/>
          </w:cols>
          <w:pgMar w:left="340" w:top="139"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2"/>
              </w:rPr>
              <w:t>As of December 31, 2021, the following subsidiaries of AMC Networks Inc. guarantee the notes issued by AMC Networks Inc.</w:t>
            </w:r>
          </w:p>
        </w:tc>
        <w:tc>
          <w:tcPr>
            <w:tcW w:w="202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Games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Anthem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Dark Winds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Entertainment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Films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In Theaters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Rhode Island</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Programming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09"/>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Asia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141" w:name="page142"/>
    <w:bookmarkEnd w:id="141"/>
    <w:p>
      <w:pPr>
        <w:jc w:val="center"/>
        <w:ind w:right="-1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consent to the incorporation by reference in the registration statements (No. 333-234695) on Form S-3 and (No. 333-214083 and No. 333-250143) on Form S-8 of our reports dated February 16, 2022, with respect to the consolidated financial statements and financial statement schedule II of AMC Networks Inc. and the effectiveness of internal control over financial reporting.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ectPr>
          <w:pgSz w:w="11900" w:h="16838" w:orient="portrait"/>
          <w:cols w:equalWidth="0" w:num="1">
            <w:col w:w="11060"/>
          </w:cols>
          <w:pgMar w:left="320" w:top="1404" w:right="5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Matthew Blank, certify that:</w:t>
      </w:r>
    </w:p>
    <w:p>
      <w:pPr>
        <w:spacing w:after="0" w:line="171" w:lineRule="exact"/>
        <w:rPr>
          <w:sz w:val="20"/>
          <w:szCs w:val="20"/>
          <w:color w:val="auto"/>
        </w:rPr>
      </w:pPr>
    </w:p>
    <w:p>
      <w:pPr>
        <w:ind w:left="280" w:hanging="1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ebruary 16, 2022</w:t>
            </w:r>
          </w:p>
        </w:tc>
        <w:tc>
          <w:tcPr>
            <w:tcW w:w="7000" w:type="dxa"/>
            <w:vAlign w:val="bottom"/>
            <w:gridSpan w:val="2"/>
          </w:tcPr>
          <w:p>
            <w:pPr>
              <w:ind w:left="2320"/>
              <w:spacing w:after="0"/>
              <w:rPr>
                <w:sz w:val="20"/>
                <w:szCs w:val="20"/>
                <w:color w:val="auto"/>
              </w:rPr>
            </w:pPr>
            <w:r>
              <w:rPr>
                <w:rFonts w:ascii="Arial" w:cs="Arial" w:eastAsia="Arial" w:hAnsi="Arial"/>
                <w:sz w:val="18"/>
                <w:szCs w:val="18"/>
                <w:color w:val="auto"/>
              </w:rPr>
              <w:t>By:  /s/ Matthew Blank</w:t>
            </w:r>
          </w:p>
        </w:tc>
      </w:tr>
      <w:tr>
        <w:trPr>
          <w:trHeight w:val="222"/>
        </w:trPr>
        <w:tc>
          <w:tcPr>
            <w:tcW w:w="3500" w:type="dxa"/>
            <w:vAlign w:val="bottom"/>
          </w:tcPr>
          <w:p>
            <w:pPr>
              <w:spacing w:after="0"/>
              <w:rPr>
                <w:sz w:val="19"/>
                <w:szCs w:val="19"/>
                <w:color w:val="auto"/>
              </w:rPr>
            </w:pPr>
          </w:p>
        </w:tc>
        <w:tc>
          <w:tcPr>
            <w:tcW w:w="3540" w:type="dxa"/>
            <w:vAlign w:val="bottom"/>
          </w:tcPr>
          <w:p>
            <w:pPr>
              <w:ind w:left="2760"/>
              <w:spacing w:after="0"/>
              <w:rPr>
                <w:sz w:val="20"/>
                <w:szCs w:val="20"/>
                <w:color w:val="auto"/>
              </w:rPr>
            </w:pPr>
            <w:r>
              <w:rPr>
                <w:rFonts w:ascii="Arial" w:cs="Arial" w:eastAsia="Arial" w:hAnsi="Arial"/>
                <w:sz w:val="18"/>
                <w:szCs w:val="18"/>
                <w:color w:val="auto"/>
              </w:rPr>
              <w:t>Matthew</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Blank</w:t>
            </w:r>
          </w:p>
        </w:tc>
      </w:tr>
      <w:tr>
        <w:trPr>
          <w:trHeight w:val="230"/>
        </w:trPr>
        <w:tc>
          <w:tcPr>
            <w:tcW w:w="3500" w:type="dxa"/>
            <w:vAlign w:val="bottom"/>
          </w:tcPr>
          <w:p>
            <w:pPr>
              <w:spacing w:after="0"/>
              <w:rPr>
                <w:sz w:val="20"/>
                <w:szCs w:val="20"/>
                <w:color w:val="auto"/>
              </w:rPr>
            </w:pPr>
          </w:p>
        </w:tc>
        <w:tc>
          <w:tcPr>
            <w:tcW w:w="7000" w:type="dxa"/>
            <w:vAlign w:val="bottom"/>
            <w:gridSpan w:val="2"/>
          </w:tcPr>
          <w:p>
            <w:pPr>
              <w:ind w:left="2760"/>
              <w:spacing w:after="0"/>
              <w:rPr>
                <w:sz w:val="20"/>
                <w:szCs w:val="20"/>
                <w:color w:val="auto"/>
              </w:rPr>
            </w:pPr>
            <w:r>
              <w:rPr>
                <w:rFonts w:ascii="Arial" w:cs="Arial" w:eastAsia="Arial" w:hAnsi="Arial"/>
                <w:sz w:val="18"/>
                <w:szCs w:val="18"/>
                <w:color w:val="auto"/>
              </w:rPr>
              <w:t>Interim Chief Executive Officer</w:t>
            </w:r>
          </w:p>
        </w:tc>
      </w:tr>
    </w:tbl>
    <w:p>
      <w:pPr>
        <w:sectPr>
          <w:pgSz w:w="11900" w:h="16838" w:orient="portrait"/>
          <w:cols w:equalWidth="0" w:num="1">
            <w:col w:w="11340"/>
          </w:cols>
          <w:pgMar w:left="220" w:top="12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280" w:hanging="1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171" w:lineRule="exact"/>
        <w:rPr>
          <w:rFonts w:ascii="Arial" w:cs="Arial" w:eastAsia="Arial" w:hAnsi="Arial"/>
          <w:sz w:val="18"/>
          <w:szCs w:val="18"/>
          <w:color w:val="auto"/>
        </w:rPr>
      </w:pPr>
    </w:p>
    <w:p>
      <w:pPr>
        <w:ind w:left="100" w:firstLine="8"/>
        <w:spacing w:after="0" w:line="342" w:lineRule="auto"/>
        <w:tabs>
          <w:tab w:leader="none" w:pos="3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00" w:firstLine="8"/>
        <w:spacing w:after="0" w:line="277" w:lineRule="auto"/>
        <w:tabs>
          <w:tab w:leader="none" w:pos="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00" w:firstLine="8"/>
        <w:spacing w:after="0" w:line="263" w:lineRule="auto"/>
        <w:tabs>
          <w:tab w:leader="none" w:pos="3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20" w:hanging="164"/>
        <w:spacing w:after="0" w:line="263" w:lineRule="auto"/>
        <w:tabs>
          <w:tab w:leader="none" w:pos="98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20" w:hanging="164"/>
        <w:spacing w:after="0" w:line="308" w:lineRule="auto"/>
        <w:tabs>
          <w:tab w:leader="none" w:pos="978"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20" w:hanging="164"/>
        <w:spacing w:after="0" w:line="263" w:lineRule="auto"/>
        <w:tabs>
          <w:tab w:leader="none" w:pos="95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100" w:firstLine="8"/>
        <w:spacing w:after="0" w:line="308" w:lineRule="auto"/>
        <w:tabs>
          <w:tab w:leader="none" w:pos="2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hanging="164"/>
        <w:spacing w:after="0" w:line="277" w:lineRule="auto"/>
        <w:tabs>
          <w:tab w:leader="none" w:pos="9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hanging="164"/>
        <w:spacing w:after="0" w:line="277" w:lineRule="auto"/>
        <w:tabs>
          <w:tab w:leader="none" w:pos="9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ebruary 16, 2022</w:t>
            </w:r>
          </w:p>
        </w:tc>
        <w:tc>
          <w:tcPr>
            <w:tcW w:w="7000" w:type="dxa"/>
            <w:vAlign w:val="bottom"/>
            <w:gridSpan w:val="2"/>
          </w:tcPr>
          <w:p>
            <w:pPr>
              <w:ind w:left="2320"/>
              <w:spacing w:after="0"/>
              <w:rPr>
                <w:sz w:val="20"/>
                <w:szCs w:val="20"/>
                <w:color w:val="auto"/>
              </w:rPr>
            </w:pPr>
            <w:r>
              <w:rPr>
                <w:rFonts w:ascii="Arial" w:cs="Arial" w:eastAsia="Arial" w:hAnsi="Arial"/>
                <w:sz w:val="18"/>
                <w:szCs w:val="18"/>
                <w:color w:val="auto"/>
              </w:rPr>
              <w:t>By:  /s/ Christina Spade</w:t>
            </w:r>
          </w:p>
        </w:tc>
      </w:tr>
      <w:tr>
        <w:trPr>
          <w:trHeight w:val="222"/>
        </w:trPr>
        <w:tc>
          <w:tcPr>
            <w:tcW w:w="3500" w:type="dxa"/>
            <w:vAlign w:val="bottom"/>
          </w:tcPr>
          <w:p>
            <w:pPr>
              <w:spacing w:after="0"/>
              <w:rPr>
                <w:sz w:val="19"/>
                <w:szCs w:val="19"/>
                <w:color w:val="auto"/>
              </w:rPr>
            </w:pPr>
          </w:p>
        </w:tc>
        <w:tc>
          <w:tcPr>
            <w:tcW w:w="3540" w:type="dxa"/>
            <w:vAlign w:val="bottom"/>
          </w:tcPr>
          <w:p>
            <w:pPr>
              <w:ind w:left="2760"/>
              <w:spacing w:after="0"/>
              <w:rPr>
                <w:sz w:val="20"/>
                <w:szCs w:val="20"/>
                <w:color w:val="auto"/>
              </w:rPr>
            </w:pPr>
            <w:r>
              <w:rPr>
                <w:rFonts w:ascii="Arial" w:cs="Arial" w:eastAsia="Arial" w:hAnsi="Arial"/>
                <w:sz w:val="18"/>
                <w:szCs w:val="18"/>
                <w:color w:val="auto"/>
              </w:rPr>
              <w:t>Christina</w:t>
            </w: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Spade</w:t>
            </w:r>
          </w:p>
        </w:tc>
      </w:tr>
      <w:tr>
        <w:trPr>
          <w:trHeight w:val="230"/>
        </w:trPr>
        <w:tc>
          <w:tcPr>
            <w:tcW w:w="3500" w:type="dxa"/>
            <w:vAlign w:val="bottom"/>
          </w:tcPr>
          <w:p>
            <w:pPr>
              <w:spacing w:after="0"/>
              <w:rPr>
                <w:sz w:val="20"/>
                <w:szCs w:val="20"/>
                <w:color w:val="auto"/>
              </w:rPr>
            </w:pPr>
          </w:p>
        </w:tc>
        <w:tc>
          <w:tcPr>
            <w:tcW w:w="7000" w:type="dxa"/>
            <w:vAlign w:val="bottom"/>
            <w:gridSpan w:val="2"/>
          </w:tcPr>
          <w:p>
            <w:pPr>
              <w:ind w:left="2760"/>
              <w:spacing w:after="0"/>
              <w:rPr>
                <w:sz w:val="20"/>
                <w:szCs w:val="20"/>
                <w:color w:val="auto"/>
              </w:rPr>
            </w:pPr>
            <w:r>
              <w:rPr>
                <w:rFonts w:ascii="Arial" w:cs="Arial" w:eastAsia="Arial" w:hAnsi="Arial"/>
                <w:sz w:val="18"/>
                <w:szCs w:val="18"/>
                <w:color w:val="auto"/>
              </w:rPr>
              <w:t>Chief Operating Officer and Chief Financial Officer</w:t>
            </w:r>
          </w:p>
        </w:tc>
      </w:tr>
    </w:tbl>
    <w:p>
      <w:pPr>
        <w:sectPr>
          <w:pgSz w:w="11900" w:h="16838" w:orient="portrait"/>
          <w:cols w:equalWidth="0" w:num="1">
            <w:col w:w="11340"/>
          </w:cols>
          <w:pgMar w:left="220" w:top="12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Annual Report on Form 10-K for the period ended December 31, 2021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February 16, 2022</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Blank</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Matthew Blank</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20"/>
              <w:spacing w:after="0"/>
              <w:rPr>
                <w:sz w:val="20"/>
                <w:szCs w:val="20"/>
                <w:color w:val="auto"/>
              </w:rPr>
            </w:pPr>
            <w:r>
              <w:rPr>
                <w:rFonts w:ascii="Arial" w:cs="Arial" w:eastAsia="Arial" w:hAnsi="Arial"/>
                <w:sz w:val="18"/>
                <w:szCs w:val="18"/>
                <w:color w:val="auto"/>
              </w:rPr>
              <w:t>February 16, 2022</w:t>
            </w:r>
          </w:p>
        </w:tc>
        <w:tc>
          <w:tcPr>
            <w:tcW w:w="2980" w:type="dxa"/>
            <w:vAlign w:val="bottom"/>
          </w:tcPr>
          <w:p>
            <w:pPr>
              <w:ind w:left="25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r>
        <w:trPr>
          <w:trHeight w:val="176"/>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Chief Operating Officer and Chief Financial</w:t>
            </w:r>
          </w:p>
        </w:tc>
        <w:tc>
          <w:tcPr>
            <w:tcW w:w="2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lvl w:ilvl="1">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lowerRoman"/>
      <w:start w:val="2"/>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Roman"/>
      <w:start w:val="2"/>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21"/>
    </w:lvl>
  </w:abstractNum>
  <w:abstractNum w:abstractNumId="31">
    <w:nsid w:val="2A487CB0"/>
    <w:multiLevelType w:val="hybridMultilevel"/>
    <w:lvl w:ilvl="0">
      <w:lvlJc w:val="left"/>
      <w:lvlText w:val="%1"/>
      <w:numFmt w:val="decimal"/>
      <w:start w:val="32"/>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lvl w:ilvl="1">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1"/>
    </w:lvl>
    <w:lvl w:ilvl="1">
      <w:lvlJc w:val="left"/>
      <w:lvlText w:val="%2."/>
      <w:numFmt w:val="lowerLetter"/>
      <w:start w:val="1"/>
    </w:lvl>
  </w:abstractNum>
  <w:abstractNum w:abstractNumId="40">
    <w:nsid w:val="38437FD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1">
    <w:nsid w:val="7644A45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2">
    <w:nsid w:val="32FFF90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3">
    <w:nsid w:val="684A481A"/>
    <w:multiLevelType w:val="hybridMultilevel"/>
    <w:lvl w:ilvl="0">
      <w:lvlJc w:val="left"/>
      <w:lvlText w:val="%1."/>
      <w:numFmt w:val="decimal"/>
      <w:start w:val="5"/>
    </w:lvl>
  </w:abstractNum>
  <w:abstractNum w:abstractNumId="44">
    <w:nsid w:val="579478FE"/>
    <w:multiLevelType w:val="hybridMultilevel"/>
    <w:lvl w:ilvl="0">
      <w:lvlJc w:val="left"/>
      <w:lvlText w:val="%1."/>
      <w:numFmt w:val="decimal"/>
      <w:start w:val="6"/>
    </w:lvl>
    <w:lvl w:ilvl="1">
      <w:lvlJc w:val="left"/>
      <w:lvlText w:val="%2."/>
      <w:numFmt w:val="lowerLetter"/>
      <w:start w:val="1"/>
    </w:lvl>
  </w:abstractNum>
  <w:abstractNum w:abstractNumId="45">
    <w:nsid w:val="749ABB43"/>
    <w:multiLevelType w:val="hybridMultilevel"/>
    <w:lvl w:ilvl="0">
      <w:lvlJc w:val="left"/>
      <w:lvlText w:val="%1."/>
      <w:numFmt w:val="decimal"/>
      <w:start w:val="12"/>
    </w:lvl>
  </w:abstractNum>
  <w:abstractNum w:abstractNumId="46">
    <w:nsid w:val="3DC240FB"/>
    <w:multiLevelType w:val="hybridMultilevel"/>
    <w:lvl w:ilvl="0">
      <w:lvlJc w:val="left"/>
      <w:lvlText w:val="%1."/>
      <w:numFmt w:val="decimal"/>
      <w:start w:val="18"/>
    </w:lvl>
  </w:abstractNum>
  <w:abstractNum w:abstractNumId="47">
    <w:nsid w:val="1BA026FA"/>
    <w:multiLevelType w:val="hybridMultilevel"/>
    <w:lvl w:ilvl="0">
      <w:lvlJc w:val="left"/>
      <w:lvlText w:val="%1."/>
      <w:numFmt w:val="decimal"/>
      <w:start w:val="25"/>
    </w:lvl>
  </w:abstractNum>
  <w:abstractNum w:abstractNumId="48">
    <w:nsid w:val="79A1DEAA"/>
    <w:multiLevelType w:val="hybridMultilevel"/>
    <w:lvl w:ilvl="0">
      <w:lvlJc w:val="left"/>
      <w:lvlText w:val="(%1)"/>
      <w:numFmt w:val="lowerRoman"/>
      <w:start w:val="2"/>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lowerRoman"/>
      <w:start w:val="3"/>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jpeg"/><Relationship Id="rId97" Type="http://schemas.openxmlformats.org/officeDocument/2006/relationships/hyperlink" Target="http://www.sec.gov/Archives/edgar/data/1514991/000119312518230456/d586184dex21.htm" TargetMode="External"/><Relationship Id="rId98" Type="http://schemas.openxmlformats.org/officeDocument/2006/relationships/hyperlink" Target="http://www.sec.gov/Archives/edgar/data/1514991/000095012311063740/y91900exv99w4.htm" TargetMode="External"/><Relationship Id="rId99" Type="http://schemas.openxmlformats.org/officeDocument/2006/relationships/hyperlink" Target="http://www.sec.gov/Archives/edgar/data/1514991/000095012311063740/y91900exv99w5.htm" TargetMode="External"/><Relationship Id="rId100" Type="http://schemas.openxmlformats.org/officeDocument/2006/relationships/hyperlink" Target="http://www.sec.gov/Archives/edgar/data/1514991/000095012311056616/y91125a5exv3w5.htm" TargetMode="External"/><Relationship Id="rId101" Type="http://schemas.openxmlformats.org/officeDocument/2006/relationships/hyperlink" Target="http://www.sec.gov/Archives/edgar/data/1514991/000095012311056616/y91125a5exv3w6.htm" TargetMode="External"/><Relationship Id="rId102" Type="http://schemas.openxmlformats.org/officeDocument/2006/relationships/hyperlink" Target="http://www.sec.gov/Archives/edgar/data/1514991/000095012311063740/y91900exv99w2.htm" TargetMode="External"/><Relationship Id="rId103" Type="http://schemas.openxmlformats.org/officeDocument/2006/relationships/hyperlink" Target="http://www.sec.gov/Archives/edgar/data/1514991/000119312517240565/d435389dex41.htm" TargetMode="External"/><Relationship Id="rId104" Type="http://schemas.openxmlformats.org/officeDocument/2006/relationships/hyperlink" Target="http://www.sec.gov/Archives/edgar/data/1514991/000119312516523870/d144606dex41.htm" TargetMode="External"/><Relationship Id="rId105" Type="http://schemas.openxmlformats.org/officeDocument/2006/relationships/hyperlink" Target="http://www.sec.gov/Archives/edgar/data/1514991/000119312517240565/d435389dex42.htm" TargetMode="External"/><Relationship Id="rId106" Type="http://schemas.openxmlformats.org/officeDocument/2006/relationships/hyperlink" Target="https://www.sec.gov/Archives/edgar/data/1514991/000119312521032506/d78130dex42.htm" TargetMode="External"/><Relationship Id="rId107" Type="http://schemas.openxmlformats.org/officeDocument/2006/relationships/hyperlink" Target="https://www.sec.gov/Archives/edgar/data/1514991/000151499121000014/amcx-123120xex410.htm" TargetMode="External"/><Relationship Id="rId108" Type="http://schemas.openxmlformats.org/officeDocument/2006/relationships/hyperlink" Target="http://www.sec.gov/Archives/edgar/data/1514991/000095012311056616/y91125a5exv10w2.htm" TargetMode="External"/><Relationship Id="rId109" Type="http://schemas.openxmlformats.org/officeDocument/2006/relationships/hyperlink" Target="http://www.sec.gov/Archives/edgar/data/1514991/000095012311056616/y91125a5exv10w5.htm" TargetMode="External"/><Relationship Id="rId110" Type="http://schemas.openxmlformats.org/officeDocument/2006/relationships/hyperlink" Target="http://www.sec.gov/Archives/edgar/data/1514991/000119312517240565/d435389dex101.htm" TargetMode="External"/><Relationship Id="rId113" Type="http://schemas.openxmlformats.org/officeDocument/2006/relationships/hyperlink" Target="https://www.sec.gov/Archives/edgar/data/1514991/000119312521032506/d78130dex101.htm" TargetMode="External"/><Relationship Id="rId114" Type="http://schemas.openxmlformats.org/officeDocument/2006/relationships/hyperlink" Target="https://www.sec.gov/Archives/edgar/data/1514991/000151499120000033/amcx-6302020xex102.htm" TargetMode="External"/><Relationship Id="rId115" Type="http://schemas.openxmlformats.org/officeDocument/2006/relationships/hyperlink" Target="http://www.sec.gov/Archives/edgar/data/1514991/000095012311056616/y91125a5exv10w13.htm" TargetMode="External"/><Relationship Id="rId116" Type="http://schemas.openxmlformats.org/officeDocument/2006/relationships/hyperlink" Target="https://www.sec.gov/Archives/edgar/data/1514991/000119312520246295/d899294dex101.htm" TargetMode="External"/><Relationship Id="rId117" Type="http://schemas.openxmlformats.org/officeDocument/2006/relationships/hyperlink" Target="https://www.sec.gov/Archives/edgar/data/1514991/000151499121000014/amcx-123120xex109.htm" TargetMode="External"/><Relationship Id="rId118" Type="http://schemas.openxmlformats.org/officeDocument/2006/relationships/hyperlink" Target="https://www.sec.gov/Archives/edgar/data/1514991/000151499121000061/exhibit101.htm" TargetMode="External"/><Relationship Id="rId119" Type="http://schemas.openxmlformats.org/officeDocument/2006/relationships/hyperlink" Target="https://www.sec.gov/Archives/edgar/data/1514991/000151499121000061/exhibit102.htm" TargetMode="External"/><Relationship Id="rId120" Type="http://schemas.openxmlformats.org/officeDocument/2006/relationships/hyperlink" Target="https://www.sec.gov/Archives/edgar/data/1514991/000151499121000061/exhibit103.htm" TargetMode="External"/><Relationship Id="rId121" Type="http://schemas.openxmlformats.org/officeDocument/2006/relationships/hyperlink" Target="http://www.sec.gov/Archives/edgar/data/1514991/000151499116000066/exhibit101.htm" TargetMode="External"/><Relationship Id="rId122" Type="http://schemas.openxmlformats.org/officeDocument/2006/relationships/hyperlink" Target="https://www.sec.gov/Archives/edgar/data/1514991/000151499121000061/exhibit104.htm" TargetMode="External"/><Relationship Id="rId123" Type="http://schemas.openxmlformats.org/officeDocument/2006/relationships/hyperlink" Target="http://www.sec.gov/Archives/edgar/data/1514991/000151499118000024/amcx101218ex-102.htm" TargetMode="External"/><Relationship Id="rId124" Type="http://schemas.openxmlformats.org/officeDocument/2006/relationships/hyperlink" Target="https://www.sec.gov/Archives/edgar/data/1514991/000151499120000038/exhibit101october162020.htm" TargetMode="External"/><Relationship Id="rId125" Type="http://schemas.openxmlformats.org/officeDocument/2006/relationships/hyperlink" Target="https://www.sec.gov/Archives/edgar/data/1514991/000151499121000014/amcx-123120xex1015.htm" TargetMode="External"/><Relationship Id="rId126" Type="http://schemas.openxmlformats.org/officeDocument/2006/relationships/hyperlink" Target="http://www.sec.gov/Archives/edgar/data/1514991/000095012311056616/y91125a5exv10w22.htm" TargetMode="External"/><Relationship Id="rId127" Type="http://schemas.openxmlformats.org/officeDocument/2006/relationships/hyperlink" Target="http://www.sec.gov/Archives/edgar/data/1514991/000119312512347653/d392047dex104.htm" TargetMode="External"/><Relationship Id="rId128" Type="http://schemas.openxmlformats.org/officeDocument/2006/relationships/hyperlink" Target="http://www.sec.gov/Archives/edgar/data/1514991/000151499116000066/exhibit102.htm" TargetMode="External"/><Relationship Id="rId131" Type="http://schemas.openxmlformats.org/officeDocument/2006/relationships/hyperlink" Target="https://www.sec.gov/Archives/edgar/data/1514991/000151499120000033/amcx-6302020xex101.htm" TargetMode="External"/><Relationship Id="rId132" Type="http://schemas.openxmlformats.org/officeDocument/2006/relationships/hyperlink" Target="http://www.sec.gov/Archives/edgar/data/1514991/000119312516561271/d145700ddef14a.htm#toc145700_46" TargetMode="External"/><Relationship Id="rId133" Type="http://schemas.openxmlformats.org/officeDocument/2006/relationships/hyperlink" Target="http://www.sec.gov/Archives/edgar/data/1514991/000151499116000061/amcx-6302016xex101.htm" TargetMode="External"/><Relationship Id="rId134" Type="http://schemas.openxmlformats.org/officeDocument/2006/relationships/hyperlink" Target="http://www.sec.gov/Archives/edgar/data/1514991/000151499118000004/amcx-12312017xex1021.htm" TargetMode="External"/><Relationship Id="rId135" Type="http://schemas.openxmlformats.org/officeDocument/2006/relationships/hyperlink" Target="http://www.sec.gov/Archives/edgar/data/1514991/000151499118000004/amcx-12312017xex1022.htm" TargetMode="External"/><Relationship Id="rId136" Type="http://schemas.openxmlformats.org/officeDocument/2006/relationships/hyperlink" Target="https://www.sec.gov/Archives/edgar/data/1514991/000151499120000018/amcx-3312020xex101.htm" TargetMode="External"/><Relationship Id="rId137" Type="http://schemas.openxmlformats.org/officeDocument/2006/relationships/hyperlink" Target="http://www.sec.gov/Archives/edgar/data/1514991/000151499119000014/amcx-3312019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2022-02-16T16:10:49Z</dcterms:created>
  <dcterms:modified xsi:type="dcterms:W3CDTF">2022-02-16T16:10:49Z</dcterms:modified>
</cp:coreProperties>
</file>