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313055</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127000</wp:posOffset>
            </wp:positionV>
            <wp:extent cx="3533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620" w:hanging="457"/>
        <w:spacing w:after="0"/>
        <w:tabs>
          <w:tab w:leader="none" w:pos="1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8"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For the fiscal year ended December 31, 2018</w:t>
      </w:r>
    </w:p>
    <w:p>
      <w:pPr>
        <w:spacing w:after="0" w:line="31" w:lineRule="exact"/>
        <w:rPr>
          <w:sz w:val="24"/>
          <w:szCs w:val="24"/>
          <w:color w:val="auto"/>
        </w:rPr>
      </w:pPr>
    </w:p>
    <w:p>
      <w:pPr>
        <w:ind w:left="562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1620" w:hanging="457"/>
        <w:spacing w:after="0"/>
        <w:tabs>
          <w:tab w:leader="none" w:pos="1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8" w:lineRule="exact"/>
        <w:rPr>
          <w:sz w:val="24"/>
          <w:szCs w:val="24"/>
          <w:color w:val="auto"/>
        </w:rPr>
      </w:pPr>
    </w:p>
    <w:p>
      <w:pPr>
        <w:ind w:left="3920"/>
        <w:spacing w:after="0"/>
        <w:tabs>
          <w:tab w:leader="none" w:pos="71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208280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201930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11 Penn Plaza, New York, NY</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10001</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32"/>
        </w:trPr>
        <w:tc>
          <w:tcPr>
            <w:tcW w:w="2420" w:type="dxa"/>
            <w:vAlign w:val="bottom"/>
          </w:tcPr>
          <w:p>
            <w:pPr>
              <w:spacing w:after="0"/>
              <w:rPr>
                <w:sz w:val="20"/>
                <w:szCs w:val="20"/>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(212) 324-8500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4"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04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64"/>
        </w:trPr>
        <w:tc>
          <w:tcPr>
            <w:tcW w:w="6400" w:type="dxa"/>
            <w:vAlign w:val="bottom"/>
            <w:gridSpan w:val="3"/>
          </w:tcPr>
          <w:p>
            <w:pPr>
              <w:jc w:val="center"/>
              <w:ind w:right="2780"/>
              <w:spacing w:after="0"/>
              <w:rPr>
                <w:sz w:val="20"/>
                <w:szCs w:val="20"/>
                <w:color w:val="auto"/>
              </w:rPr>
            </w:pPr>
            <w:r>
              <w:rPr>
                <w:rFonts w:ascii="Arial" w:cs="Arial" w:eastAsia="Arial" w:hAnsi="Arial"/>
                <w:sz w:val="18"/>
                <w:szCs w:val="18"/>
                <w:color w:val="auto"/>
                <w:w w:val="89"/>
              </w:rPr>
              <w:t>Class A Common Stock, par value $0.01 per share</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184785</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tabs>
          <w:tab w:leader="none" w:pos="8180" w:val="left"/>
          <w:tab w:leader="none" w:pos="888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20"/>
          </w:cols>
          <w:pgMar w:left="240" w:top="490" w:right="23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(as defined in Exchange Act Rule 12b-2).</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55" w:lineRule="exact"/>
        <w:rPr>
          <w:sz w:val="20"/>
          <w:szCs w:val="20"/>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computed by reference to the closing price of a share of common stock on June 30, 2018 (the last business day of the registrant's most recently completed second fiscal quarter) was approximately $2.7 billion.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February 15, 2019:</w:t>
            </w:r>
          </w:p>
        </w:tc>
        <w:tc>
          <w:tcPr>
            <w:tcW w:w="3280" w:type="dxa"/>
            <w:vAlign w:val="bottom"/>
          </w:tcPr>
          <w:p>
            <w:pPr>
              <w:spacing w:after="0"/>
              <w:rPr>
                <w:sz w:val="20"/>
                <w:szCs w:val="20"/>
                <w:color w:val="auto"/>
              </w:rPr>
            </w:pPr>
          </w:p>
        </w:tc>
      </w:tr>
      <w:tr>
        <w:trPr>
          <w:trHeight w:val="486"/>
        </w:trPr>
        <w:tc>
          <w:tcPr>
            <w:tcW w:w="8040" w:type="dxa"/>
            <w:vAlign w:val="bottom"/>
          </w:tcPr>
          <w:p>
            <w:pPr>
              <w:ind w:left="40"/>
              <w:spacing w:after="0"/>
              <w:rPr>
                <w:sz w:val="20"/>
                <w:szCs w:val="20"/>
                <w:color w:val="auto"/>
              </w:rPr>
            </w:pPr>
            <w:r>
              <w:rPr>
                <w:rFonts w:ascii="Arial" w:cs="Arial" w:eastAsia="Arial" w:hAnsi="Arial"/>
                <w:sz w:val="18"/>
                <w:szCs w:val="18"/>
                <w:color w:val="auto"/>
              </w:rPr>
              <w:t>Class A Common Stock par value $0.01 per share</w:t>
            </w:r>
          </w:p>
        </w:tc>
        <w:tc>
          <w:tcPr>
            <w:tcW w:w="3280" w:type="dxa"/>
            <w:vAlign w:val="bottom"/>
          </w:tcPr>
          <w:p>
            <w:pPr>
              <w:jc w:val="right"/>
              <w:spacing w:after="0"/>
              <w:rPr>
                <w:sz w:val="20"/>
                <w:szCs w:val="20"/>
                <w:color w:val="auto"/>
              </w:rPr>
            </w:pPr>
            <w:r>
              <w:rPr>
                <w:rFonts w:ascii="Arial" w:cs="Arial" w:eastAsia="Arial" w:hAnsi="Arial"/>
                <w:sz w:val="18"/>
                <w:szCs w:val="18"/>
                <w:color w:val="auto"/>
              </w:rPr>
              <w:t>44,730,194</w:t>
            </w: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Class B Common Stock par value $0.01 per share</w:t>
            </w:r>
          </w:p>
        </w:tc>
        <w:tc>
          <w:tcPr>
            <w:tcW w:w="3280" w:type="dxa"/>
            <w:vAlign w:val="bottom"/>
          </w:tcPr>
          <w:p>
            <w:pPr>
              <w:jc w:val="right"/>
              <w:spacing w:after="0"/>
              <w:rPr>
                <w:sz w:val="20"/>
                <w:szCs w:val="20"/>
                <w:color w:val="auto"/>
              </w:rPr>
            </w:pPr>
            <w:r>
              <w:rPr>
                <w:rFonts w:ascii="Arial" w:cs="Arial" w:eastAsia="Arial" w:hAnsi="Arial"/>
                <w:sz w:val="18"/>
                <w:szCs w:val="18"/>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120015</wp:posOffset>
            </wp:positionV>
            <wp:extent cx="3533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information required in Item 10 through Item 14 of Part III of this Annual Report on Form 10-K is incorporated herein by reference to the Registrant's definitive Proxy Statement for its 2019 Annual Meeting of Stockholders, which shall be filed with the Securities and Exchange Commission pursuant to Regulation 14A of the Securities Exchange Act of 1934, as amended, within 120 days of the Registrant's fiscal year end.</w:t>
      </w:r>
    </w:p>
    <w:p>
      <w:pPr>
        <w:sectPr>
          <w:pgSz w:w="11900" w:h="16838" w:orient="portrait"/>
          <w:cols w:equalWidth="0" w:num="1">
            <w:col w:w="11420"/>
          </w:cols>
          <w:pgMar w:left="240" w:top="44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2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r>
      <w:tr>
        <w:trPr>
          <w:trHeight w:val="27"/>
        </w:trPr>
        <w:tc>
          <w:tcPr>
            <w:tcW w:w="1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820" w:type="dxa"/>
            <w:vAlign w:val="bottom"/>
            <w:gridSpan w:val="2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Forward-Looking Statements</w:t>
              </w:r>
            </w:hyperlink>
          </w:p>
        </w:tc>
        <w:tc>
          <w:tcPr>
            <w:tcW w:w="560" w:type="dxa"/>
            <w:vAlign w:val="bottom"/>
            <w:gridSpan w:val="4"/>
          </w:tcPr>
          <w:p>
            <w:pPr>
              <w:jc w:val="right"/>
              <w:ind w:right="20"/>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4</w:t>
              </w:r>
            </w:hyperlink>
          </w:p>
        </w:tc>
      </w:tr>
      <w:tr>
        <w:trPr>
          <w:trHeight w:val="291"/>
        </w:trPr>
        <w:tc>
          <w:tcPr>
            <w:tcW w:w="18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340" w:type="dxa"/>
            <w:vAlign w:val="bottom"/>
            <w:gridSpan w:val="19"/>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5</w:t>
              </w:r>
            </w:hyperlink>
          </w:p>
        </w:tc>
        <w:tc>
          <w:tcPr>
            <w:tcW w:w="20" w:type="dxa"/>
            <w:vAlign w:val="bottom"/>
          </w:tcPr>
          <w:p>
            <w:pPr>
              <w:spacing w:after="0"/>
              <w:rPr>
                <w:sz w:val="19"/>
                <w:szCs w:val="19"/>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08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14</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1B.</w:t>
            </w:r>
          </w:p>
        </w:tc>
        <w:tc>
          <w:tcPr>
            <w:tcW w:w="2040" w:type="dxa"/>
            <w:vAlign w:val="bottom"/>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Unresolved Staff Comments</w:t>
              </w:r>
            </w:hyperlink>
          </w:p>
        </w:tc>
        <w:tc>
          <w:tcPr>
            <w:tcW w:w="6940" w:type="dxa"/>
            <w:vAlign w:val="bottom"/>
            <w:gridSpan w:val="1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26</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6940" w:type="dxa"/>
            <w:vAlign w:val="bottom"/>
            <w:gridSpan w:val="1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26</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898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26</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898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27</w:t>
              </w:r>
            </w:hyperlink>
          </w:p>
        </w:tc>
      </w:tr>
      <w:tr>
        <w:trPr>
          <w:trHeight w:val="29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898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8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92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30</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5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31</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 About Market Risk</w:t>
              </w:r>
            </w:hyperlink>
          </w:p>
        </w:tc>
        <w:tc>
          <w:tcPr>
            <w:tcW w:w="25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54</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8.</w:t>
            </w:r>
          </w:p>
        </w:tc>
        <w:tc>
          <w:tcPr>
            <w:tcW w:w="4280" w:type="dxa"/>
            <w:vAlign w:val="bottom"/>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47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55</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9.</w:t>
            </w:r>
          </w:p>
        </w:tc>
        <w:tc>
          <w:tcPr>
            <w:tcW w:w="898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55</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9A.</w:t>
            </w:r>
          </w:p>
        </w:tc>
        <w:tc>
          <w:tcPr>
            <w:tcW w:w="650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24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55</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72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56</w:t>
              </w:r>
            </w:hyperlink>
          </w:p>
        </w:tc>
      </w:tr>
      <w:tr>
        <w:trPr>
          <w:trHeight w:val="29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10.</w:t>
            </w:r>
          </w:p>
        </w:tc>
        <w:tc>
          <w:tcPr>
            <w:tcW w:w="898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Directors, Executive Officers and Corporate Governance</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11.</w:t>
            </w:r>
          </w:p>
        </w:tc>
        <w:tc>
          <w:tcPr>
            <w:tcW w:w="1800" w:type="dxa"/>
            <w:vAlign w:val="bottom"/>
            <w:gridSpan w:val="9"/>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490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12.</w:t>
            </w:r>
          </w:p>
        </w:tc>
        <w:tc>
          <w:tcPr>
            <w:tcW w:w="898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170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Principal Accounting Fees and Services</w:t>
              </w:r>
            </w:hyperlink>
          </w:p>
        </w:tc>
        <w:tc>
          <w:tcPr>
            <w:tcW w:w="354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57</w:t>
              </w:r>
            </w:hyperlink>
          </w:p>
        </w:tc>
      </w:tr>
      <w:tr>
        <w:trPr>
          <w:trHeight w:val="29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15.</w:t>
            </w:r>
          </w:p>
        </w:tc>
        <w:tc>
          <w:tcPr>
            <w:tcW w:w="2900" w:type="dxa"/>
            <w:vAlign w:val="bottom"/>
            <w:gridSpan w:val="12"/>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Exhibits, Financial Statement Schedules</w:t>
              </w:r>
            </w:hyperlink>
          </w:p>
        </w:tc>
        <w:tc>
          <w:tcPr>
            <w:tcW w:w="6080" w:type="dxa"/>
            <w:vAlign w:val="bottom"/>
            <w:gridSpan w:val="9"/>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58</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0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16.</w:t>
            </w:r>
          </w:p>
        </w:tc>
        <w:tc>
          <w:tcPr>
            <w:tcW w:w="290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Form 10-K Summary</w:t>
              </w:r>
            </w:hyperlink>
          </w:p>
        </w:tc>
        <w:tc>
          <w:tcPr>
            <w:tcW w:w="60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58</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SIGNATURES</w:t>
              </w:r>
            </w:hyperlink>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696"/>
        </w:trPr>
        <w:tc>
          <w:tcPr>
            <w:tcW w:w="11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gridSpan w:val="14"/>
          </w:tcPr>
          <w:p>
            <w:pPr>
              <w:ind w:left="37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35"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our revenues;</w:t>
      </w:r>
    </w:p>
    <w:p>
      <w:pPr>
        <w:spacing w:after="0" w:line="117" w:lineRule="exact"/>
        <w:rPr>
          <w:sz w:val="20"/>
          <w:szCs w:val="20"/>
          <w:color w:val="auto"/>
        </w:rPr>
      </w:pPr>
    </w:p>
    <w:p>
      <w:pPr>
        <w:ind w:left="880" w:hanging="310"/>
        <w:spacing w:after="0" w:line="277" w:lineRule="auto"/>
        <w:rPr>
          <w:sz w:val="20"/>
          <w:szCs w:val="20"/>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62" w:lineRule="exact"/>
        <w:rPr>
          <w:sz w:val="20"/>
          <w:szCs w:val="20"/>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62"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new and proposed federal, state and international laws and regulations relating to data protection, privacy and security, including the E.U. General Data Protection Regulation ("GDPR");</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Brexit, particularly in the event of the U.K.’s departure from the E.U. without an agreement on terms;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820" w:right="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167" w:lineRule="exact"/>
        <w:rPr>
          <w:rFonts w:ascii="Arial" w:cs="Arial" w:eastAsia="Arial" w:hAnsi="Arial"/>
          <w:sz w:val="16"/>
          <w:szCs w:val="16"/>
          <w:color w:val="auto"/>
        </w:rPr>
      </w:pPr>
    </w:p>
    <w:p>
      <w:pPr>
        <w:ind w:left="880" w:hanging="30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this Annual Report.</w:t>
      </w:r>
    </w:p>
    <w:p>
      <w:pPr>
        <w:sectPr>
          <w:pgSz w:w="11900" w:h="16838" w:orient="portrait"/>
          <w:cols w:equalWidth="0" w:num="1">
            <w:col w:w="11420"/>
          </w:cols>
          <w:pgMar w:left="240" w:top="472"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72" w:right="239" w:bottom="1440" w:gutter="0" w:footer="0" w:header="0"/>
          <w:type w:val="continuous"/>
        </w:sectPr>
      </w:pPr>
    </w:p>
    <w:bookmarkStart w:id="4" w:name="page5"/>
    <w:bookmarkEnd w:id="4"/>
    <w:p>
      <w:pPr>
        <w:jc w:val="both"/>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 Our corporate website is http://www.amcnetworks.com and the investor relations section of our website is located at http://investor.amcnetworks.com.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(the "Distribution"), and AMC Networks Inc. became an independent public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AMC Networks is a global entertainment company that operates several of the most recognized brands in television, creating and presenting high quality content and compelling stories to audiences, and a valuable platform for distributors and advertisers. We have operated in the cable programming industry for more than 30 years, and, over this time, we have continually enhanced the value of our network portfolio. Our content spans multiple genres, including drama, comedy, documentary, reality, anthology, feature film and short form. Our programming networks are well known and well regarded by our key constituents — our viewers, distributors and advertisers — and have developed strong followings within their respective targeted demographics, increasing their value to distributors and advertisers.</w:t>
      </w:r>
    </w:p>
    <w:p>
      <w:pPr>
        <w:spacing w:after="0" w:line="1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the United States ("U.S."), our programming networks are AMC, WE tv, BBC AMERICA (operated through a joint venture with the commercial arm of the BBC, IFC and SundanceTV. Each of our programming networks has established itself within its respective markets. Our deep and established presence in the industry and the recognition we have received for our brands through industry awards and other honors lend us a high degree of credibility with distributors and content producers, and help provide us with stable affiliate and studio relationships, advantageous channel placements, heightened viewer engagement and demand for our owned programming for distribution on platforms other than our own. Our networks are also distributed through virtual multi-channel video programming distributors. We either own or license the content we distribute. Through our AMC Studios operation, we are increasing the amount of our owned original programming. Our ability to produce owned high quality content has provided us with the opportunity to distribute such content on platforms other than our domestic networks. Our owned and licensed content is distributed domestically and internationally and on multiple platforms, including linear television, digital services, home video and syndication.</w:t>
      </w:r>
    </w:p>
    <w:p>
      <w:pPr>
        <w:spacing w:after="0" w:line="18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AMC Networks also operates IFC Films, a film distribution business that distributes independent narrative and documentary films under the IFC Films label as well as the Sundance Selects and IFC Midnight distribution labels. IFC Films is known for attracting high-profile talent and distributing films that regularly garner critical acclaim and industry honors, including numerous Oscar- Golden Globe-, and Cannes Film Festival-award winning titles.</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Internationally, we deliver programming that reaches subscribers in more than 130 countries and territories around the world. The international division of the Company, AMC Networks International ("AMCNI"), consists of global brands, including AMC and SundanceTV, in the movie and entertainment programming genres, as well as popular, locally recognized channels in several other programming genres.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also operate and own two subscription streaming services, Sundance Now, launched in 2014, and Shudder, launched in 2015. These services are available in the United States, Canada and parts of Europe. Sundance Now features independent film, TV shows, documentaries, and original series. Shudder is dedicated to films in the horror, suspense and thriller genres. We primarily license content for these services.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5" w:name="page6"/>
    <w:bookmarkEnd w:id="5"/>
    <w:p>
      <w:pPr>
        <w:jc w:val="both"/>
        <w:ind w:firstLine="405"/>
        <w:spacing w:after="0" w:line="264" w:lineRule="auto"/>
        <w:rPr>
          <w:sz w:val="20"/>
          <w:szCs w:val="20"/>
          <w:color w:val="auto"/>
        </w:rPr>
      </w:pPr>
      <w:r>
        <w:rPr>
          <w:rFonts w:ascii="Arial" w:cs="Arial" w:eastAsia="Arial" w:hAnsi="Arial"/>
          <w:sz w:val="18"/>
          <w:szCs w:val="18"/>
          <w:color w:val="auto"/>
        </w:rPr>
        <w:t>During 2018, we acquired controlling interests in RLJ Entertainment, Inc. ("RLJE"), a content distribution company that also includes the subscription streaming services Acorn TV and Urban Movie Channel ("UMC"); and Levity Entertainment Group LLC ("Levity"), a production services and comedy venues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strategy is to maintain and improve our position as a leading entertainment company by creating and presenting content that is high-quality, brand defining and compelling to watch, and by owning and operating some of the most popular and award-winning brands in television that create engagement with audiences globally across multiple distribution platforms. The key focuses of our strategy are:</w:t>
      </w:r>
    </w:p>
    <w:p>
      <w:pPr>
        <w:spacing w:after="0" w:line="181" w:lineRule="exact"/>
        <w:rPr>
          <w:sz w:val="20"/>
          <w:szCs w:val="20"/>
          <w:color w:val="auto"/>
        </w:rPr>
      </w:pPr>
    </w:p>
    <w:p>
      <w:pPr>
        <w:jc w:val="both"/>
        <w:ind w:left="340" w:firstLine="486"/>
        <w:spacing w:after="0" w:line="276" w:lineRule="auto"/>
        <w:rPr>
          <w:sz w:val="20"/>
          <w:szCs w:val="20"/>
          <w:color w:val="auto"/>
        </w:rPr>
      </w:pPr>
      <w:r>
        <w:rPr>
          <w:rFonts w:ascii="Arial" w:cs="Arial" w:eastAsia="Arial" w:hAnsi="Arial"/>
          <w:sz w:val="17"/>
          <w:szCs w:val="17"/>
          <w:i w:val="1"/>
          <w:iCs w:val="1"/>
          <w:color w:val="auto"/>
        </w:rPr>
        <w:t>Continued Development of High-Quality Original Programming</w:t>
      </w:r>
      <w:r>
        <w:rPr>
          <w:rFonts w:ascii="Arial" w:cs="Arial" w:eastAsia="Arial" w:hAnsi="Arial"/>
          <w:sz w:val="17"/>
          <w:szCs w:val="17"/>
          <w:color w:val="auto"/>
        </w:rPr>
        <w:t>. We intend to continue developing strong original programming across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programming networks to further enhance our brands, strengthen our relationships with our viewers, distributors and advertisers, and increase distribution and audience ratings. We intend to continue to seek increased distribution of our national networks to grow distribution and advertising revenues. We believe that our continued investment in original programming supports future growth in distribution and advertising revenue. We also intend to continue to expand the exploitation of our original programming across multiple distribution platforms.</w:t>
      </w:r>
    </w:p>
    <w:p>
      <w:pPr>
        <w:spacing w:after="0" w:line="173" w:lineRule="exact"/>
        <w:rPr>
          <w:sz w:val="20"/>
          <w:szCs w:val="20"/>
          <w:color w:val="auto"/>
        </w:rPr>
      </w:pPr>
    </w:p>
    <w:p>
      <w:pPr>
        <w:jc w:val="both"/>
        <w:ind w:left="340" w:firstLine="486"/>
        <w:spacing w:after="0" w:line="257" w:lineRule="auto"/>
        <w:rPr>
          <w:sz w:val="20"/>
          <w:szCs w:val="20"/>
          <w:color w:val="auto"/>
        </w:rPr>
      </w:pPr>
      <w:r>
        <w:rPr>
          <w:rFonts w:ascii="Arial" w:cs="Arial" w:eastAsia="Arial" w:hAnsi="Arial"/>
          <w:sz w:val="18"/>
          <w:szCs w:val="18"/>
          <w:i w:val="1"/>
          <w:iCs w:val="1"/>
          <w:color w:val="auto"/>
        </w:rPr>
        <w:t>Increased Control of Content</w:t>
      </w:r>
      <w:r>
        <w:rPr>
          <w:rFonts w:ascii="Arial" w:cs="Arial" w:eastAsia="Arial" w:hAnsi="Arial"/>
          <w:sz w:val="18"/>
          <w:szCs w:val="18"/>
          <w:color w:val="auto"/>
        </w:rPr>
        <w:t>. We believe that control (including long-term contractual arrangements) and ownership of content is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AMC Studios operation, we intend to increase our control position over our programming content. We currently control, own or have long-term license agreements covering significant portions of our content across our programming networks, RLJE and our independent film distribution business operated by IFC Films. We intend to continue to focus on obtaining the broadest possible control rights (both as to territory and platforms) for our content.</w:t>
      </w:r>
    </w:p>
    <w:p>
      <w:pPr>
        <w:spacing w:after="0" w:line="188" w:lineRule="exact"/>
        <w:rPr>
          <w:sz w:val="20"/>
          <w:szCs w:val="20"/>
          <w:color w:val="auto"/>
        </w:rPr>
      </w:pPr>
    </w:p>
    <w:p>
      <w:pPr>
        <w:jc w:val="both"/>
        <w:ind w:left="340" w:firstLine="486"/>
        <w:spacing w:after="0" w:line="255" w:lineRule="auto"/>
        <w:rPr>
          <w:sz w:val="20"/>
          <w:szCs w:val="20"/>
          <w:color w:val="auto"/>
        </w:rPr>
      </w:pPr>
      <w:r>
        <w:rPr>
          <w:rFonts w:ascii="Arial" w:cs="Arial" w:eastAsia="Arial" w:hAnsi="Arial"/>
          <w:sz w:val="18"/>
          <w:szCs w:val="18"/>
          <w:i w:val="1"/>
          <w:iCs w:val="1"/>
          <w:color w:val="auto"/>
        </w:rPr>
        <w:t>Exploitation of Other Media Platforms</w:t>
      </w:r>
      <w:r>
        <w:rPr>
          <w:rFonts w:ascii="Arial" w:cs="Arial" w:eastAsia="Arial" w:hAnsi="Arial"/>
          <w:sz w:val="18"/>
          <w:szCs w:val="18"/>
          <w:color w:val="auto"/>
        </w:rPr>
        <w:t>. The technological landscape of the distribution of entertainment content has expanded to include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media platforms. We distribute our content across many of these platforms, when it makes business sense to do so, so that our viewers can access our content where, when and how they want it. To that end, our programming networks are allowing many of our distributors to offer our content to subscribers on computers and other digital devices, and on video on demand platforms, all of which permit subscribers to access programs at their convenience. We also make certain of our content available on subscription video on demand (SVOD) services or digital platform providers, such as Netflix, Hulu, and Amazon Prime, electronic-sell-through (EST) and physical (DVD and Blu-ray) formats, as well as our subscription streaming services, Sundance Now, Shudder, Acorn TV and UMC.</w:t>
      </w:r>
    </w:p>
    <w:p>
      <w:pPr>
        <w:spacing w:after="0" w:line="189" w:lineRule="exact"/>
        <w:rPr>
          <w:sz w:val="20"/>
          <w:szCs w:val="20"/>
          <w:color w:val="auto"/>
        </w:rPr>
      </w:pPr>
    </w:p>
    <w:p>
      <w:pPr>
        <w:jc w:val="both"/>
        <w:ind w:left="340" w:firstLine="486"/>
        <w:spacing w:after="0" w:line="286" w:lineRule="auto"/>
        <w:rPr>
          <w:sz w:val="20"/>
          <w:szCs w:val="20"/>
          <w:color w:val="auto"/>
        </w:rPr>
      </w:pPr>
      <w:r>
        <w:rPr>
          <w:rFonts w:ascii="Arial" w:cs="Arial" w:eastAsia="Arial" w:hAnsi="Arial"/>
          <w:sz w:val="17"/>
          <w:szCs w:val="17"/>
          <w:i w:val="1"/>
          <w:iCs w:val="1"/>
          <w:color w:val="auto"/>
        </w:rPr>
        <w:t>Growth of Advertising Revenue</w:t>
      </w:r>
      <w:r>
        <w:rPr>
          <w:rFonts w:ascii="Arial" w:cs="Arial" w:eastAsia="Arial" w:hAnsi="Arial"/>
          <w:sz w:val="17"/>
          <w:szCs w:val="17"/>
          <w:color w:val="auto"/>
        </w:rPr>
        <w:t>. We continue to evolve the programming on each of our networks to achieve even stronger viewer engagement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their respective core targeted demographics, thereby increasing the value of our programming to advertisers and allowing us to obtain higher advertising rates. We are continuing to seek additional advertising revenue through higher Nielsen ratings in desirable demographics.</w:t>
      </w:r>
    </w:p>
    <w:p>
      <w:pPr>
        <w:spacing w:after="0" w:line="166" w:lineRule="exact"/>
        <w:rPr>
          <w:sz w:val="20"/>
          <w:szCs w:val="20"/>
          <w:color w:val="auto"/>
        </w:rPr>
      </w:pPr>
    </w:p>
    <w:p>
      <w:pPr>
        <w:jc w:val="both"/>
        <w:ind w:left="340" w:firstLine="486"/>
        <w:spacing w:after="0" w:line="259" w:lineRule="auto"/>
        <w:rPr>
          <w:sz w:val="20"/>
          <w:szCs w:val="20"/>
          <w:color w:val="auto"/>
        </w:rPr>
      </w:pPr>
      <w:r>
        <w:rPr>
          <w:rFonts w:ascii="Arial" w:cs="Arial" w:eastAsia="Arial" w:hAnsi="Arial"/>
          <w:sz w:val="18"/>
          <w:szCs w:val="18"/>
          <w:i w:val="1"/>
          <w:iCs w:val="1"/>
          <w:color w:val="auto"/>
        </w:rPr>
        <w:t>Increased Global Distribution</w:t>
      </w:r>
      <w:r>
        <w:rPr>
          <w:rFonts w:ascii="Arial" w:cs="Arial" w:eastAsia="Arial" w:hAnsi="Arial"/>
          <w:sz w:val="18"/>
          <w:szCs w:val="18"/>
          <w:color w:val="auto"/>
        </w:rPr>
        <w:t>. We distribute our programming networks around the globe. We first expanded beyond the U.S. market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launch in Canada of IFC (in 2001) and AMC (in 2006), and SundanceTV in Europe (in 2010). In 2014, AMC was launched internationally and is now available in more than 110 countries. Additionally, SundanceTV has expanded its distribution to over 70 countries. One or more of AMC Networks International's channels are available in more than 130 countries and territories worldwide.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earn revenue principally from the distribution of our programming and the sale of advertising. Distribution revenues primarily include fees paid by distributors to carry our programming networks as well as revenue earned from the licensing of original programming for digital, international and home video distribution. In 2018, distribution revenues and advertising sales accounted for 65% and 35% of our consolidated revenues, net, respectively. For the year ended December 31, 2018, one customer in our National Networks segment, AT&amp;T Inc., accounted for greater than 10% of our consolidated revenues,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Revenue</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Our programming networks are distributed to our viewing audience throughout the U.S. and around the world via cable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multichannel video programming distribution platforms, including direct broadcast satellite ("DBS"), platforms operated by telecommunications providers and virtual multichannel video programming distributors (collectively "distributors") pursuant to agreements with the distributors.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These agreements also give us the right to sell a specific amount of advertising time on our programming networks. Our programming networks' existing distribution agreements expire at various dates through 2026.</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6" w:name="page7"/>
    <w:bookmarkEnd w:id="6"/>
    <w:p>
      <w:pPr>
        <w:jc w:val="both"/>
        <w:ind w:firstLine="405"/>
        <w:spacing w:after="0" w:line="276" w:lineRule="auto"/>
        <w:rPr>
          <w:sz w:val="20"/>
          <w:szCs w:val="20"/>
          <w:color w:val="auto"/>
        </w:rPr>
      </w:pPr>
      <w:r>
        <w:rPr>
          <w:rFonts w:ascii="Arial" w:cs="Arial" w:eastAsia="Arial" w:hAnsi="Arial"/>
          <w:sz w:val="17"/>
          <w:szCs w:val="17"/>
          <w:color w:val="auto"/>
        </w:rPr>
        <w:t>We frequently negotiate with distributors in an effort to increase the subscriber base for our networks. We have in some instances made upfront payments to distributors in exchange for these additional subscribers. We also may help fund the distributors' efforts to market our programming networks or we may permit distributors to offer limited promotional periods without payment of subscriber fees. As we continue our efforts to add subscribers, our subscriber revenue may be negatively affected by such deferred carriage fee arrangements, discounted subscriber fees and other payments, however, we believe that these transactions generate a positive return on investment over the contract period.</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Content licensing revenue: </w:t>
      </w:r>
      <w:r>
        <w:rPr>
          <w:rFonts w:ascii="Arial" w:cs="Arial" w:eastAsia="Arial" w:hAnsi="Arial"/>
          <w:sz w:val="18"/>
          <w:szCs w:val="18"/>
          <w:color w:val="auto"/>
        </w:rPr>
        <w:t>We sell rights to our owned original programming and content acquired under long-term distribution arrangements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in a variety of forms including television markets worldwide, SVOD services or digital platform providers, such as Netflix, Hulu, and Amazon Prime, electronic-sell-through (EST) and physical (DVD and Blu-ray) formats.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Revenue</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earn advertising revenue by selling advertising time on our programming networks. In the U.S., we sell advertising time in both the upfront and scatter markets. In the upfront market, advertisers buy advertising time for the upcoming season, and by purchasing in advance, often receive discounted rates. In the scatter market, advertisers buy advertising time close to the time when the commercials will be run, and often pay a premium. The mix between the upfront and scatter markets is based upon a number of factors, such as pricing, demand for advertising time and economic conditions. Internationally, advertising markets vary by jurisdiction. The majority of international advertising is sold close to the time when the commercials will be run (similar to the U.S. scatter market) and are generally represented by third-party sales agents.</w:t>
      </w:r>
    </w:p>
    <w:p>
      <w:pPr>
        <w:spacing w:after="0" w:line="1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arrangements with advertisers provide for a set number of advertising units to air over a specific period of time at a negotiated price per unit. In most domestic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 additional advertising unit or the guarantee obligation contractually expires. In the U.S., most of our advertising revenues vary based upon the popularity of our programming as measured by Nielsen. In addition to the Nielsen rating, our advertising rates are also influenced by the demographic mix of our viewing audiences, since advertisers tend to pay premium rates for more desirable demographic groups of viewers.</w:t>
      </w:r>
    </w:p>
    <w:p>
      <w:pPr>
        <w:spacing w:after="0" w:line="17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have advertisers representing companies in a broad range of sectors, including automotive, restaurants/food, health, and telecommunications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obtain programming through a combination of development, production and licensing; and we distribute programming directly to consumers in the U.S. and throughout the world through our programming networks, digital and other forms of distribution and theatrical release of our IFC Films acquired content. Our programming includes original programming that we control, either through outright ownership or through long-term licensing arrangements, as well as acquired programming that we license from studios and other rights holders. Since our founding in 1980, we have been a pioneer in the cable television programming industry, having created or developed some of the industry's leading programming networks, with a focus on programming of film and original productions. Certain of our programming networks feature original programming that includes critically-acclaimed original scripted dramatic series.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Programming</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contract with some of the industry's leading production companies to produce most of the original programming that appears on our programming networks. These contractual arrangements either provide us with outright ownership of the programming, in which case we hold all programming and other rights to the content, or they consist of long-term licensing arrangements, which provide us with exclusive rights to exhibit the content on our programming networks, but may be limited in terms of specific geographic markets or distribution platforms. The license agreements are typically of multi-season duration and provide us with a right of first negotiation or a right of first refusal on the renewal of the license for additional programming seasons.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increasingly produce original programming through our AMC Studios operation, primarily for our programming networks and also for license to third-parties worldwide. Decisions as to how to distribute programming are made on the basis of a variety of factors including the relative value of any particular alternative.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Programming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majority of the content on our programming networks consists of films, episodic series and specials that we acquire pursuant to rights agreements with film studios, production companies or other rights holders. This acquired programming includes episodic series such as </w:t>
      </w:r>
      <w:r>
        <w:rPr>
          <w:rFonts w:ascii="Arial" w:cs="Arial" w:eastAsia="Arial" w:hAnsi="Arial"/>
          <w:sz w:val="18"/>
          <w:szCs w:val="18"/>
          <w:i w:val="1"/>
          <w:iCs w:val="1"/>
          <w:color w:val="auto"/>
        </w:rPr>
        <w:t>Law and Order, The X-Files,</w:t>
      </w:r>
      <w:r>
        <w:rPr>
          <w:rFonts w:ascii="Arial" w:cs="Arial" w:eastAsia="Arial" w:hAnsi="Arial"/>
          <w:sz w:val="18"/>
          <w:szCs w:val="18"/>
          <w:color w:val="auto"/>
        </w:rPr>
        <w:t xml:space="preserve"> </w:t>
      </w:r>
      <w:r>
        <w:rPr>
          <w:rFonts w:ascii="Arial" w:cs="Arial" w:eastAsia="Arial" w:hAnsi="Arial"/>
          <w:sz w:val="18"/>
          <w:szCs w:val="18"/>
          <w:i w:val="1"/>
          <w:iCs w:val="1"/>
          <w:color w:val="auto"/>
        </w:rPr>
        <w:t>Criminal Minds, CSI: Miami</w:t>
      </w:r>
      <w:r>
        <w:rPr>
          <w:rFonts w:ascii="Arial" w:cs="Arial" w:eastAsia="Arial" w:hAnsi="Arial"/>
          <w:sz w:val="18"/>
          <w:szCs w:val="18"/>
          <w:color w:val="auto"/>
        </w:rPr>
        <w:t>,</w:t>
      </w:r>
      <w:r>
        <w:rPr>
          <w:rFonts w:ascii="Arial" w:cs="Arial" w:eastAsia="Arial" w:hAnsi="Arial"/>
          <w:sz w:val="18"/>
          <w:szCs w:val="18"/>
          <w:i w:val="1"/>
          <w:iCs w:val="1"/>
          <w:color w:val="auto"/>
        </w:rPr>
        <w:t xml:space="preserve"> Two and a Half Men </w:t>
      </w:r>
      <w:r>
        <w:rPr>
          <w:rFonts w:ascii="Arial" w:cs="Arial" w:eastAsia="Arial" w:hAnsi="Arial"/>
          <w:sz w:val="18"/>
          <w:szCs w:val="18"/>
          <w:color w:val="auto"/>
        </w:rPr>
        <w:t>and</w:t>
      </w:r>
      <w:r>
        <w:rPr>
          <w:rFonts w:ascii="Arial" w:cs="Arial" w:eastAsia="Arial" w:hAnsi="Arial"/>
          <w:sz w:val="18"/>
          <w:szCs w:val="18"/>
          <w:i w:val="1"/>
          <w:iCs w:val="1"/>
          <w:color w:val="auto"/>
        </w:rPr>
        <w:t xml:space="preserve"> Batman</w:t>
      </w:r>
      <w:r>
        <w:rPr>
          <w:rFonts w:ascii="Arial" w:cs="Arial" w:eastAsia="Arial" w:hAnsi="Arial"/>
          <w:sz w:val="18"/>
          <w:szCs w:val="18"/>
          <w:color w:val="auto"/>
        </w:rPr>
        <w:t>, as well as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an extensive film library. The rights agreements for this content are of varying duration and generally permit our programming networks to carry these series, films and other programming during certain window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980" w:hanging="486"/>
        <w:spacing w:after="0" w:line="257"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Our national programming networks are AMC, WE tv, BBC AMERICA, IFC, and SundanceTV in the U.S.; and AMC and IFC in Canada. Our AMC Studios operations produce original programming for our programming networks and also license such program rights worldwide. AMC Networks Broadcasting &amp; Technology is our technical services business, which primarily services most of the national programming networks.</w:t>
      </w:r>
    </w:p>
    <w:p>
      <w:pPr>
        <w:spacing w:after="0" w:line="188" w:lineRule="exact"/>
        <w:rPr>
          <w:rFonts w:ascii="Arial" w:cs="Arial" w:eastAsia="Arial" w:hAnsi="Arial"/>
          <w:sz w:val="18"/>
          <w:szCs w:val="18"/>
          <w:i w:val="1"/>
          <w:iCs w:val="1"/>
          <w:color w:val="auto"/>
        </w:rPr>
      </w:pPr>
    </w:p>
    <w:p>
      <w:pPr>
        <w:jc w:val="both"/>
        <w:ind w:left="980" w:hanging="486"/>
        <w:spacing w:after="0" w:line="257"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AMCNI, the Company's international programming businesses consisting of a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in over 130 countries and territories around the world; IFC Films, the Company's independent film distribution business; Levity, acquired April 20, 2018, our production services and comedy venues company; RLJE, acquired October 1, 2018, a content distribution company that also includes the subscription streaming services Acorn TV and UMC, and our wholly-owned subscription streaming services, Shudder and Sundance Now.</w:t>
      </w:r>
    </w:p>
    <w:p>
      <w:pPr>
        <w:spacing w:after="0" w:line="18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 financial information of the Company by operating segment, see Item 7, "Management's Discussion and Analysis of Financial Condition and Results of Operations — Consolidated Results of Operations" and Note 24 to the accompanying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Networks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AMC</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AMC is home to some of the most popular and acclaimed programs on television. The network's series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is the highest-rated series in cable television history. Launched in 1984, AMC helped usher in what is commonly referred to as the current "golden age of television," with its debut of </w:t>
      </w:r>
      <w:r>
        <w:rPr>
          <w:rFonts w:ascii="Arial" w:cs="Arial" w:eastAsia="Arial" w:hAnsi="Arial"/>
          <w:sz w:val="18"/>
          <w:szCs w:val="18"/>
          <w:i w:val="1"/>
          <w:iCs w:val="1"/>
          <w:color w:val="auto"/>
        </w:rPr>
        <w:t>Mad Men</w:t>
      </w:r>
      <w:r>
        <w:rPr>
          <w:rFonts w:ascii="Arial" w:cs="Arial" w:eastAsia="Arial" w:hAnsi="Arial"/>
          <w:sz w:val="18"/>
          <w:szCs w:val="18"/>
          <w:color w:val="auto"/>
        </w:rPr>
        <w:t xml:space="preserve"> in 2007 and </w:t>
      </w:r>
      <w:r>
        <w:rPr>
          <w:rFonts w:ascii="Arial" w:cs="Arial" w:eastAsia="Arial" w:hAnsi="Arial"/>
          <w:sz w:val="18"/>
          <w:szCs w:val="18"/>
          <w:i w:val="1"/>
          <w:iCs w:val="1"/>
          <w:color w:val="auto"/>
        </w:rPr>
        <w:t>Breaking Bad</w:t>
      </w:r>
      <w:r>
        <w:rPr>
          <w:rFonts w:ascii="Arial" w:cs="Arial" w:eastAsia="Arial" w:hAnsi="Arial"/>
          <w:sz w:val="18"/>
          <w:szCs w:val="18"/>
          <w:color w:val="auto"/>
        </w:rPr>
        <w:t xml:space="preserve"> in 2008. Both series are among the most critically acclaimed and awarded series in the history of television. AMC became the first basic cable network to win the Emmy® Award for Outstanding Drama Series with </w:t>
      </w:r>
      <w:r>
        <w:rPr>
          <w:rFonts w:ascii="Arial" w:cs="Arial" w:eastAsia="Arial" w:hAnsi="Arial"/>
          <w:sz w:val="18"/>
          <w:szCs w:val="18"/>
          <w:i w:val="1"/>
          <w:iCs w:val="1"/>
          <w:color w:val="auto"/>
        </w:rPr>
        <w:t>Mad Men</w:t>
      </w:r>
      <w:r>
        <w:rPr>
          <w:rFonts w:ascii="Arial" w:cs="Arial" w:eastAsia="Arial" w:hAnsi="Arial"/>
          <w:sz w:val="18"/>
          <w:szCs w:val="18"/>
          <w:color w:val="auto"/>
        </w:rPr>
        <w:t xml:space="preserve"> in 2008, which then went on to win four years in a row before </w:t>
      </w:r>
      <w:r>
        <w:rPr>
          <w:rFonts w:ascii="Arial" w:cs="Arial" w:eastAsia="Arial" w:hAnsi="Arial"/>
          <w:sz w:val="18"/>
          <w:szCs w:val="18"/>
          <w:i w:val="1"/>
          <w:iCs w:val="1"/>
          <w:color w:val="auto"/>
        </w:rPr>
        <w:t>Breaking Bad</w:t>
      </w:r>
      <w:r>
        <w:rPr>
          <w:rFonts w:ascii="Arial" w:cs="Arial" w:eastAsia="Arial" w:hAnsi="Arial"/>
          <w:sz w:val="18"/>
          <w:szCs w:val="18"/>
          <w:color w:val="auto"/>
        </w:rPr>
        <w:t xml:space="preserve"> followed shortly thereafter by winning in 2013 and 2014.</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AMC's current slate has a range of popular and critically-lauded series including </w:t>
      </w:r>
      <w:r>
        <w:rPr>
          <w:rFonts w:ascii="Arial" w:cs="Arial" w:eastAsia="Arial" w:hAnsi="Arial"/>
          <w:sz w:val="17"/>
          <w:szCs w:val="17"/>
          <w:i w:val="1"/>
          <w:iCs w:val="1"/>
          <w:color w:val="auto"/>
        </w:rPr>
        <w:t>The Walking Dead, Better Call Saul</w:t>
      </w:r>
      <w:r>
        <w:rPr>
          <w:rFonts w:ascii="Arial" w:cs="Arial" w:eastAsia="Arial" w:hAnsi="Arial"/>
          <w:sz w:val="17"/>
          <w:szCs w:val="17"/>
          <w:color w:val="auto"/>
        </w:rPr>
        <w:t xml:space="preserve">,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Terror, Into the Badlands, Preacher, The Son, McMafia, Lodge 49</w:t>
      </w:r>
      <w:r>
        <w:rPr>
          <w:rFonts w:ascii="Arial" w:cs="Arial" w:eastAsia="Arial" w:hAnsi="Arial"/>
          <w:sz w:val="17"/>
          <w:szCs w:val="17"/>
          <w:color w:val="auto"/>
        </w:rPr>
        <w:t>, as well as the forthcoming</w:t>
      </w:r>
      <w:r>
        <w:rPr>
          <w:rFonts w:ascii="Arial" w:cs="Arial" w:eastAsia="Arial" w:hAnsi="Arial"/>
          <w:sz w:val="17"/>
          <w:szCs w:val="17"/>
          <w:i w:val="1"/>
          <w:iCs w:val="1"/>
          <w:color w:val="auto"/>
        </w:rPr>
        <w:t xml:space="preserve"> NOS4A2</w:t>
      </w:r>
      <w:r>
        <w:rPr>
          <w:rFonts w:ascii="Arial" w:cs="Arial" w:eastAsia="Arial" w:hAnsi="Arial"/>
          <w:sz w:val="17"/>
          <w:szCs w:val="17"/>
          <w:color w:val="auto"/>
        </w:rPr>
        <w:t>. AMC is also home to original unscripted shows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w:t>
      </w:r>
      <w:r>
        <w:rPr>
          <w:rFonts w:ascii="Arial" w:cs="Arial" w:eastAsia="Arial" w:hAnsi="Arial"/>
          <w:sz w:val="17"/>
          <w:szCs w:val="17"/>
          <w:i w:val="1"/>
          <w:iCs w:val="1"/>
          <w:color w:val="auto"/>
        </w:rPr>
        <w:t>Ride with Norman Reedus</w:t>
      </w:r>
      <w:r>
        <w:rPr>
          <w:rFonts w:ascii="Arial" w:cs="Arial" w:eastAsia="Arial" w:hAnsi="Arial"/>
          <w:sz w:val="17"/>
          <w:szCs w:val="17"/>
          <w:color w:val="auto"/>
        </w:rPr>
        <w:t xml:space="preserve">. AMC has also launched a year-round documentary series "AMC Visionaries," partnering with prolific artists to unveil the untold stories and fascinating histories of pop culture genres from the masters themselves. The first three installments include Robert Kirkman's </w:t>
      </w:r>
      <w:r>
        <w:rPr>
          <w:rFonts w:ascii="Arial" w:cs="Arial" w:eastAsia="Arial" w:hAnsi="Arial"/>
          <w:sz w:val="17"/>
          <w:szCs w:val="17"/>
          <w:i w:val="1"/>
          <w:iCs w:val="1"/>
          <w:color w:val="auto"/>
        </w:rPr>
        <w:t>Secret History of Comics</w:t>
      </w:r>
      <w:r>
        <w:rPr>
          <w:rFonts w:ascii="Arial" w:cs="Arial" w:eastAsia="Arial" w:hAnsi="Arial"/>
          <w:sz w:val="17"/>
          <w:szCs w:val="17"/>
          <w:color w:val="auto"/>
        </w:rPr>
        <w:t xml:space="preserve">, James Cameron's </w:t>
      </w:r>
      <w:r>
        <w:rPr>
          <w:rFonts w:ascii="Arial" w:cs="Arial" w:eastAsia="Arial" w:hAnsi="Arial"/>
          <w:sz w:val="17"/>
          <w:szCs w:val="17"/>
          <w:i w:val="1"/>
          <w:iCs w:val="1"/>
          <w:color w:val="auto"/>
        </w:rPr>
        <w:t>Story Of Science Fiction</w:t>
      </w:r>
      <w:r>
        <w:rPr>
          <w:rFonts w:ascii="Arial" w:cs="Arial" w:eastAsia="Arial" w:hAnsi="Arial"/>
          <w:sz w:val="17"/>
          <w:szCs w:val="17"/>
          <w:color w:val="auto"/>
        </w:rPr>
        <w:t xml:space="preserve"> and Eli Roth’s </w:t>
      </w:r>
      <w:r>
        <w:rPr>
          <w:rFonts w:ascii="Arial" w:cs="Arial" w:eastAsia="Arial" w:hAnsi="Arial"/>
          <w:sz w:val="17"/>
          <w:szCs w:val="17"/>
          <w:i w:val="1"/>
          <w:iCs w:val="1"/>
          <w:color w:val="auto"/>
        </w:rPr>
        <w:t>History of Horror</w:t>
      </w:r>
      <w:r>
        <w:rPr>
          <w:rFonts w:ascii="Arial" w:cs="Arial" w:eastAsia="Arial" w:hAnsi="Arial"/>
          <w:sz w:val="17"/>
          <w:szCs w:val="17"/>
          <w:color w:val="auto"/>
        </w:rPr>
        <w:t>.</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AMC is currently in production on the second season of the critically-acclaimed, Ridley Scott-produced anthology series, </w:t>
      </w:r>
      <w:r>
        <w:rPr>
          <w:rFonts w:ascii="Arial" w:cs="Arial" w:eastAsia="Arial" w:hAnsi="Arial"/>
          <w:sz w:val="18"/>
          <w:szCs w:val="18"/>
          <w:i w:val="1"/>
          <w:iCs w:val="1"/>
          <w:color w:val="auto"/>
        </w:rPr>
        <w:t>The Terror,</w:t>
      </w:r>
      <w:r>
        <w:rPr>
          <w:rFonts w:ascii="Arial" w:cs="Arial" w:eastAsia="Arial" w:hAnsi="Arial"/>
          <w:sz w:val="18"/>
          <w:szCs w:val="18"/>
          <w:color w:val="auto"/>
        </w:rPr>
        <w:t xml:space="preserve"> and has also greenlit a new series, </w:t>
      </w:r>
      <w:r>
        <w:rPr>
          <w:rFonts w:ascii="Arial" w:cs="Arial" w:eastAsia="Arial" w:hAnsi="Arial"/>
          <w:sz w:val="18"/>
          <w:szCs w:val="18"/>
          <w:i w:val="1"/>
          <w:iCs w:val="1"/>
          <w:color w:val="auto"/>
        </w:rPr>
        <w:t>Dispatches From Elsewhere</w:t>
      </w:r>
      <w:r>
        <w:rPr>
          <w:rFonts w:ascii="Arial" w:cs="Arial" w:eastAsia="Arial" w:hAnsi="Arial"/>
          <w:sz w:val="18"/>
          <w:szCs w:val="18"/>
          <w:color w:val="auto"/>
        </w:rPr>
        <w:t>, created by and starring Jason Segel, who will executive produce with Scott Rudin, Eli Bush and Garrett Basch.</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AMC recently announced the first projects in development for The Walking Dead Universe. A series of AMC Studios Original Films, starring Andrew Lincoln and written by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Chief Content Officer Scott Gimple, are planned to continue the story of Rick Grimes. As part of Gimple’s multi-year plan for The Walking Dead Universe, there are other projects currently in development, including additional films, specials, series, digital content and more.</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addition, the network has created AMC Premiere, an upgrade for viewers who want a premium AMC experience. A first-of-its-kind offering for viewers who receive AMC as part of their television service, AMC Premiere provides commercial-free viewing of in-season original AMC series, such as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Walking Dead </w:t>
      </w:r>
      <w:r>
        <w:rPr>
          <w:rFonts w:ascii="Arial" w:cs="Arial" w:eastAsia="Arial" w:hAnsi="Arial"/>
          <w:sz w:val="18"/>
          <w:szCs w:val="18"/>
          <w:color w:val="auto"/>
        </w:rPr>
        <w:t>and</w:t>
      </w:r>
      <w:r>
        <w:rPr>
          <w:rFonts w:ascii="Arial" w:cs="Arial" w:eastAsia="Arial" w:hAnsi="Arial"/>
          <w:sz w:val="18"/>
          <w:szCs w:val="18"/>
          <w:i w:val="1"/>
          <w:iCs w:val="1"/>
          <w:color w:val="auto"/>
        </w:rPr>
        <w:t xml:space="preserve"> Preacher</w:t>
      </w:r>
      <w:r>
        <w:rPr>
          <w:rFonts w:ascii="Arial" w:cs="Arial" w:eastAsia="Arial" w:hAnsi="Arial"/>
          <w:sz w:val="18"/>
          <w:szCs w:val="18"/>
          <w:color w:val="auto"/>
        </w:rPr>
        <w:t>, as well as exclusive and first-look content, extended episodes, curated movies, the ability to binge certain shows ahead of linear</w:t>
      </w:r>
      <w:r>
        <w:rPr>
          <w:rFonts w:ascii="Arial" w:cs="Arial" w:eastAsia="Arial" w:hAnsi="Arial"/>
          <w:sz w:val="18"/>
          <w:szCs w:val="18"/>
          <w:i w:val="1"/>
          <w:iCs w:val="1"/>
          <w:color w:val="auto"/>
        </w:rPr>
        <w:t xml:space="preserve"> </w:t>
      </w:r>
      <w:r>
        <w:rPr>
          <w:rFonts w:ascii="Arial" w:cs="Arial" w:eastAsia="Arial" w:hAnsi="Arial"/>
          <w:sz w:val="18"/>
          <w:szCs w:val="18"/>
          <w:color w:val="auto"/>
        </w:rPr>
        <w:t>viewers, and other benefits. AMC Premiere launched to Comcast's Xfinity TV customers in 2017 and has since expanded availability to YouTube TV and fuboTV subscribers.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AMC's film library consists of films that are licensed under long-term contracts with major studios such as Twentieth Century Fox, Warner Bros., Sony, MGM, NBC Universal, Paramount and Buena Vista. AMC generally structures its contracts for the exclusive cable television rights to air the films during identified window periods.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AMC Subscribers and Distribution Agreements</w:t>
      </w:r>
      <w:r>
        <w:rPr>
          <w:rFonts w:ascii="Arial" w:cs="Arial" w:eastAsia="Arial" w:hAnsi="Arial"/>
          <w:sz w:val="18"/>
          <w:szCs w:val="18"/>
          <w:color w:val="auto"/>
        </w:rPr>
        <w:t>. As of December 31, 2018, AMC had distribution agreements with all major U.S.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reached approximately 89 million Nielsen subscribers. AMC is also distributed in Canada through arrangements with all major Canadian multichannel video programming distributors.</w:t>
      </w:r>
    </w:p>
    <w:p>
      <w:pPr>
        <w:sectPr>
          <w:pgSz w:w="11900" w:h="16838" w:orient="portrait"/>
          <w:cols w:equalWidth="0" w:num="1">
            <w:col w:w="11420"/>
          </w:cols>
          <w:pgMar w:left="240" w:top="47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76" w:right="239" w:bottom="1440" w:gutter="0" w:footer="0" w:header="0"/>
          <w:type w:val="continuous"/>
        </w:sectPr>
      </w:pPr>
    </w:p>
    <w:bookmarkStart w:id="8" w:name="page9"/>
    <w:bookmarkEnd w:id="8"/>
    <w:p>
      <w:pPr>
        <w:ind w:left="220"/>
        <w:spacing w:after="0"/>
        <w:rPr>
          <w:sz w:val="20"/>
          <w:szCs w:val="20"/>
          <w:color w:val="auto"/>
        </w:rPr>
      </w:pPr>
      <w:r>
        <w:rPr>
          <w:rFonts w:ascii="Arial" w:cs="Arial" w:eastAsia="Arial" w:hAnsi="Arial"/>
          <w:sz w:val="18"/>
          <w:szCs w:val="18"/>
          <w:b w:val="1"/>
          <w:bCs w:val="1"/>
          <w:i w:val="1"/>
          <w:iCs w:val="1"/>
          <w:color w:val="auto"/>
        </w:rPr>
        <w:t>WE tv</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With compelling unscripted shows, WE tv connects audiences with reality content that is authentic and relatable. WE tv is available across all platforms: on TV, online, on demand, and social media, embracing how today's digitally-savvy, socially-engaged audiences connect through content, using it as a catalyst to drive conversation and build community. Driven by unscripted originals, WE tv continues to grow its target audience, fueled by its popular slate of fresh and modern original series like </w:t>
      </w:r>
      <w:r>
        <w:rPr>
          <w:rFonts w:ascii="Arial" w:cs="Arial" w:eastAsia="Arial" w:hAnsi="Arial"/>
          <w:sz w:val="18"/>
          <w:szCs w:val="18"/>
          <w:i w:val="1"/>
          <w:iCs w:val="1"/>
          <w:color w:val="auto"/>
        </w:rPr>
        <w:t>Mama June: From Not to Hot, Braxton Family Values, Bridezillas</w:t>
      </w:r>
      <w:r>
        <w:rPr>
          <w:rFonts w:ascii="Arial" w:cs="Arial" w:eastAsia="Arial" w:hAnsi="Arial"/>
          <w:sz w:val="18"/>
          <w:szCs w:val="18"/>
          <w:color w:val="auto"/>
        </w:rPr>
        <w:t xml:space="preserve"> and its popular </w:t>
      </w:r>
      <w:r>
        <w:rPr>
          <w:rFonts w:ascii="Arial" w:cs="Arial" w:eastAsia="Arial" w:hAnsi="Arial"/>
          <w:sz w:val="18"/>
          <w:szCs w:val="18"/>
          <w:i w:val="1"/>
          <w:iCs w:val="1"/>
          <w:color w:val="auto"/>
        </w:rPr>
        <w:t>Growing Up Hip Hop</w:t>
      </w:r>
      <w:r>
        <w:rPr>
          <w:rFonts w:ascii="Arial" w:cs="Arial" w:eastAsia="Arial" w:hAnsi="Arial"/>
          <w:sz w:val="18"/>
          <w:szCs w:val="18"/>
          <w:color w:val="auto"/>
        </w:rPr>
        <w:t xml:space="preserve"> and </w:t>
      </w:r>
      <w:r>
        <w:rPr>
          <w:rFonts w:ascii="Arial" w:cs="Arial" w:eastAsia="Arial" w:hAnsi="Arial"/>
          <w:sz w:val="18"/>
          <w:szCs w:val="18"/>
          <w:i w:val="1"/>
          <w:iCs w:val="1"/>
          <w:color w:val="auto"/>
        </w:rPr>
        <w:t>Marriage Boot Camp: Reality Stars</w:t>
      </w:r>
      <w:r>
        <w:rPr>
          <w:rFonts w:ascii="Arial" w:cs="Arial" w:eastAsia="Arial" w:hAnsi="Arial"/>
          <w:sz w:val="18"/>
          <w:szCs w:val="18"/>
          <w:color w:val="auto"/>
        </w:rPr>
        <w:t xml:space="preserve"> franchises, which has helped to cement the network's position as the #1 U.S. cable network for African-American women on Thursday nights. Its latest hit series, </w:t>
      </w:r>
      <w:r>
        <w:rPr>
          <w:rFonts w:ascii="Arial" w:cs="Arial" w:eastAsia="Arial" w:hAnsi="Arial"/>
          <w:sz w:val="18"/>
          <w:szCs w:val="18"/>
          <w:i w:val="1"/>
          <w:iCs w:val="1"/>
          <w:color w:val="auto"/>
        </w:rPr>
        <w:t>Love After Lockup,</w:t>
      </w:r>
      <w:r>
        <w:rPr>
          <w:rFonts w:ascii="Arial" w:cs="Arial" w:eastAsia="Arial" w:hAnsi="Arial"/>
          <w:sz w:val="18"/>
          <w:szCs w:val="18"/>
          <w:color w:val="auto"/>
        </w:rPr>
        <w:t xml:space="preserve"> was the fastest-growing new cable reality series for 2018 and continues to build audience share in its second season.</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Additionally, WE tv's programming includes series such as </w:t>
      </w:r>
      <w:r>
        <w:rPr>
          <w:rFonts w:ascii="Arial" w:cs="Arial" w:eastAsia="Arial" w:hAnsi="Arial"/>
          <w:sz w:val="18"/>
          <w:szCs w:val="18"/>
          <w:i w:val="1"/>
          <w:iCs w:val="1"/>
          <w:color w:val="auto"/>
        </w:rPr>
        <w:t>CSI: Miami</w:t>
      </w:r>
      <w:r>
        <w:rPr>
          <w:rFonts w:ascii="Arial" w:cs="Arial" w:eastAsia="Arial" w:hAnsi="Arial"/>
          <w:sz w:val="18"/>
          <w:szCs w:val="18"/>
          <w:color w:val="auto"/>
        </w:rPr>
        <w:t xml:space="preserve"> and </w:t>
      </w:r>
      <w:r>
        <w:rPr>
          <w:rFonts w:ascii="Arial" w:cs="Arial" w:eastAsia="Arial" w:hAnsi="Arial"/>
          <w:sz w:val="18"/>
          <w:szCs w:val="18"/>
          <w:i w:val="1"/>
          <w:iCs w:val="1"/>
          <w:color w:val="auto"/>
        </w:rPr>
        <w:t>Law &amp; Order</w:t>
      </w:r>
      <w:r>
        <w:rPr>
          <w:rFonts w:ascii="Arial" w:cs="Arial" w:eastAsia="Arial" w:hAnsi="Arial"/>
          <w:sz w:val="18"/>
          <w:szCs w:val="18"/>
          <w:color w:val="auto"/>
        </w:rPr>
        <w:t xml:space="preserve"> as well as feature films, with certain exclusive license rights from studios such as Paramount, MGM, Disney and Warner Bros.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WE tv Subscribers and Distribution Agreements</w:t>
      </w:r>
      <w:r>
        <w:rPr>
          <w:rFonts w:ascii="Arial" w:cs="Arial" w:eastAsia="Arial" w:hAnsi="Arial"/>
          <w:sz w:val="18"/>
          <w:szCs w:val="18"/>
          <w:color w:val="auto"/>
        </w:rPr>
        <w:t>. As of December 31, 2018, WE tv had distribution agreements with all major U.S.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reached approximately 85 million Nielsen subscribers.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BBC AMERICA</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BBC AMERICA's dynamic programming has garnered one of television's most curious, educated and affluent audiences, with many programs boasting some of the highest levels of fan engagement found on cable television in addition to broad critical acclaim. The network is a joint venture between AMC Networks and the commercial arm of the BBC.</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BBC AMERICA has attracted wide critical acclaim for its influential series, including its most recent breakout original series </w:t>
      </w:r>
      <w:r>
        <w:rPr>
          <w:rFonts w:ascii="Arial" w:cs="Arial" w:eastAsia="Arial" w:hAnsi="Arial"/>
          <w:sz w:val="17"/>
          <w:szCs w:val="17"/>
          <w:i w:val="1"/>
          <w:iCs w:val="1"/>
          <w:color w:val="auto"/>
        </w:rPr>
        <w:t>Killing Eve</w:t>
      </w:r>
      <w:r>
        <w:rPr>
          <w:rFonts w:ascii="Arial" w:cs="Arial" w:eastAsia="Arial" w:hAnsi="Arial"/>
          <w:sz w:val="17"/>
          <w:szCs w:val="17"/>
          <w:color w:val="auto"/>
        </w:rPr>
        <w:t xml:space="preserve">, which finished out 2018 as the top drama on Metacritic’s “TV Shows Mentioned On Most Critic Top 10 Lists - 2018.” One of the year’s most talked-about and celebrated new scripted series, </w:t>
      </w:r>
      <w:r>
        <w:rPr>
          <w:rFonts w:ascii="Arial" w:cs="Arial" w:eastAsia="Arial" w:hAnsi="Arial"/>
          <w:sz w:val="17"/>
          <w:szCs w:val="17"/>
          <w:i w:val="1"/>
          <w:iCs w:val="1"/>
          <w:color w:val="auto"/>
        </w:rPr>
        <w:t>Killing Eve,</w:t>
      </w:r>
      <w:r>
        <w:rPr>
          <w:rFonts w:ascii="Arial" w:cs="Arial" w:eastAsia="Arial" w:hAnsi="Arial"/>
          <w:sz w:val="17"/>
          <w:szCs w:val="17"/>
          <w:color w:val="auto"/>
        </w:rPr>
        <w:t xml:space="preserve"> was created by Phoebe Waller-Bridge, who was nominated for an Emmy® for Outstanding Writing for a Drama Series, and stars Golden Globe- and Critics Choice Award-winner Sandra Oh (the first woman of Asian descent to win multiple Golden Globes in her career, winning for Best Actress in a Drama Series for </w:t>
      </w:r>
      <w:r>
        <w:rPr>
          <w:rFonts w:ascii="Arial" w:cs="Arial" w:eastAsia="Arial" w:hAnsi="Arial"/>
          <w:sz w:val="17"/>
          <w:szCs w:val="17"/>
          <w:i w:val="1"/>
          <w:iCs w:val="1"/>
          <w:color w:val="auto"/>
        </w:rPr>
        <w:t>Killing Eve</w:t>
      </w:r>
      <w:r>
        <w:rPr>
          <w:rFonts w:ascii="Arial" w:cs="Arial" w:eastAsia="Arial" w:hAnsi="Arial"/>
          <w:sz w:val="17"/>
          <w:szCs w:val="17"/>
          <w:color w:val="auto"/>
        </w:rPr>
        <w:t xml:space="preserve">, and having won previously for </w:t>
      </w:r>
      <w:r>
        <w:rPr>
          <w:rFonts w:ascii="Arial" w:cs="Arial" w:eastAsia="Arial" w:hAnsi="Arial"/>
          <w:sz w:val="17"/>
          <w:szCs w:val="17"/>
          <w:i w:val="1"/>
          <w:iCs w:val="1"/>
          <w:color w:val="auto"/>
        </w:rPr>
        <w:t>Grey’s Anatomy</w:t>
      </w:r>
      <w:r>
        <w:rPr>
          <w:rFonts w:ascii="Arial" w:cs="Arial" w:eastAsia="Arial" w:hAnsi="Arial"/>
          <w:sz w:val="17"/>
          <w:szCs w:val="17"/>
          <w:color w:val="auto"/>
        </w:rPr>
        <w:t xml:space="preserve">). Oh’s co-star, Jodie Comer, was also nominated for a Critic’s Choice Award. </w:t>
      </w:r>
      <w:r>
        <w:rPr>
          <w:rFonts w:ascii="Arial" w:cs="Arial" w:eastAsia="Arial" w:hAnsi="Arial"/>
          <w:sz w:val="17"/>
          <w:szCs w:val="17"/>
          <w:i w:val="1"/>
          <w:iCs w:val="1"/>
          <w:color w:val="auto"/>
        </w:rPr>
        <w:t>Killing Eve</w:t>
      </w:r>
      <w:r>
        <w:rPr>
          <w:rFonts w:ascii="Arial" w:cs="Arial" w:eastAsia="Arial" w:hAnsi="Arial"/>
          <w:sz w:val="17"/>
          <w:szCs w:val="17"/>
          <w:color w:val="auto"/>
        </w:rPr>
        <w:t xml:space="preserve"> finished its first season with an unbroken record of weekly ratings growth in the key adults 25-54 and 18-49 demos. The series is currently in production, with season two slated to return to BBC AMERICA in April 2019.</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BBC AMERICA is also home to the landmark natural history programming from BBC Studios, including the Emmy®-winning </w:t>
      </w:r>
      <w:r>
        <w:rPr>
          <w:rFonts w:ascii="Arial" w:cs="Arial" w:eastAsia="Arial" w:hAnsi="Arial"/>
          <w:sz w:val="18"/>
          <w:szCs w:val="18"/>
          <w:i w:val="1"/>
          <w:iCs w:val="1"/>
          <w:color w:val="auto"/>
        </w:rPr>
        <w:t>Blue Planet II</w:t>
      </w:r>
      <w:r>
        <w:rPr>
          <w:rFonts w:ascii="Arial" w:cs="Arial" w:eastAsia="Arial" w:hAnsi="Arial"/>
          <w:sz w:val="18"/>
          <w:szCs w:val="18"/>
          <w:color w:val="auto"/>
        </w:rPr>
        <w:t xml:space="preserve">; the Emmy®-winning </w:t>
      </w:r>
      <w:r>
        <w:rPr>
          <w:rFonts w:ascii="Arial" w:cs="Arial" w:eastAsia="Arial" w:hAnsi="Arial"/>
          <w:sz w:val="18"/>
          <w:szCs w:val="18"/>
          <w:i w:val="1"/>
          <w:iCs w:val="1"/>
          <w:color w:val="auto"/>
        </w:rPr>
        <w:t>Planet Earth II</w:t>
      </w:r>
      <w:r>
        <w:rPr>
          <w:rFonts w:ascii="Arial" w:cs="Arial" w:eastAsia="Arial" w:hAnsi="Arial"/>
          <w:sz w:val="18"/>
          <w:szCs w:val="18"/>
          <w:color w:val="auto"/>
        </w:rPr>
        <w:t xml:space="preserve">; and the Planet Earth producers’ newest epic story of our planet called </w:t>
      </w:r>
      <w:r>
        <w:rPr>
          <w:rFonts w:ascii="Arial" w:cs="Arial" w:eastAsia="Arial" w:hAnsi="Arial"/>
          <w:sz w:val="18"/>
          <w:szCs w:val="18"/>
          <w:i w:val="1"/>
          <w:iCs w:val="1"/>
          <w:color w:val="auto"/>
        </w:rPr>
        <w:t>Dynasties</w:t>
      </w:r>
      <w:r>
        <w:rPr>
          <w:rFonts w:ascii="Arial" w:cs="Arial" w:eastAsia="Arial" w:hAnsi="Arial"/>
          <w:sz w:val="18"/>
          <w:szCs w:val="18"/>
          <w:color w:val="auto"/>
        </w:rPr>
        <w:t>.</w:t>
      </w:r>
    </w:p>
    <w:p>
      <w:pPr>
        <w:spacing w:after="0" w:line="17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 xml:space="preserve">In addition, the network’s other influential series include the top-rated and long-running franchise </w:t>
      </w:r>
      <w:r>
        <w:rPr>
          <w:rFonts w:ascii="Arial" w:cs="Arial" w:eastAsia="Arial" w:hAnsi="Arial"/>
          <w:sz w:val="17"/>
          <w:szCs w:val="17"/>
          <w:i w:val="1"/>
          <w:iCs w:val="1"/>
          <w:color w:val="auto"/>
        </w:rPr>
        <w:t>Doctor Who</w:t>
      </w:r>
      <w:r>
        <w:rPr>
          <w:rFonts w:ascii="Arial" w:cs="Arial" w:eastAsia="Arial" w:hAnsi="Arial"/>
          <w:sz w:val="17"/>
          <w:szCs w:val="17"/>
          <w:color w:val="auto"/>
        </w:rPr>
        <w:t xml:space="preserve">, starring Jodie Whittaker; acclaimed drama </w:t>
      </w:r>
      <w:r>
        <w:rPr>
          <w:rFonts w:ascii="Arial" w:cs="Arial" w:eastAsia="Arial" w:hAnsi="Arial"/>
          <w:sz w:val="17"/>
          <w:szCs w:val="17"/>
          <w:i w:val="1"/>
          <w:iCs w:val="1"/>
          <w:color w:val="auto"/>
        </w:rPr>
        <w:t>Luther</w:t>
      </w:r>
      <w:r>
        <w:rPr>
          <w:rFonts w:ascii="Arial" w:cs="Arial" w:eastAsia="Arial" w:hAnsi="Arial"/>
          <w:sz w:val="17"/>
          <w:szCs w:val="17"/>
          <w:color w:val="auto"/>
        </w:rPr>
        <w:t xml:space="preserve">, starring Golden Globe®-winner Idris Elba; ground-breaking unscripted series </w:t>
      </w:r>
      <w:r>
        <w:rPr>
          <w:rFonts w:ascii="Arial" w:cs="Arial" w:eastAsia="Arial" w:hAnsi="Arial"/>
          <w:sz w:val="17"/>
          <w:szCs w:val="17"/>
          <w:i w:val="1"/>
          <w:iCs w:val="1"/>
          <w:color w:val="auto"/>
        </w:rPr>
        <w:t>Top Gear</w:t>
      </w:r>
      <w:r>
        <w:rPr>
          <w:rFonts w:ascii="Arial" w:cs="Arial" w:eastAsia="Arial" w:hAnsi="Arial"/>
          <w:sz w:val="17"/>
          <w:szCs w:val="17"/>
          <w:color w:val="auto"/>
        </w:rPr>
        <w:t xml:space="preserve">; buzzy and hilarious </w:t>
      </w:r>
      <w:r>
        <w:rPr>
          <w:rFonts w:ascii="Arial" w:cs="Arial" w:eastAsia="Arial" w:hAnsi="Arial"/>
          <w:sz w:val="17"/>
          <w:szCs w:val="17"/>
          <w:i w:val="1"/>
          <w:iCs w:val="1"/>
          <w:color w:val="auto"/>
        </w:rPr>
        <w:t>The Graham Norton Show.</w:t>
      </w:r>
    </w:p>
    <w:p>
      <w:pPr>
        <w:spacing w:after="0" w:line="14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The network recently greenlit the new original scripted series, </w:t>
      </w:r>
      <w:r>
        <w:rPr>
          <w:rFonts w:ascii="Arial" w:cs="Arial" w:eastAsia="Arial" w:hAnsi="Arial"/>
          <w:sz w:val="18"/>
          <w:szCs w:val="18"/>
          <w:i w:val="1"/>
          <w:iCs w:val="1"/>
          <w:color w:val="auto"/>
        </w:rPr>
        <w:t>The Watch</w:t>
      </w:r>
      <w:r>
        <w:rPr>
          <w:rFonts w:ascii="Arial" w:cs="Arial" w:eastAsia="Arial" w:hAnsi="Arial"/>
          <w:sz w:val="18"/>
          <w:szCs w:val="18"/>
          <w:color w:val="auto"/>
        </w:rPr>
        <w:t>, based on Sir Terry Pratchett’s wildly popular “Discworld” novels, which have sold more than 90 million books worldwide.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BBC AMERICA Subscribers and Distribution Agreements</w:t>
      </w:r>
      <w:r>
        <w:rPr>
          <w:rFonts w:ascii="Arial" w:cs="Arial" w:eastAsia="Arial" w:hAnsi="Arial"/>
          <w:sz w:val="16"/>
          <w:szCs w:val="16"/>
          <w:color w:val="auto"/>
        </w:rPr>
        <w:t>. As of December 31, 2018, BBC AMERICA had distribution agreements with all major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distributors and reached approximately 81 million Nielsen subscribers.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IFC</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IFC is the home of offbeat, unexpected comedies that are in keeping with the network's "Always On Slightly Off" brand, which air alongside fan-favorite movies and comedic cult TV shows.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The network's current programming slate includes Emmy-nominated series </w:t>
      </w:r>
      <w:r>
        <w:rPr>
          <w:rFonts w:ascii="Arial" w:cs="Arial" w:eastAsia="Arial" w:hAnsi="Arial"/>
          <w:sz w:val="17"/>
          <w:szCs w:val="17"/>
          <w:i w:val="1"/>
          <w:iCs w:val="1"/>
          <w:color w:val="auto"/>
        </w:rPr>
        <w:t>Documentary Now!</w:t>
      </w:r>
      <w:r>
        <w:rPr>
          <w:rFonts w:ascii="Arial" w:cs="Arial" w:eastAsia="Arial" w:hAnsi="Arial"/>
          <w:sz w:val="17"/>
          <w:szCs w:val="17"/>
          <w:color w:val="auto"/>
        </w:rPr>
        <w:t xml:space="preserve">, created by Seth Meyers, Bill Hader and Fred Armisen and executive produced by Lorne Michaels; </w:t>
      </w:r>
      <w:r>
        <w:rPr>
          <w:rFonts w:ascii="Arial" w:cs="Arial" w:eastAsia="Arial" w:hAnsi="Arial"/>
          <w:sz w:val="17"/>
          <w:szCs w:val="17"/>
          <w:i w:val="1"/>
          <w:iCs w:val="1"/>
          <w:color w:val="auto"/>
        </w:rPr>
        <w:t>Brockmire</w:t>
      </w:r>
      <w:r>
        <w:rPr>
          <w:rFonts w:ascii="Arial" w:cs="Arial" w:eastAsia="Arial" w:hAnsi="Arial"/>
          <w:sz w:val="17"/>
          <w:szCs w:val="17"/>
          <w:color w:val="auto"/>
        </w:rPr>
        <w:t xml:space="preserve">, starring Hank Azaria, which originated as a Funny or Die short and concluded its first season as the highest-rated new series in IFC history; and the critically-acclaimed and award-winning all-female sketch comedy series, </w:t>
      </w:r>
      <w:r>
        <w:rPr>
          <w:rFonts w:ascii="Arial" w:cs="Arial" w:eastAsia="Arial" w:hAnsi="Arial"/>
          <w:sz w:val="17"/>
          <w:szCs w:val="17"/>
          <w:i w:val="1"/>
          <w:iCs w:val="1"/>
          <w:color w:val="auto"/>
        </w:rPr>
        <w:t>Baroness von Sketch Show</w:t>
      </w:r>
      <w:r>
        <w:rPr>
          <w:rFonts w:ascii="Arial" w:cs="Arial" w:eastAsia="Arial" w:hAnsi="Arial"/>
          <w:sz w:val="17"/>
          <w:szCs w:val="17"/>
          <w:color w:val="auto"/>
        </w:rPr>
        <w:t xml:space="preserve">. IFC is also the broadcast home for the Film Independent Spirit Awards, which will be hosted this year by comedian Aubrey Plaza. Upcoming series for IFC include a musical variety sketch series, </w:t>
      </w:r>
      <w:r>
        <w:rPr>
          <w:rFonts w:ascii="Arial" w:cs="Arial" w:eastAsia="Arial" w:hAnsi="Arial"/>
          <w:sz w:val="17"/>
          <w:szCs w:val="17"/>
          <w:i w:val="1"/>
          <w:iCs w:val="1"/>
          <w:color w:val="auto"/>
        </w:rPr>
        <w:t>Sherman’s Showcase</w:t>
      </w:r>
      <w:r>
        <w:rPr>
          <w:rFonts w:ascii="Arial" w:cs="Arial" w:eastAsia="Arial" w:hAnsi="Arial"/>
          <w:sz w:val="17"/>
          <w:szCs w:val="17"/>
          <w:color w:val="auto"/>
        </w:rPr>
        <w:t xml:space="preserve"> and an international co-production </w:t>
      </w:r>
      <w:r>
        <w:rPr>
          <w:rFonts w:ascii="Arial" w:cs="Arial" w:eastAsia="Arial" w:hAnsi="Arial"/>
          <w:sz w:val="17"/>
          <w:szCs w:val="17"/>
          <w:i w:val="1"/>
          <w:iCs w:val="1"/>
          <w:color w:val="auto"/>
        </w:rPr>
        <w:t>Year Of The Rabbit</w:t>
      </w:r>
      <w:r>
        <w:rPr>
          <w:rFonts w:ascii="Arial" w:cs="Arial" w:eastAsia="Arial" w:hAnsi="Arial"/>
          <w:sz w:val="17"/>
          <w:szCs w:val="17"/>
          <w:color w:val="auto"/>
        </w:rPr>
        <w:t>.</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Additionally, we have a minority ownership stake in Funny or Die, and, together with IFC, the two comedy brands created a night of short-form original comedy from a host of up-and-coming Funny or Die talent called FODTV that currently airs Saturday nights on IFC.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IFC's programming also includes films from various film distributors, including Fox, Miramax, Sony, Lionsgate, Universal, Paramount and Warner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Bros.</w:t>
      </w:r>
    </w:p>
    <w:p>
      <w:pPr>
        <w:sectPr>
          <w:pgSz w:w="11900" w:h="16838" w:orient="portrait"/>
          <w:cols w:equalWidth="0" w:num="1">
            <w:col w:w="11420"/>
          </w:cols>
          <w:pgMar w:left="240" w:top="476"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76" w:right="239" w:bottom="1440" w:gutter="0" w:footer="0" w:header="0"/>
          <w:type w:val="continuous"/>
        </w:sectPr>
      </w:pPr>
    </w:p>
    <w:bookmarkStart w:id="9" w:name="page10"/>
    <w:bookmarkEnd w:id="9"/>
    <w:p>
      <w:pPr>
        <w:jc w:val="both"/>
        <w:ind w:firstLine="432"/>
        <w:spacing w:after="0" w:line="277" w:lineRule="auto"/>
        <w:rPr>
          <w:sz w:val="20"/>
          <w:szCs w:val="20"/>
          <w:color w:val="auto"/>
        </w:rPr>
      </w:pPr>
      <w:r>
        <w:rPr>
          <w:rFonts w:ascii="Arial" w:cs="Arial" w:eastAsia="Arial" w:hAnsi="Arial"/>
          <w:sz w:val="18"/>
          <w:szCs w:val="18"/>
          <w:i w:val="1"/>
          <w:iCs w:val="1"/>
          <w:color w:val="auto"/>
        </w:rPr>
        <w:t>IFC Subscribers and Distribution Agreements</w:t>
      </w:r>
      <w:r>
        <w:rPr>
          <w:rFonts w:ascii="Arial" w:cs="Arial" w:eastAsia="Arial" w:hAnsi="Arial"/>
          <w:sz w:val="18"/>
          <w:szCs w:val="18"/>
          <w:color w:val="auto"/>
        </w:rPr>
        <w:t>. As of December 31, 2018, IFC had distribution agreements with all major U.S. distributors and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75 million Nielsen subscribers.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SundanceTV</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delivering critically acclaimed Emmy®, Golden Globe® and Peabody Award-winning television featuring some of the world's most talented creators and performers, to showcasing some of the most compelling and iconic films across genres and generations, SundanceTV is a smart and thought-provoking entertainment destination. SundanceTV has remained true to founder Robert Redford's mission to celebrate creativity and distinctive storytelling through unique voices and narratives found in the best independent films.</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Working with today's most innovative talent, SundanceTV attracts viewer and critical acclaim for its original scripted programming and true-crime documentaries, including the Peabody-award winning </w:t>
      </w:r>
      <w:r>
        <w:rPr>
          <w:rFonts w:ascii="Arial" w:cs="Arial" w:eastAsia="Arial" w:hAnsi="Arial"/>
          <w:sz w:val="16"/>
          <w:szCs w:val="16"/>
          <w:i w:val="1"/>
          <w:iCs w:val="1"/>
          <w:color w:val="auto"/>
        </w:rPr>
        <w:t>Rectify</w:t>
      </w:r>
      <w:r>
        <w:rPr>
          <w:rFonts w:ascii="Arial" w:cs="Arial" w:eastAsia="Arial" w:hAnsi="Arial"/>
          <w:sz w:val="16"/>
          <w:szCs w:val="16"/>
          <w:color w:val="auto"/>
        </w:rPr>
        <w:t xml:space="preserve">, </w:t>
      </w:r>
      <w:r>
        <w:rPr>
          <w:rFonts w:ascii="Arial" w:cs="Arial" w:eastAsia="Arial" w:hAnsi="Arial"/>
          <w:sz w:val="16"/>
          <w:szCs w:val="16"/>
          <w:i w:val="1"/>
          <w:iCs w:val="1"/>
          <w:color w:val="auto"/>
        </w:rPr>
        <w:t>Top of the Lake</w:t>
      </w:r>
      <w:r>
        <w:rPr>
          <w:rFonts w:ascii="Arial" w:cs="Arial" w:eastAsia="Arial" w:hAnsi="Arial"/>
          <w:sz w:val="16"/>
          <w:szCs w:val="16"/>
          <w:color w:val="auto"/>
        </w:rPr>
        <w:t xml:space="preserve"> and second installment, </w:t>
      </w:r>
      <w:r>
        <w:rPr>
          <w:rFonts w:ascii="Arial" w:cs="Arial" w:eastAsia="Arial" w:hAnsi="Arial"/>
          <w:sz w:val="16"/>
          <w:szCs w:val="16"/>
          <w:i w:val="1"/>
          <w:iCs w:val="1"/>
          <w:color w:val="auto"/>
        </w:rPr>
        <w:t>Top of the Lake: China Girl</w:t>
      </w:r>
      <w:r>
        <w:rPr>
          <w:rFonts w:ascii="Arial" w:cs="Arial" w:eastAsia="Arial" w:hAnsi="Arial"/>
          <w:sz w:val="16"/>
          <w:szCs w:val="16"/>
          <w:color w:val="auto"/>
        </w:rPr>
        <w:t xml:space="preserve">, directed by Oscar-winning Jane Campion and starring Elisabeth Moss and Nicole Kidman; fan favorite </w:t>
      </w:r>
      <w:r>
        <w:rPr>
          <w:rFonts w:ascii="Arial" w:cs="Arial" w:eastAsia="Arial" w:hAnsi="Arial"/>
          <w:sz w:val="16"/>
          <w:szCs w:val="16"/>
          <w:i w:val="1"/>
          <w:iCs w:val="1"/>
          <w:color w:val="auto"/>
        </w:rPr>
        <w:t>Hap and Leonard; Liar</w:t>
      </w:r>
      <w:r>
        <w:rPr>
          <w:rFonts w:ascii="Arial" w:cs="Arial" w:eastAsia="Arial" w:hAnsi="Arial"/>
          <w:sz w:val="16"/>
          <w:szCs w:val="16"/>
          <w:color w:val="auto"/>
        </w:rPr>
        <w:t xml:space="preserve">, starring Golden Globe-winner and Emmy-nominated actress Joanne Froggatt (Downton Abbey); the Peabody and International Emmy-Award winning series </w:t>
      </w:r>
      <w:r>
        <w:rPr>
          <w:rFonts w:ascii="Arial" w:cs="Arial" w:eastAsia="Arial" w:hAnsi="Arial"/>
          <w:sz w:val="16"/>
          <w:szCs w:val="16"/>
          <w:i w:val="1"/>
          <w:iCs w:val="1"/>
          <w:color w:val="auto"/>
        </w:rPr>
        <w:t>Deutschland 83</w:t>
      </w:r>
      <w:r>
        <w:rPr>
          <w:rFonts w:ascii="Arial" w:cs="Arial" w:eastAsia="Arial" w:hAnsi="Arial"/>
          <w:sz w:val="16"/>
          <w:szCs w:val="16"/>
          <w:color w:val="auto"/>
        </w:rPr>
        <w:t xml:space="preserve">; original drama </w:t>
      </w:r>
      <w:r>
        <w:rPr>
          <w:rFonts w:ascii="Arial" w:cs="Arial" w:eastAsia="Arial" w:hAnsi="Arial"/>
          <w:sz w:val="16"/>
          <w:szCs w:val="16"/>
          <w:i w:val="1"/>
          <w:iCs w:val="1"/>
          <w:color w:val="auto"/>
        </w:rPr>
        <w:t>The Split</w:t>
      </w:r>
      <w:r>
        <w:rPr>
          <w:rFonts w:ascii="Arial" w:cs="Arial" w:eastAsia="Arial" w:hAnsi="Arial"/>
          <w:sz w:val="16"/>
          <w:szCs w:val="16"/>
          <w:color w:val="auto"/>
        </w:rPr>
        <w:t xml:space="preserve"> with a female-led cast and crew from BAFTA and Primetime Emmy Award®-winning writer Abi Morgan and BAFTA-winning Executive Producer Jane Featherstone; and true-crime series, including </w:t>
      </w:r>
      <w:r>
        <w:rPr>
          <w:rFonts w:ascii="Arial" w:cs="Arial" w:eastAsia="Arial" w:hAnsi="Arial"/>
          <w:sz w:val="16"/>
          <w:szCs w:val="16"/>
          <w:i w:val="1"/>
          <w:iCs w:val="1"/>
          <w:color w:val="auto"/>
        </w:rPr>
        <w:t>Cold Blooded: The Clutter Family Murders</w:t>
      </w:r>
      <w:r>
        <w:rPr>
          <w:rFonts w:ascii="Arial" w:cs="Arial" w:eastAsia="Arial" w:hAnsi="Arial"/>
          <w:sz w:val="16"/>
          <w:szCs w:val="16"/>
          <w:color w:val="auto"/>
        </w:rPr>
        <w:t xml:space="preserve"> from Academy Award® winning documentarian Joe Berlinger, and </w:t>
      </w:r>
      <w:r>
        <w:rPr>
          <w:rFonts w:ascii="Arial" w:cs="Arial" w:eastAsia="Arial" w:hAnsi="Arial"/>
          <w:sz w:val="16"/>
          <w:szCs w:val="16"/>
          <w:i w:val="1"/>
          <w:iCs w:val="1"/>
          <w:color w:val="auto"/>
        </w:rPr>
        <w:t xml:space="preserve">Jonestown: Terror in the Jungle </w:t>
      </w:r>
      <w:r>
        <w:rPr>
          <w:rFonts w:ascii="Arial" w:cs="Arial" w:eastAsia="Arial" w:hAnsi="Arial"/>
          <w:sz w:val="16"/>
          <w:szCs w:val="16"/>
          <w:color w:val="auto"/>
        </w:rPr>
        <w:t>from Executive Producers Leonardo DiCaprio and Jennifer Davisson and Stephen David; as well as the forthcoming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w:t>
      </w:r>
      <w:r>
        <w:rPr>
          <w:rFonts w:ascii="Arial" w:cs="Arial" w:eastAsia="Arial" w:hAnsi="Arial"/>
          <w:sz w:val="16"/>
          <w:szCs w:val="16"/>
          <w:i w:val="1"/>
          <w:iCs w:val="1"/>
          <w:color w:val="auto"/>
        </w:rPr>
        <w:t>Ministry of Evil: The Twisted Cult of Tony Alamo</w:t>
      </w:r>
      <w:r>
        <w:rPr>
          <w:rFonts w:ascii="Arial" w:cs="Arial" w:eastAsia="Arial" w:hAnsi="Arial"/>
          <w:sz w:val="16"/>
          <w:szCs w:val="16"/>
          <w:color w:val="auto"/>
        </w:rPr>
        <w:t xml:space="preserve"> from Emmy Award®-winners Fenton Bailey, Randy Barbato, and Peacock Productions; and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Preppie Murder </w:t>
      </w:r>
      <w:r>
        <w:rPr>
          <w:rFonts w:ascii="Arial" w:cs="Arial" w:eastAsia="Arial" w:hAnsi="Arial"/>
          <w:sz w:val="16"/>
          <w:szCs w:val="16"/>
          <w:color w:val="auto"/>
        </w:rPr>
        <w:t>with Emmy® Award- winner Robert Friedman's Bungalow Media + Entertainment and the original prosecutor in the case, Linda Fairstein.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SundanceTV Subscribers and Distribution Agreements</w:t>
      </w:r>
      <w:r>
        <w:rPr>
          <w:rFonts w:ascii="Arial" w:cs="Arial" w:eastAsia="Arial" w:hAnsi="Arial"/>
          <w:sz w:val="17"/>
          <w:szCs w:val="17"/>
          <w:color w:val="auto"/>
        </w:rPr>
        <w:t>. As of December 31, 2018, SundanceTV had distribution agreements with all major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distributors and reached approximately 70 million Nielsen subscribers.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AMC Studios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AMC Studios is the Company’s in-house studio production operation. AMC Studios launched in 2010 with its first series,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Since then, AMC Studios has ramped up its production of original series for AMC and sister networks and has produced several critically acclaimed, award-winning and culturally distinctive originals including scripted series: </w:t>
      </w:r>
      <w:r>
        <w:rPr>
          <w:rFonts w:ascii="Arial" w:cs="Arial" w:eastAsia="Arial" w:hAnsi="Arial"/>
          <w:sz w:val="17"/>
          <w:szCs w:val="17"/>
          <w:i w:val="1"/>
          <w:iCs w:val="1"/>
          <w:color w:val="auto"/>
        </w:rPr>
        <w:t>Fear the Walking Dead; The Terror, Lodge 49, TURN: Washington's Spies; Halt and</w:t>
      </w:r>
      <w:r>
        <w:rPr>
          <w:rFonts w:ascii="Arial" w:cs="Arial" w:eastAsia="Arial" w:hAnsi="Arial"/>
          <w:sz w:val="17"/>
          <w:szCs w:val="17"/>
          <w:color w:val="auto"/>
        </w:rPr>
        <w:t xml:space="preserve"> </w:t>
      </w:r>
      <w:r>
        <w:rPr>
          <w:rFonts w:ascii="Arial" w:cs="Arial" w:eastAsia="Arial" w:hAnsi="Arial"/>
          <w:sz w:val="17"/>
          <w:szCs w:val="17"/>
          <w:i w:val="1"/>
          <w:iCs w:val="1"/>
          <w:color w:val="auto"/>
        </w:rPr>
        <w:t>Catch Fire; Into the Badlands</w:t>
      </w:r>
      <w:r>
        <w:rPr>
          <w:rFonts w:ascii="Arial" w:cs="Arial" w:eastAsia="Arial" w:hAnsi="Arial"/>
          <w:sz w:val="17"/>
          <w:szCs w:val="17"/>
          <w:color w:val="auto"/>
        </w:rPr>
        <w:t>; and</w:t>
      </w:r>
      <w:r>
        <w:rPr>
          <w:rFonts w:ascii="Arial" w:cs="Arial" w:eastAsia="Arial" w:hAnsi="Arial"/>
          <w:sz w:val="17"/>
          <w:szCs w:val="17"/>
          <w:i w:val="1"/>
          <w:iCs w:val="1"/>
          <w:color w:val="auto"/>
        </w:rPr>
        <w:t xml:space="preserve"> The Son </w:t>
      </w:r>
      <w:r>
        <w:rPr>
          <w:rFonts w:ascii="Arial" w:cs="Arial" w:eastAsia="Arial" w:hAnsi="Arial"/>
          <w:sz w:val="17"/>
          <w:szCs w:val="17"/>
          <w:color w:val="auto"/>
        </w:rPr>
        <w:t>as well as unscripted series:</w:t>
      </w:r>
      <w:r>
        <w:rPr>
          <w:rFonts w:ascii="Arial" w:cs="Arial" w:eastAsia="Arial" w:hAnsi="Arial"/>
          <w:sz w:val="17"/>
          <w:szCs w:val="17"/>
          <w:i w:val="1"/>
          <w:iCs w:val="1"/>
          <w:color w:val="auto"/>
        </w:rPr>
        <w:t xml:space="preserve"> Ride with Norman Reedus</w:t>
      </w:r>
      <w:r>
        <w:rPr>
          <w:rFonts w:ascii="Arial" w:cs="Arial" w:eastAsia="Arial" w:hAnsi="Arial"/>
          <w:sz w:val="17"/>
          <w:szCs w:val="17"/>
          <w:color w:val="auto"/>
        </w:rPr>
        <w:t>, Robert Kirkman's</w:t>
      </w:r>
      <w:r>
        <w:rPr>
          <w:rFonts w:ascii="Arial" w:cs="Arial" w:eastAsia="Arial" w:hAnsi="Arial"/>
          <w:sz w:val="17"/>
          <w:szCs w:val="17"/>
          <w:i w:val="1"/>
          <w:iCs w:val="1"/>
          <w:color w:val="auto"/>
        </w:rPr>
        <w:t xml:space="preserve"> Secret History of Comics</w:t>
      </w:r>
      <w:r>
        <w:rPr>
          <w:rFonts w:ascii="Arial" w:cs="Arial" w:eastAsia="Arial" w:hAnsi="Arial"/>
          <w:sz w:val="17"/>
          <w:szCs w:val="17"/>
          <w:color w:val="auto"/>
        </w:rPr>
        <w:t>, James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Cameron's </w:t>
      </w:r>
      <w:r>
        <w:rPr>
          <w:rFonts w:ascii="Arial" w:cs="Arial" w:eastAsia="Arial" w:hAnsi="Arial"/>
          <w:sz w:val="17"/>
          <w:szCs w:val="17"/>
          <w:i w:val="1"/>
          <w:iCs w:val="1"/>
          <w:color w:val="auto"/>
        </w:rPr>
        <w:t>Story Of Science Fiction</w:t>
      </w:r>
      <w:r>
        <w:rPr>
          <w:rFonts w:ascii="Arial" w:cs="Arial" w:eastAsia="Arial" w:hAnsi="Arial"/>
          <w:sz w:val="17"/>
          <w:szCs w:val="17"/>
          <w:color w:val="auto"/>
        </w:rPr>
        <w:t xml:space="preserve">, and Eli Roth’s </w:t>
      </w:r>
      <w:r>
        <w:rPr>
          <w:rFonts w:ascii="Arial" w:cs="Arial" w:eastAsia="Arial" w:hAnsi="Arial"/>
          <w:sz w:val="17"/>
          <w:szCs w:val="17"/>
          <w:i w:val="1"/>
          <w:iCs w:val="1"/>
          <w:color w:val="auto"/>
        </w:rPr>
        <w:t>History of Horror</w:t>
      </w:r>
      <w:r>
        <w:rPr>
          <w:rFonts w:ascii="Arial" w:cs="Arial" w:eastAsia="Arial" w:hAnsi="Arial"/>
          <w:sz w:val="17"/>
          <w:szCs w:val="17"/>
          <w:color w:val="auto"/>
        </w:rPr>
        <w:t xml:space="preserve">. The Studio also produced BBC AMERICA’s </w:t>
      </w:r>
      <w:r>
        <w:rPr>
          <w:rFonts w:ascii="Arial" w:cs="Arial" w:eastAsia="Arial" w:hAnsi="Arial"/>
          <w:sz w:val="17"/>
          <w:szCs w:val="17"/>
          <w:i w:val="1"/>
          <w:iCs w:val="1"/>
          <w:color w:val="auto"/>
        </w:rPr>
        <w:t>Dirk Gently</w:t>
      </w:r>
      <w:r>
        <w:rPr>
          <w:rFonts w:ascii="Arial" w:cs="Arial" w:eastAsia="Arial" w:hAnsi="Arial"/>
          <w:sz w:val="17"/>
          <w:szCs w:val="17"/>
          <w:color w:val="auto"/>
        </w:rPr>
        <w:t xml:space="preserve"> and SundanceTV’s Peabody Award-winning </w:t>
      </w:r>
      <w:r>
        <w:rPr>
          <w:rFonts w:ascii="Arial" w:cs="Arial" w:eastAsia="Arial" w:hAnsi="Arial"/>
          <w:sz w:val="17"/>
          <w:szCs w:val="17"/>
          <w:i w:val="1"/>
          <w:iCs w:val="1"/>
          <w:color w:val="auto"/>
        </w:rPr>
        <w:t>Rectify</w:t>
      </w:r>
      <w:r>
        <w:rPr>
          <w:rFonts w:ascii="Arial" w:cs="Arial" w:eastAsia="Arial" w:hAnsi="Arial"/>
          <w:sz w:val="17"/>
          <w:szCs w:val="17"/>
          <w:color w:val="auto"/>
        </w:rPr>
        <w:t xml:space="preserve">, original series </w:t>
      </w:r>
      <w:r>
        <w:rPr>
          <w:rFonts w:ascii="Arial" w:cs="Arial" w:eastAsia="Arial" w:hAnsi="Arial"/>
          <w:sz w:val="17"/>
          <w:szCs w:val="17"/>
          <w:i w:val="1"/>
          <w:iCs w:val="1"/>
          <w:color w:val="auto"/>
        </w:rPr>
        <w:t>Hap and Leonard</w:t>
      </w:r>
      <w:r>
        <w:rPr>
          <w:rFonts w:ascii="Arial" w:cs="Arial" w:eastAsia="Arial" w:hAnsi="Arial"/>
          <w:sz w:val="17"/>
          <w:szCs w:val="17"/>
          <w:color w:val="auto"/>
        </w:rPr>
        <w:t xml:space="preserve">, and unscripted series </w:t>
      </w:r>
      <w:r>
        <w:rPr>
          <w:rFonts w:ascii="Arial" w:cs="Arial" w:eastAsia="Arial" w:hAnsi="Arial"/>
          <w:sz w:val="17"/>
          <w:szCs w:val="17"/>
          <w:i w:val="1"/>
          <w:iCs w:val="1"/>
          <w:color w:val="auto"/>
        </w:rPr>
        <w:t>Cold Blooded: The Clutter Family Murders</w:t>
      </w:r>
      <w:r>
        <w:rPr>
          <w:rFonts w:ascii="Arial" w:cs="Arial" w:eastAsia="Arial" w:hAnsi="Arial"/>
          <w:sz w:val="17"/>
          <w:szCs w:val="17"/>
          <w:color w:val="auto"/>
        </w:rPr>
        <w: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AMC Networks Broadcasting &amp; Technology</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AMC Networks Broadcasting &amp; Technology is a full-service network programming feed origination and distribution company, which primarily services most of the national programming networks of the Company. AMC Networks Broadcasting &amp; Technology's operations are located in Bethpage, New York, where AMC Networks Broadcasting &amp; Technology consolidates origination and satellite communications functions in a 67,000 square-foot facility designed to keep AMC Networks at the forefront of network origination and distribution technology. AMC Networks Broadcasting &amp; Technology has 30 plus years of experience across its network services groups, including network origination, affiliate engineering, network transmission, traffic and scheduling that provide day-to-day delivery of any programming network, in high definition or standard definition.</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Currently, AMC Networks Broadcasting &amp; Technology is responsible for the origination and transmission of multiple highly acclaimed network programming feeds for both national and international distribution. In addition to serving most of the programming networks of the Company, AMC Networks Broadcasting &amp; Technology's affiliated and third-party clients include MSG Network, MSG+ and Mid Atlantic Sports Network.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International and Other segment includes the operations of AMCNI, IFC Films, Levity and RLJE (both acquired in 2018) and our wholly-owned subscription streaming services.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AMC Networks International</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AMCNI, the international division of the Company, delivers entertaining and acclaimed programming that reaches subscribers in more than 130 countries and territories around the world. AMCNI consists of global brands, AMC and SundanceTV, as well as popular, locally recognized channels in various programming genres.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UK</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AMCNI - UK distributes television programming throughout the United Kingdom and other countries in Europe, the Middle East and Africa ("EMEA") and manages a portfolio of channel brands, including AMC, SundanceTV and Eva. AMCNI - UK also</w:t>
      </w:r>
    </w:p>
    <w:p>
      <w:pPr>
        <w:sectPr>
          <w:pgSz w:w="11900" w:h="16838" w:orient="portrait"/>
          <w:cols w:equalWidth="0" w:num="1">
            <w:col w:w="11420"/>
          </w:cols>
          <w:pgMar w:left="240" w:top="47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76" w:right="239" w:bottom="1440" w:gutter="0" w:footer="0" w:header="0"/>
          <w:type w:val="continuous"/>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operates a number of joint venture, partnership and managed channel services in the EMEA region, including Outdoor Channel, as well as a portfolio of entertainment channels with CBS Studios, including CBS Drama, CBS Action, CBS Reality, CBS Europa and Horror Channel.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Southern Europe</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AMCNI - Southern Europe is the largest distributor of thematic television channels in Spain and Portugal and recently expanded to include France and Italy. The current portfolio consists of channel brands including AMC, SundanceTV, Canal Hollywood, Odisea, Sol Musica, Canal Cocina and Decasa, and a number of channels owned through joint ventures. The channels are programmed for local audiences, languages and markets.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Central and Northern Europe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AMCNI - Central and Northern Europe operates a portfolio of thematic television channels with a focus on the Central, Northern and Eastern European markets, including television brands in five genres: sport: Sport1, Sport2, SportM, kids: Minimax, Megamax, JimJam, infotainment: Spektrum, TVPaprika, Spektrum Home, film: AMC, Film Mánia, Film Café, Film+ and Kinowelt, MGM and Sundance and general entertainment: OBN. The channels are programmed for local audiences, languages and markets.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Latin America</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AMCNI - Latin America produces and distributes high quality television programming throughout Spanish and Portuguese speaking Latin America, the Caribbean and other territories. The portfolio consists of six channels including AMC, Sundance, Film&amp;Arts, Europa Europa, Mas Chic and El Gourmet.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Other</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AMCNI also distributes television programming in the Middle East focusing on the international versions of SundanceTV. An internationally recognized brand, SundanceTV's global services provide not only the best of the independent film world but also features certain content from AMC, IFC, SundanceTV and IFC Films, as well as a unique pipeline of international content, in an effort to provide distinctive programming to an upscale audience.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IFC Films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IFC Films, our independent film distribution business, is a leading distributor of high-quality, talent-driven independent films and operates three distribution labels: IFC Films, Sundance Selects, and IFC Midnight, all of which distribute independent films across virtually all available media platforms, including in theaters, on cable/satellite video on demand, cable network television, streaming/downloading to internet-connected screens and DVDs. IFC Films has a film library consisting of more than 800 titles.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Notable recent releases include the acclaimed </w:t>
      </w:r>
      <w:r>
        <w:rPr>
          <w:rFonts w:ascii="Arial" w:cs="Arial" w:eastAsia="Arial" w:hAnsi="Arial"/>
          <w:sz w:val="18"/>
          <w:szCs w:val="18"/>
          <w:i w:val="1"/>
          <w:iCs w:val="1"/>
          <w:color w:val="auto"/>
        </w:rPr>
        <w:t>The Death of Stalin</w:t>
      </w:r>
      <w:r>
        <w:rPr>
          <w:rFonts w:ascii="Arial" w:cs="Arial" w:eastAsia="Arial" w:hAnsi="Arial"/>
          <w:sz w:val="18"/>
          <w:szCs w:val="18"/>
          <w:color w:val="auto"/>
        </w:rPr>
        <w:t>, with Steve Buscemi, which was awarded Best Screenplay by the prestigious National Society of Film Critics. The film was also widely recognized in critics’ annual End-of-Year “Best of” lists, including The New York Times, Indiewire, Vulture, The Washington Post and Buzzfeed.</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Paul Dano-directed </w:t>
      </w:r>
      <w:r>
        <w:rPr>
          <w:rFonts w:ascii="Arial" w:cs="Arial" w:eastAsia="Arial" w:hAnsi="Arial"/>
          <w:sz w:val="18"/>
          <w:szCs w:val="18"/>
          <w:i w:val="1"/>
          <w:iCs w:val="1"/>
          <w:color w:val="auto"/>
        </w:rPr>
        <w:t>Wildlife</w:t>
      </w:r>
      <w:r>
        <w:rPr>
          <w:rFonts w:ascii="Arial" w:cs="Arial" w:eastAsia="Arial" w:hAnsi="Arial"/>
          <w:sz w:val="18"/>
          <w:szCs w:val="18"/>
          <w:color w:val="auto"/>
        </w:rPr>
        <w:t>, starring Carey Mulligan and Jake Gyllenhaal, debuted in early 2018 at the Sundance Film Festival and went on to open the prestigious Critics’ Week at the Cannes Film Festival in May, one of only 11 films to screen and the only American film featured. The film also screened at top festivals throughout the year, including the Toronto International Film Festival and the New York Film Festival, and opened with overwhelmingly positive reviews (the film has a 94% rating on Rotten Tomatoes).</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Other notable releases include </w:t>
      </w:r>
      <w:r>
        <w:rPr>
          <w:rFonts w:ascii="Arial" w:cs="Arial" w:eastAsia="Arial" w:hAnsi="Arial"/>
          <w:sz w:val="18"/>
          <w:szCs w:val="18"/>
          <w:i w:val="1"/>
          <w:iCs w:val="1"/>
          <w:color w:val="auto"/>
        </w:rPr>
        <w:t>The Clovehitch Killer</w:t>
      </w:r>
      <w:r>
        <w:rPr>
          <w:rFonts w:ascii="Arial" w:cs="Arial" w:eastAsia="Arial" w:hAnsi="Arial"/>
          <w:sz w:val="18"/>
          <w:szCs w:val="18"/>
          <w:color w:val="auto"/>
        </w:rPr>
        <w:t xml:space="preserve"> (distributed under the IFC Midnight label), critical darling </w:t>
      </w:r>
      <w:r>
        <w:rPr>
          <w:rFonts w:ascii="Arial" w:cs="Arial" w:eastAsia="Arial" w:hAnsi="Arial"/>
          <w:sz w:val="18"/>
          <w:szCs w:val="18"/>
          <w:i w:val="1"/>
          <w:iCs w:val="1"/>
          <w:color w:val="auto"/>
        </w:rPr>
        <w:t>Ghost Stories</w:t>
      </w:r>
      <w:r>
        <w:rPr>
          <w:rFonts w:ascii="Arial" w:cs="Arial" w:eastAsia="Arial" w:hAnsi="Arial"/>
          <w:sz w:val="18"/>
          <w:szCs w:val="18"/>
          <w:color w:val="auto"/>
        </w:rPr>
        <w:t xml:space="preserve">, and Lars von Trier’s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House That Jack Built</w:t>
      </w:r>
      <w:r>
        <w:rPr>
          <w:rFonts w:ascii="Arial" w:cs="Arial" w:eastAsia="Arial" w:hAnsi="Arial"/>
          <w:sz w:val="18"/>
          <w:szCs w:val="18"/>
          <w:color w:val="auto"/>
        </w:rPr>
        <w:t>.</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its strategy to grow the marketplace for independent films, IFC Films also operates the IFC Center as well as several film festivals. IFC Center is an independent movie theater located in the heart of New York City's Greenwich Village. DOC NYC, which is the largest non-fiction film festival in the U.S., is an annual festival celebrating documentary storytelling in film, photography, prose and other media. Split Screens festival is an annual event celebrating the art and cultural impact of television, that takes place at the IFC Center.</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Subscription Streaming Services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also operate our wholly-owned subscription streaming services, Sundance Now, launched in 2014, and Shudder, launched in 2015. These services are available in the United States, Canada and parts of Europe. Sundance Now features independent film, TV shows, documentaries, and original series. Shudder is dedicated to films in the horror, suspense and thriller genres. We primarily license content for these services.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Levity Entertainment Group</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2018, we acquired a controlling interest in Levity, a media company that owns and operates comedy venues and produces original content for distribution on multiple platforms, including live, digital and linear television. Levity is a leading player in live comedy with premium comedy venues in the U.S., including the legendary comedy brand, The Improv. The company also operates a talent management business and produces television content, including prime time specials with some of the biggest names in comedy, including Trevor Noah, Tracy Morgan, Margaret Cho, Sebastian Maniscalco and Gad Elmaleh.</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RLJ Entertainment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October 2018, we acquired a controlling interest in RLJE, a premium subscription streaming services company that operates Acorn TV and UMC. Acorn TV features high-quality British and International mysteries and dramas. UMC showcases quality urban programming including feature films, documentaries, original series, stand-up comedy and other exclusive content for African-American and urban audiences. In addition, RLJE owns a majority interest in Agatha Christie Ltd., a popular world-class franchise.</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RLJE also controls, co-produces, and either owns or has long-term distribution rights to a large library of content primarily consisting of British mysteries and dramas, independent feature films and urban content. In addition to supporting its streaming services, the company monetizes its library through distribution operations across virtually all available media platforms and is distributed in the United States, Canada, U.K. and Australia.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businesses are subject to and affected by regulations of U.S. federal, state and local government authorities, and our international operations are subject to laws and regulations of the countries in which they operate, as well as international bodies, such as the European Union. The Federal Communications Commission (the "FCC") regulates U.S. programming networks directly in some respects; other FCC regulations, although imposed on cable television operators and satellite operators, affect programming networks indirectly. The rules, regulations, policies and procedures affecting our businesses are constantly subject to change. The descriptions below are summary in nature and do not purport to describe all present and proposed laws and regulations affecting our businesses.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Closed Captioning</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of our networks must provide closed-captioning of programming for the hearing impaired, and we must provide closed captioning on certain video content that we offer on the Internet or through other Internet Protocol distribution methods.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CALM Act</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FCC rules require multichannel video programming distributors to ensure that all commercials comply with specified volume standards, and our distribution agreements generally require us to certify compliance with such standards.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Obscenity Restrictions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Cable operators and other multichannel video programming distributors are prohibited from transmitting obscene programming, and our distribution agreements generally require us to refrain from including such programming on our networks.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Packaging Programming and Volume Discounts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FCC from time to time examines whether to adopt rules restricting how programmers package and price their networks, or whether to impose other restrictions on carriage agreements between programmers and multichannel video programming distributors.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Effect of "Must-Carry" and "Retransmission Consent" Requirements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FCC's implementation of the statutory "must-carry" obligations requires cable and DBS operators to give certain broadcasters preferential access to channel space,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These carriage laws may reduce the amount of channel space that is available for carriage of our networks by cable television systems and DBS operators, or the amount of programming funds that cable and DBS operators have available for carriage of our networks.</w:t>
      </w:r>
    </w:p>
    <w:p>
      <w:pPr>
        <w:sectPr>
          <w:pgSz w:w="11900" w:h="16838" w:orient="portrait"/>
          <w:cols w:equalWidth="0" w:num="1">
            <w:col w:w="11420"/>
          </w:cols>
          <w:pgMar w:left="240" w:top="476"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76" w:right="239" w:bottom="1440" w:gutter="0" w:footer="0" w:header="0"/>
          <w:type w:val="continuous"/>
        </w:sectPr>
      </w:pPr>
    </w:p>
    <w:bookmarkStart w:id="12" w:name="page13"/>
    <w:bookmarkEnd w:id="12"/>
    <w:p>
      <w:pPr>
        <w:ind w:left="220"/>
        <w:spacing w:after="0"/>
        <w:rPr>
          <w:sz w:val="20"/>
          <w:szCs w:val="20"/>
          <w:color w:val="auto"/>
        </w:rPr>
      </w:pPr>
      <w:r>
        <w:rPr>
          <w:rFonts w:ascii="Arial" w:cs="Arial" w:eastAsia="Arial" w:hAnsi="Arial"/>
          <w:sz w:val="18"/>
          <w:szCs w:val="18"/>
          <w:b w:val="1"/>
          <w:bCs w:val="1"/>
          <w:i w:val="1"/>
          <w:iCs w:val="1"/>
          <w:color w:val="auto"/>
        </w:rPr>
        <w:t>Website Requirements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maintain various websites that provide information regarding our businesses and offer content for sale. The operation of these websites may be subject to a range of federal, state and local laws such as privacy, data security, accessibility, child safety and consumer protection regulations.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FCC also imposes rules that may impact us regarding a variety of issues such as political broadcasts, sponsorship identification, advertising in children's television, and telemarketing. Programming businesses are subject to regulation by the country in which they operate, as well as international bodies, such as the European Union. These regulations may include restrictions on types of advertising that can be sold on our networks, programming content requirements, requirements to make programming available on non-discriminatory terms, and local content quotas.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programming networks operate in three highly competitive markets. First, our programming networks compete with other programming networks and other types of programming services to obtain distribution on cable television systems and other multichannel video programming distribution systems, and ultimately for viewing by each distributor's subscribers. Second, our programming networks compete with other programming networks and other sources of video content, to secure desired entertainment programming. Third, our programming networks compete with other sellers of advertising time and space, including other cable programming networks, radio, newspapers, outdoor media and, increasingly, internet sites. The success of our businesses depends on our ability to license and produce content for our programming networks that is adequate in quantity and quality and will generate satisfactory viewer ratings. In each of these cases, some of our competitors are large publicly held companies that have greater financial resources than we do. In addition, we compete with these entities for advertising revenue.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 of Programming Networks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business of distributing programming networks to cable television systems and other multichannel video programming distributors and licensing of original programming for distribution is highly competitive. Our programming networks face competition from other programming networks for carriage by a particular multichannel video programming distributor, and for the carriage on the service tier that will attract the most subscribers. Once our programming network is selected by a distributor for carriage, that network competes for viewers not only with the other programming networks available on the distributor's system, but also with over-the-air broadcast television, Internet-based video and other online services, mobile services, radio, print media, motion picture theaters, DVDs, and other sources of information and entertainment.</w:t>
      </w:r>
    </w:p>
    <w:p>
      <w:pPr>
        <w:spacing w:after="0" w:line="17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Important to our success in each area of competition we face are the prices we charge for our programming networks, the quantity, quality and variety of the programming offered on our networks, and the effectiveness of our networks' marketing efforts. The competition for viewers among advertiser supported networks is directly correlated with the competition for advertising revenues with each of our competitors.</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ability to successfully compete with other networks may be hampered because the cable television systems or other multichannel video programming distributors through which we seek distribution may be affiliated with other programming networks. In addition,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such affiliated distributors carry our programming networks, such distributors may place their affiliated programming network on a more desirable tier, thereby giving the affiliated programming network a competitive advantage over our own.</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Programming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76" w:right="239" w:bottom="1440" w:gutter="0" w:footer="0" w:header="0"/>
          <w:type w:val="continuous"/>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with other parties that have produced or own the rights to such programming. Competition for this programming will increase as the number of programming networks and other distributors increases. Other programming networks that are affiliated with programming sources such as movie or television studios or film libraries may have a competitive advantage over us in this area.</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Advertising Revenue</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programming networks must compete with other sellers of advertising time and space, including other multichannel video programming distributors, radio, newspapers, outdoor media and increasing shifts in spending toward online and mobile offerings from more traditional media.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As of December 31, 2018 we had 2,234 full-time employees and 980 part-time employees. In addition, for certain of our productions, the Company, through in-house and third party production service companies, engages the services of writers, directors, actors and various crew members who are subject to certain specially negotiated collective bargaining agreements. Since these agreements are generally entered into on a per-project basis, negotiations occur on various agreements throughout the year. We believe that our relations with the labor unions and our employees are generally good.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 wide range of risks may affect our business, financial condition and results of operations,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business depends on the appeal of our programming to our U.S. and international viewers and our distributors, which may be unpredictable and volatile.</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business depends, in part, upon viewer preferences and audience acceptance in the U.S. and internationally of the programming on our networks.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could cause our programming to decline in popularity, which could result in a reduction of advertising revenues and jeopardize our bargaining position with distributors. In addition, certain of our competitors may have more flexible programming arrangements, as well as greater amounts of available content, distribution and capital resources, and may react more quickly than we might to shifts in tastes and interests.</w:t>
      </w:r>
    </w:p>
    <w:p>
      <w:pPr>
        <w:spacing w:after="0" w:line="1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To an increasing extent, the success of our business depends on original programming, and our ability to accurately predict how audiences will respond to our original programming is particularly important. Because original programming often involves a greater degree of commitment on our part, as compared to acquired programming that we license from third parties, and because our network branding strategies depend significantly on a relatively small number of original programs such as </w:t>
      </w:r>
      <w:r>
        <w:rPr>
          <w:rFonts w:ascii="Arial" w:cs="Arial" w:eastAsia="Arial" w:hAnsi="Arial"/>
          <w:sz w:val="17"/>
          <w:szCs w:val="17"/>
          <w:i w:val="1"/>
          <w:iCs w:val="1"/>
          <w:color w:val="auto"/>
        </w:rPr>
        <w:t>The Walking Dead</w:t>
      </w:r>
      <w:r>
        <w:rPr>
          <w:rFonts w:ascii="Arial" w:cs="Arial" w:eastAsia="Arial" w:hAnsi="Arial"/>
          <w:sz w:val="17"/>
          <w:szCs w:val="17"/>
          <w:color w:val="auto"/>
        </w:rPr>
        <w:t>,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programming rights in the past, and may incur future programming rights write-offs if it is determined that program rights have limited, or no, future usefulness.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feature films constitute a significant portion of the programming on our AMC, IFC and SundanceTV programming networks. In general, the popularity of feature-film content on linear television is declining, due in part to the broad availability of such content through an increasing number of distribution platforms. Should the popularity of feature-film programming suffer significant further declines, we may lose viewership, which could increase our costs.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If our programming does not gain the level of audience acceptance we expect, or if we are unable to maintain the popularity of our programming, our ratings may suffer, which will negatively affect advertising revenues, and we may have a diminished bargaining position with distributors, which could reduce our distribution revenues. Ratings for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have declined in recent years, which has had a negative effect on our advertising revenues and our financial results. We cannot assure you that</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76"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we will be able to maintain the success of any of our current programming, or generate sufficient demand and market acceptance for our new programming.</w:t>
      </w: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failure to develop popular new programming to replace programming that is older or ending can have adverse impacts on our business and results of operations.</w:t>
      </w:r>
    </w:p>
    <w:p>
      <w:pPr>
        <w:spacing w:after="0" w:line="17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business derives a substantial portion of its revenues and income from cable television providers and other multichannel video programming distributors. The U.S. television industry is continuing to evolve rapidly, with developments in technology leading to new methods for the distribution of video content and changes in when, where and how audiences consume video content. These changes pose risks to the traditional U.S. television industry, including (i) the disruption of the traditional television content distribution model by subscription streaming services and virtual multichannel video programming services, which are increasing in number and some of which have a significant and growing subscriber base, and (ii) the disruption of the advertising supported television model resulting from increased video consumption through subscription streaming services and virtual multichannel video programing services with no advertising or less advertising than on television networks, time shifted viewing of television programming and the use of DVRs to skip advertisements. In part as a result of these changes, over the past few years, the number of subscribers to traditional multichannel video programming distributors in the U.S. has declined and the U.S. television industry has experienced declines in ratings for programming, which has negatively affected subscription and advertising revenues. Developments in technology and new content delivery products and services have also led to an increasing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some of these initiatives depends in part on the cooperation of measurement companies, advertisers and affiliates and, therefore, is not within our control. We may incur significant costs to implement our strategy and initiatives, and if they are not successful, our competitive position, businesses and results of operations could be adversely affected.</w:t>
      </w:r>
    </w:p>
    <w:p>
      <w:pPr>
        <w:spacing w:after="0" w:line="169"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Our programming networks' success depends upon the availability of programming that is adequate in quantity and quality, and we may be unable to secure or maintain such programming.</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programming networks' success depends upon the availability of quality programming, particularly original programming and films, that is suitable for our target markets. While we produce certain of our original programming through our studio operations, we obtain most of the programming on our networks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Competition for programming has increased as the number of programming networks has increased. Other programming networks that are affiliated with programming sources such as movie or television studios or film libraries may have a competitive advantage over us in this area. In addition to other cable programming networks, we also compete for programming with national broadcast television networks, local broadcast television stations, video on demand services and subscription video on demand services, such as Netflix, Hulu and Amazon Prime. Some of these competitors have exclusive contracts with motion picture studios or independent motion picture distributors or own film libraries.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cannot assure you that we will ultimately be successful in producing or obtaining the quality programming our networks need to be successful.</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programming costs may adversely affect our profits.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produce a significant amount of original programming and other content and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and acquired programming are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Apple, Netflix, Amazon Prime and Hulu, may increase our programming content costs.</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 producers and other creative talent over the amount of royalty and other payments (See Item 3. – Legal Proceedings for additional information). The Company believes that disputes of this type are endemic to its business and similar disputes may arise from time to time in the future. An increase in the costs of programming may lead to decreased profitability or otherwise adversely affect our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5" w:name="page16"/>
    <w:bookmarkEnd w:id="15"/>
    <w:p>
      <w:pPr>
        <w:jc w:val="both"/>
        <w:ind w:firstLine="405"/>
        <w:spacing w:after="0" w:line="257" w:lineRule="auto"/>
        <w:rPr>
          <w:sz w:val="20"/>
          <w:szCs w:val="20"/>
          <w:color w:val="auto"/>
        </w:rPr>
      </w:pPr>
      <w:r>
        <w:rPr>
          <w:rFonts w:ascii="Arial" w:cs="Arial" w:eastAsia="Arial" w:hAnsi="Arial"/>
          <w:sz w:val="18"/>
          <w:szCs w:val="18"/>
          <w:color w:val="auto"/>
        </w:rPr>
        <w:t>Original programming requires substantial financial commitment. In some cases, the financial commitment may be partially offset by foreign, state or local tax incentives. However, there is a risk that the tax incentives will not remain available for the duration of a series. If tax incentives are no longer available, reduced substantially, or cannot be utilized, it may result in increased costs for us to complete the production or make the production of additional seasons more expensive. If we are unable to produce original programming content on a cost effective basis our business, financial condition and results of operations may be materially adversely affected.</w:t>
      </w:r>
    </w:p>
    <w:p>
      <w:pPr>
        <w:spacing w:after="0" w:line="188"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success of our businesses depends in part on our ability to maintain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increasing use of digital formats and technologies heightens this risk. Unauthorized access to our content could result in the premature release of our programming, which may have a significant adverse effect on the value of the affected programming.</w:t>
      </w:r>
    </w:p>
    <w:p>
      <w:pPr>
        <w:spacing w:after="0" w:line="1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15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158"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b w:val="1"/>
          <w:bCs w:val="1"/>
          <w:i w:val="1"/>
          <w:iCs w:val="1"/>
          <w:color w:val="auto"/>
        </w:rPr>
        <w:t>Because a limited number of distributors account for a large portion of our business, failure to renew our programming networks' distribution agreements, or renewal on less favorable terms, or the termination of those agreements, both in the U.S. and internationally, could have a material adverse effect on our business.</w:t>
      </w:r>
    </w:p>
    <w:p>
      <w:pPr>
        <w:spacing w:after="0" w:line="18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programming networks depend upon agreements with a limited number of cable television system operators and other multichannel video programming distributors. The loss of any significant distributor could have a material adverse effect on our consolidated results of operations.</w:t>
      </w:r>
    </w:p>
    <w:p>
      <w:pPr>
        <w:spacing w:after="0" w:line="14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Currently our programming networks have distribution agreements with staggered expiration dates through 2026</w:t>
      </w:r>
      <w:r>
        <w:rPr>
          <w:rFonts w:ascii="Arial" w:cs="Arial" w:eastAsia="Arial" w:hAnsi="Arial"/>
          <w:sz w:val="16"/>
          <w:szCs w:val="16"/>
          <w:i w:val="1"/>
          <w:iCs w:val="1"/>
          <w:color w:val="auto"/>
        </w:rPr>
        <w:t>.</w:t>
      </w:r>
      <w:r>
        <w:rPr>
          <w:rFonts w:ascii="Arial" w:cs="Arial" w:eastAsia="Arial" w:hAnsi="Arial"/>
          <w:sz w:val="16"/>
          <w:szCs w:val="16"/>
          <w:color w:val="auto"/>
        </w:rPr>
        <w:t xml:space="preserve"> Failure to renew distribution agreements, or renewal on less favorable terms (including with respect to price, packaging, positioning and other marketing opportunities), or the termination of distribution agreements could have a material adverse effect on our results of operations</w:t>
      </w:r>
      <w:r>
        <w:rPr>
          <w:rFonts w:ascii="Arial" w:cs="Arial" w:eastAsia="Arial" w:hAnsi="Arial"/>
          <w:sz w:val="16"/>
          <w:szCs w:val="16"/>
          <w:i w:val="1"/>
          <w:iCs w:val="1"/>
          <w:color w:val="auto"/>
        </w:rPr>
        <w:t>.</w:t>
      </w:r>
      <w:r>
        <w:rPr>
          <w:rFonts w:ascii="Arial" w:cs="Arial" w:eastAsia="Arial" w:hAnsi="Arial"/>
          <w:sz w:val="16"/>
          <w:szCs w:val="16"/>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15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addition, we have, in some instances, made upfront payments to distributors in exchange for additional subscribers or have agreed to waive or accept lower subscription fees if certain numbers of additional subscribers are provided. We also may help fund our distributors' efforts to market our programming networks or we may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ind w:left="420"/>
        <w:spacing w:after="0" w:line="277" w:lineRule="auto"/>
        <w:rPr>
          <w:sz w:val="20"/>
          <w:szCs w:val="20"/>
          <w:color w:val="auto"/>
        </w:rPr>
      </w:pPr>
      <w:r>
        <w:rPr>
          <w:rFonts w:ascii="Arial" w:cs="Arial" w:eastAsia="Arial" w:hAnsi="Arial"/>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w:t>
      </w:r>
    </w:p>
    <w:p>
      <w:pPr>
        <w:spacing w:after="0" w:line="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subject to intense competition, which may have a negative effect on our profitability or on our ability to expand our business.</w:t>
      </w:r>
    </w:p>
    <w:p>
      <w:pPr>
        <w:spacing w:after="0" w:line="23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programming industry is highly competitive. Our programming networks compete with other programming networks and other types of video programming services for marketing and distribution by cable and other multichannel video programming distribution systems and ultimately for viewing by their subscribers. We compete with other providers of programming networks for the right to be carried by a particular cable or other multichannel video programming distribution system and for the right to be carried by such system on a particular "tier" of service. The increasing offerings by virtual multichannnel video programming distributors through alternative distribution methods creates competition for carriage on those platforms. Our programming networks compete with other programming networks and other sources of video content to secure desired entertainment programming.</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Competition for content, audiences and advertising is intense and comes from broadcast television, other cable networks, distributors, including subscription streaming services and virtual multichannel video programming services, social media content distributors, and other entertainment outlets and platforms, as well as from search, social networks, program guides and "second screen" applications.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Increased competition from additional entrants into the market for development and production of original programming, such as Apple, Facebook, YouTube, Netflix, Amazon Prime and Hulu, increases our content costs as creating competing high quality, original content requires significant investment. In addition, as competition with these entrants for the creation and acquisition of quality programming continues to escalate, the complexity of negotiations over acquired rights to the content and the value of the rights we acquire or retain may increase, leading to increased acquisition costs, and our ability to successfully acquire content of the highest quality may face greater uncertainty.</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14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Certain programming networks affiliated with broadcast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multichannel video programming distributors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 Our competitors could also have preferential access to important technologies, customer data or other competitive information.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 providers create or acquire their own content, they may have significant competitive advantages, which could adversely affect our ability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negotiate favorable terms and distribution or otherwise compete effectively in the delivery marketplace. Our competitors could also have preferential access to important technologies, customer data or other competitive information.</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17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may not be able to adapt to new content distribution platforms and to changes in consumer behavior resulting from these new technologies, which may adversely affect our business.</w:t>
      </w:r>
    </w:p>
    <w:p>
      <w:pPr>
        <w:spacing w:after="0" w:line="170"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must successfully adapt to technological advances in our industry, including alternative distribution platforms. Our ability to exploit new distribution platforms and viewing technologies will affect our ability to maintain or grow our business. New forms of content distribution may provide different economic models and compete with current distribution methods in ways that are not entirely predictable. Such competition could reduce demand for our traditional television offerings or for the offerings of digital platforms and reduce our revenue from these sources. Accordingly, we must adapt to changing consumer behavior driven by advances such as virtual multichannel video programming distributors, digital video recorders, video on demand, subscription video on demand, including services such as Netflix, Hulu, Apple TV, Google TV and Amazon Prime and mobile devices. Gaming and other consoles such as Microsoft's Xbox, Sony's Playstation and Nintendo's Wii and Roku are establishing themselves as alternative providers of video services. Such changes may impact the revenues we are able to generate from our traditional distribution methods, either by decreasing the viewership of our programming networks on cable and other multichannel video programming distribution systems which are almost entirely directed at television video delivery or by making advertising on our programming networks less valuable to advertisers. If we fail to adapt our distribution methods and content to new technologies, our appeal to our targeted audiences might decline and there could be a negative effect on our business. In addition, advertising revenues could be significantly impacted by new technologies, since advertising sales are dependent on audience measurement provided by third parties, and the results of audience measurement techniques can vary independent of the size of the audience for a variety of reasons, including difficulties related to the employed statistical sampling methods, new distribution platforms and viewing technologies, and the shifting of the marketplace to the use of measurement of different viewer behaviors, such as delayed viewing. Moreover, devices that allow users to fast forward or skip programming, including commercials, are causing changes in consumer behavior that may affect the desirability of our programming services to advertisers.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Advertising market conditions in specific markets could cause our revenues and operating results to decline significantly in any given period.</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derive substantial revenues from the sale of advertising on a variety of platforms, and a decline in advertising expenditures could have a significant adverse effect on our revenues and operating results in any given period.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spots and advertising exchanges, some or all of which may not be as advantageous to the Company as current advertising methods. The increasing number of entertainment choices available to consumers has intensified audience fragmentation and reduced the viewing of content through traditional and virtual multichannel video programming providers, which has caused, and may continue to cause, audience ratings declines for our programming networks and may adversely affect the pricing and volume of advertising</w:t>
      </w:r>
    </w:p>
    <w:p>
      <w:pPr>
        <w:spacing w:after="0" w:line="1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Advertising sales are dependent on audience measurement, and the results of audience measurement techniques can vary independent of the size of the audience for a variety of reasons, including variations in the employed statistical sampling methods.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is in its infancy, and viewership on tablets and smartphones, which is growing rapidly, is presently not measured by any one consistently applied method. These variations and changes could have a significant effect on advertising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risks from doing business internationally.</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116" w:lineRule="exact"/>
        <w:rPr>
          <w:sz w:val="20"/>
          <w:szCs w:val="20"/>
          <w:color w:val="auto"/>
        </w:rPr>
      </w:pPr>
    </w:p>
    <w:p>
      <w:pPr>
        <w:ind w:left="660" w:right="20" w:hanging="247"/>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and policies affecting trade and taxes, including laws and policies relating to the repatriation of funds and withholding taxes, and changes in these laws;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local regulatory requirements, including restrictions on content, imposition of local content quotas and restrictions on foreign ownership;</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18" w:name="page19"/>
    <w:bookmarkEnd w:id="18"/>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controls, tariffs and other trade barriers;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degrees of protection for intellectual property and varying attitudes towards the piracy of intellectual property;</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privacy and data protection laws and regulations and changes in these laws;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instability of foreign economies and governments;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117"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anti-corruption laws and regulations such as the Foreign Corrupt Practices Act and the U.K. Bribery Act that impose stringent requirements on how we conduct our foreign operations and changes in these laws and regulations; and</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shifting consumer preferences regarding the viewing of video programming.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Events or developments related to these and other risks associated with international trade could adversely affect our revenues from non-U.S. sources, which could have a material adverse effect on our business, financial condition, operating results, liquidity and prospects.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problems in the United States or in other parts of the world could adversely affect our results of operations.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business is affected by prevailing economic conditions and by disruptions to financial markets. We derive substantial revenues from advertisers, and these expenditures are sensitive to general economic conditions and consumer buying patterns. Financial instability or a general decline in economic conditions in the United States and other countries where our networks are distributed could adversely affect advertising rates and volume, which may result in a decrease in our advertising revenues.</w:t>
      </w:r>
    </w:p>
    <w:p>
      <w:pPr>
        <w:spacing w:after="0" w:line="1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Decreases in consumer discretionary spending in the U.S and other countries where our networks are distributed may affect cable television and other video service subscriptions, in particular with respect to digital service tiers on which certain of our programming networks are carried. This could lead to a decrease in the number of subscribers receiving our programming from multichannel video programming distributors, which could have a negative impact on our viewing subscribers and subscription fee revenues. Similarly, a decrease in viewing subscribers would also have a negative impact on the number of viewers actually watching the programs on our programming networks, which could also impact the rates we are able to charge advertisers.</w:t>
      </w:r>
    </w:p>
    <w:p>
      <w:pPr>
        <w:spacing w:after="0" w:line="21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Economic conditions affect a number of aspects of our businesses worldwide and impact the businesses of our advertisers on our networks and reduce their spending on advertising. Economic conditions can also negatively affect the ability of those with whom we do business to satisfy their obligations to us. The general worsening of current global economic conditions could adversely affect our business, financial condition or results of operations. Further worsening of economic conditions in certain specific parts of the world could impact the expansion and success of our businesses in such areas. Furthermore, some foreign markets where we operate may be more adversely affected by economic conditions than those prevailing in the U.S. or other countries.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exchange rates could have an adverse effect on our results of operations.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18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Specifically, we are exposed to foreign currency exchange rate risk to the extent that we enter into transactions denominated in currencies other than ours or our subsidiaries' respective functional currencies (non-functional currency risk),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17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2" w:right="2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b w:val="1"/>
          <w:bCs w:val="1"/>
          <w:i w:val="1"/>
          <w:iCs w:val="1"/>
          <w:color w:val="auto"/>
        </w:rPr>
        <w:t>Our business is limited by United States regulatory constraints which may adversely impact our operations.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Although most aspects of our business generally are not directly regulated by the FCC, there are certain FCC regulations that govern our business either directly or indirectly. See Item 1, "Business—Regulation" in this Annual Report. Furthermore, to the extent that regulations and laws, either presently in force or proposed, hinder or stimulate the growth of the cable television, satellite or other multichannel video programming distributors, our business could be affected.</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United States Congress and the FCC currently have under consideration, and may in the future adopt, new laws, regulations and policies regarding a wide variety of matters that could, directly or indirectly, affect our operations.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regulation of cable television services, satellite carriers, and other video programming distributors is subject to the political process and has been in constant flux over the past two decades. Further material changes in the law and regulatory requirements must be anticipated. We cannot assure you that our business will not be adversely affected by future legislation, new regulation or deregulation.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businesses are subject to risks of adverse regulation by foreign governments.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Programming businesses are subject to the regulations of the countries in which they operate as well as international bodies, such as the European Union ("E.U."). These regulations may include restrictions on advertising that can be sold on our networks, programming content requirements, requirements to make programming available on non-discriminatory terms, and local content quotas. Consequently, our businesses must adapt their ownership and organizational structure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15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Proposed or new legislation and regulations could also significantly affect our business. For example, the E.U. has adopted GDPR, which expands the regulation of personal data processing throughout the E.U. and significantly increases penalties for non-compliance. Complying with these laws and regulations could be costly, require us to change our business practices, or limit or restrict aspects of our business in a manner adverse to our business operations. Many of these laws and regulations continue to evolve, and substantial uncertainty surrounds their scope and application. Our failure to comply could result in exposure to enforcement by U.S. or foreign governments, as well as significant negative publicity and reputational damage.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Adverse changes in rules and regulations could have a significant adverse impact on our profitability.</w:t>
      </w:r>
    </w:p>
    <w:p>
      <w:pPr>
        <w:spacing w:after="0" w:line="225"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As a company that has operations in the United Kingdom, the vote by the United Kingdom to leave the E.U. could have an adverse impact on our business, results of operations and financial position.</w:t>
      </w:r>
    </w:p>
    <w:p>
      <w:pPr>
        <w:spacing w:after="0" w:line="1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June 23, 2016, the U.K. held a referendum in which voters approved an exit from the E.U., commonly referred to as "Brexit." As a result of the referendum, the British government has been negotiating the terms of the U.K.'s future relationship with the E.U. The effects of Brexit will depend on whether the U.K. is able to reach an agreement on terms with the E.U. before its departure and the terms of any agreements the U.K. makes to retain access to the E.U. markets either during a transitional period or more permanently. The measures could potentially disrupt the markets we serve and may cause us to lose subscribers, distributors and employees. If the U.K. loses access to the single E.U. market and the global trade deals negotiated by the E.U., it could have a detrimental impact on our U.K. growth. Such a decline could also make our doing business in Europe more difficult, which could delay and reduce the scope of our distribution and licensing agreements. Without access to the single E.U. market, it may be more challenging and costly to obtain intellectual property rights for our content within the U.K. or distribute our services in Europe. In addition, Brexit could lead to legal uncertainty and potentially divergent national laws and regulations as the U.K. determines which E.U. laws to replace and replicate. If there are changes to U.K. immigration policy as a result of Brexit, this could affect our employees and their ability to move freely between the E.U. member states for work related matters.</w:t>
      </w:r>
    </w:p>
    <w:p>
      <w:pPr>
        <w:spacing w:after="0" w:line="169" w:lineRule="exact"/>
        <w:rPr>
          <w:sz w:val="20"/>
          <w:szCs w:val="20"/>
          <w:color w:val="auto"/>
        </w:rPr>
      </w:pPr>
    </w:p>
    <w:p>
      <w:pPr>
        <w:ind w:left="420" w:right="420"/>
        <w:spacing w:after="0" w:line="277" w:lineRule="auto"/>
        <w:rPr>
          <w:sz w:val="20"/>
          <w:szCs w:val="20"/>
          <w:color w:val="auto"/>
        </w:rPr>
      </w:pPr>
      <w:r>
        <w:rPr>
          <w:rFonts w:ascii="Arial" w:cs="Arial" w:eastAsia="Arial" w:hAnsi="Arial"/>
          <w:sz w:val="18"/>
          <w:szCs w:val="18"/>
          <w:b w:val="1"/>
          <w:bCs w:val="1"/>
          <w:i w:val="1"/>
          <w:iCs w:val="1"/>
          <w:color w:val="auto"/>
        </w:rPr>
        <w:t>We face continually evolving cybersecurity and similar risks, which could result in the disclosure of confidential information, disruption of our programming, damage to our brands and reputation, legal exposure and financial losses.</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maintain information in digital form as necessary to conduct our business, including confidential and proprietary information regarding our content, distributors, advertisers, viewers and employees. Data maintained in digital form is subject to the risk of cybersecurity attacks, tampering and theft. We develop and maintain systems to monitor and prevent this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Additionally, outside parties may attempt to fraudulently induce employees or users to disclose sensitive or confidential information in order to gain access to data. Because the techniques used to obtain unauthorized access, disable or degrade service, or sabotage systems change frequently and often are not recognized until launched against a target, we may be unable to anticipate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these techniques or to implement adequate preventative measures. If our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If our technology facilities fail or their operations are disrupted, or if we lose access to third party satellites, our performance could be hindered.</w:t>
      </w:r>
    </w:p>
    <w:p>
      <w:pPr>
        <w:spacing w:after="0" w:line="2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 time disaster recovery site in Chandler, Arizona. The facility provides simultaneous playout of AMC and evergreen programming for SundanceTV, IFC and WE tv. In the event of a catastrophic failure of the Bethpage facility, the disaster recovery site can be operational within 1-2 hours. Evergreen programming would be replaced with scheduled programming within 12-24 hours for SundanceTV, IFC and WE tv.</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any of our key personnel and artistic talent could adversely affect our business.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that our success depends to a significant extent upon the performance of our senior executives. We generally do not maintain "key man" insurance. In addition, we depend on the availability of third-party production companies to create most of our original programming. For certain of our productions, the Company, through in-house and third party production service companies, engages the services of writers, directors, actors and various crew members who are subject to certain specially negotiated collective bargaining agreements. Any labor disputes or a strike by one or more unions representing any of these parties who are essential to our original programming could have a material adverse effect on our original programming, disrupt our operations and reduce our revenues. The loss of any significant personnel or artistic talent, or our artistic talent losing their audience base, could also have a material adverse effect on our business.</w:t>
      </w:r>
    </w:p>
    <w:p>
      <w:pPr>
        <w:spacing w:after="0" w:line="18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10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acquired companies into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incurrence of additional operating losses and operating expenses of the businesses we acquired or in which we invested;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of integrating acquired technology and rights into our services and unanticipated expenses related to such integration;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successfully further develop an acquired business or technology and any resulting impairment of amounts currently capitalized as intangible assets;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strategic investments to perform as expected or to meet financial projections;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patent and trademark infringement and data privacy and security claims against the acquired companies, or companies in which we have invested;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or other claims in connection with acquisitions, acquired companies, or companies in which we have invested;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impairment of relationships with, or failure to retain, employees of acquired companies or our existing employees as a result of integration of new personnel;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of integrating operations, systems, and controls as a result of cultural, regulatory, systems, and operational differences;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management of companies in which we invest but do not control;</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foreign acquisitions and investments, the impact of particular economic, tax, currency, political, legal and regulatory risks associated with specific countries;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have exposure to additional tax liabilities.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w:t>
      </w:r>
    </w:p>
    <w:p>
      <w:pPr>
        <w:spacing w:after="0" w:line="2" w:lineRule="exact"/>
        <w:rPr>
          <w:sz w:val="20"/>
          <w:szCs w:val="20"/>
          <w:color w:val="auto"/>
        </w:rPr>
      </w:pPr>
    </w:p>
    <w:p>
      <w:pPr>
        <w:jc w:val="both"/>
        <w:ind w:firstLine="8"/>
        <w:spacing w:after="0" w:line="255" w:lineRule="auto"/>
        <w:tabs>
          <w:tab w:leader="none" w:pos="27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1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Although a portion of our revenue and operating income is generated outside the United States, we are subject to potential current U.S. income tax on this income due to our being a U.S. corporation. Our worldwide effective tax rate may be reduced under a provision in U.S. tax law that defers the imposition of U.S. tax on certain foreign active income until that income is repatriated to the United States. Any repatriation of assets held in foreign jurisdictions or recognition of foreign income that fails to meet the U.S. tax requirements related to deferral of U.S. income tax may result in a higher effective tax rate for the Company. This includes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While the Company may mitigate this increase in its effective tax rate through claiming a foreign tax credit against its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16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December 22, 2017 the Tax Cuts and Jobs Act ("TCJA") was enacted and is expected to significantly impact companies' accounting for and reporting of income taxes. Under the TCJA, the Subpart F rules continue to exist in addition to a minimum tax on certain foreign earnings in excess of 10 percent of the foreign subsidiaries tangible assets (i.e., global intangible low-taxed income or GILTI). The TCJA also allows a reduced tax on excess returns of a U.S. corporation from foreign sales (i.e., foreign derived intangibles income or FDII). As a transition from the deferral of U.S. tax on certain foreign active income to the new tax laws, the TCJA set forth a one-time transition tax based on total post-1986 earnings and profits ("E&amp;P") of certain foreign subsidiaries that were previously tax deferred. While the Company may mitigate any potential negative impacts of the one-time transition tax or other effects of tax reform through claiming a foreign tax credit against its U.S. federal income taxes, we are subject to various limitations on claiming foreign tax credits that may limit any reduction of the increased effective rate.</w:t>
      </w:r>
    </w:p>
    <w:p>
      <w:pPr>
        <w:spacing w:after="0" w:line="17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such as those relating to fundamental U.S. international tax reform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 significant amount of our book value consists of intangible assets that may not generate cash in the event of a voluntary or involuntary sale.</w:t>
      </w:r>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31, 2018, our consolidated financial statements included approximately $5.3 billion of consolidated total assets, of which approximately $1.4 billion were classified as intangible assets. Intangible assets primarily include affiliation agreements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22"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have a significant indemnity obligation if the Distribution is treated as a taxable transaction.</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Prior to the distribution of all of the outstanding common stock of the Company to stockholders of Cablevision, which is now a subsidiary of Altice USA, in the Distribution, Cablevision received a private letter ruling from the Internal Revenue Service ("IRS") to the effect that, among other things, the Distribution, and certain related transactions would qualify for tax-free treatment under the Internal Revenue Code (the "Code") to Cablevision, AMC Networks, and holders of Cablevision common stock. Although a private letter ruling from the IRS generally is binding on the IRS, if the factual representations or assumptions made in the letter ruling request were untrue or incomplete in any material respect, Cablevision would not be able to rely on the ruling. Furthermore, the IRS will not rule on whether a distribution satisfies certain requirements necessary to obtain tax-free treatment under the Code. Rather, the ruling was based upon representations by Cablevision that these conditions were satisfied, and any inaccuracy in such representations could invalidate the ruling.</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the Distribution does not qualify for tax-free treatment for United States federal income tax purposes, then, in general, Cablevision would be subject to tax as if it had sold the common stock of our Company in a taxable sale for its fair market value. Cablevision's stockholders would be subject to tax as if they had received a distribution equal to the fair market value of our common stock that was distributed to them, which generally would be treated first as a taxable dividend to the extent of Cablevision's earnings and profits, then as a non-taxable return of capital to the extent of each stockholder's tax basis in his or her Cablevision stock, and thereafter as capital gain with respect to the remaining value. It is expected that the amount of any such taxes to Cablevision's stockholders and Cablevision would be substantial.</w:t>
      </w:r>
    </w:p>
    <w:p>
      <w:pPr>
        <w:spacing w:after="0" w:line="19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part of the Distribution, we entered into a tax disaffiliation agreement with Cablevision, which sets out each party's rights and obligations with respect to deficiencies and refunds, if any, of federal, state, local or foreign taxes for periods before and after the Distribution and related matters such as the filing of tax returns and the conduct of IRS and other audits. Pursuant to the tax disaffiliation agreement, we are required to indemnify Cablevision for losses and taxes of Cablevision relating to the Distribution or any related debt exchanges resulting from the breach of certain covenants, including as a result of certain acquisitions of our stock or assets or as a result of modification or repayment of certain related debt in a manner inconsistent with the private letter ruling or letter ruling request. If we are required to indemnify Cablevision under the circumstances set forth in the tax disaffiliation agreement, we may be subject to substantial liabilities, which could have a material negative effect on our business, results of operations, financial position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substantial long-term debt and high leverage could adversely affect our business.</w:t>
      </w:r>
    </w:p>
    <w:p>
      <w:pPr>
        <w:spacing w:after="0" w:line="225"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have a significant amount of long-term debt. As of December 31, 2018, we had $3.2 billion principal amount of total long-term debt (excluding capital leases), $750.0 million of which is senior secured debt under our Credit Facility and $2.4 billion of which is senior unsecured debt.</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make payments on, or repay or refinance, our debt, and to fund planned distributions and capital expenditures, will depend largely upon our future operating performance. Our future performance, to a certain extent, is subject to general economic, financial, competitive, regulatory and other factors that are beyond our control. In addition, our ability to borrow funds in the future to make payments on our debt will depend on the satisfaction of the covenants in the Credit Facility and our other debt agreements, including indentures governing our notes and other agreements we may enter into in the future.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171"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jc w:val="both"/>
        <w:ind w:left="640" w:hanging="321"/>
        <w:spacing w:after="0" w:line="26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long-term, we do not expect to generate sufficient cash from operations to repay at maturity our outstanding debt obligations. As a result, we will be dependent upon our ability to access the capital and credit markets. Failure to raise significant amounts of funding to repay these obligations at maturity could adversely affect our business. If we are unable to raise such amounts, we would need to take other actions including selling assets, seeking strategic investments from third parties or reducing</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76" w:right="239" w:bottom="1440" w:gutter="0" w:footer="0" w:header="0"/>
          <w:type w:val="continuous"/>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other discretionary uses of cash. The Credit Facility and indentures governing our notes will restrict, and market or business conditions may limit, our ability to do some of these things.</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 significant portion of our debt bears interest at variable rates. While we have entered into hedging agreements limiting our exposure to higher interest rates, such agreements do not offer complete protection from this risk.</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agreements governing our debt contain various covenants that impose restrictions on us that may affect our ability to operate our business.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agreements governing the Credit Facility and the indentures governing our notes contain covenants that, among other things, limit our ability to:</w:t>
      </w:r>
    </w:p>
    <w:p>
      <w:pPr>
        <w:spacing w:after="0" w:line="86"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on or redeem or repurchase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specified types of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Credit Facility requires us to comply with a Cash Flow Ratio and an Interest Coverage Ratio, each as defined in the Credit Facility. Compliance with these covenants may limit our ability to take actions that might be to the advantage of the Company and our stockholders.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covenants and maintain these financial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93"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be able to incur additional debt in the future. The terms of the Credit Facility and indentures governing our notes allow us to incur substantial amounts of additional debt, subject to certain limitations. In addition, as we have in the past, we may in the future refinance all or a portion of our debt, including borrowings under the Credit Facility, and obtain the ability to incur more debt as a result. If new debt is added to our current debt levels, the related risks we could face would be magnified.</w:t>
      </w:r>
    </w:p>
    <w:p>
      <w:pPr>
        <w:spacing w:after="0" w:line="18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further increase our future borrowing costs and reduce our access to capital.</w:t>
      </w:r>
    </w:p>
    <w:p>
      <w:pPr>
        <w:spacing w:after="0" w:line="1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debt ratings for our notes are below the "investment grade" category, which results in higher borrowing costs as well as a reduced pool of potential purchasers of our debt as some investors will not purchase debt securities that are not rated in an investment grade rating category. In addition, there can be no assurance that any rating assigned will remain for any given period of time or that a rating will not be lowered or withdrawn entirely by a rating agency, if in that rating agency's judgment, future circumstances relating to the basis of the rating, such as adverse changes, so warrant. A lowering or withdrawal of a rating may further increase our future borrowing costs and reduce our access to capital.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Controlled Ownership</w:t>
      </w:r>
    </w:p>
    <w:p>
      <w:pPr>
        <w:spacing w:after="0" w:line="229" w:lineRule="exact"/>
        <w:rPr>
          <w:sz w:val="20"/>
          <w:szCs w:val="20"/>
          <w:color w:val="auto"/>
        </w:rPr>
      </w:pPr>
    </w:p>
    <w:p>
      <w:pPr>
        <w:ind w:left="420" w:right="260"/>
        <w:spacing w:after="0" w:line="381" w:lineRule="auto"/>
        <w:rPr>
          <w:sz w:val="20"/>
          <w:szCs w:val="20"/>
          <w:color w:val="auto"/>
        </w:rPr>
      </w:pPr>
      <w:r>
        <w:rPr>
          <w:rFonts w:ascii="Arial" w:cs="Arial" w:eastAsia="Arial" w:hAnsi="Arial"/>
          <w:sz w:val="15"/>
          <w:szCs w:val="15"/>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two classes of common stock:</w:t>
      </w:r>
    </w:p>
    <w:p>
      <w:pPr>
        <w:spacing w:after="0" w:line="225" w:lineRule="exact"/>
        <w:rPr>
          <w:sz w:val="20"/>
          <w:szCs w:val="20"/>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Class A Common Stock, which is entitled to one vote per share and is entitled collectively to elect 25% of our Board of Directors.</w:t>
      </w:r>
    </w:p>
    <w:p>
      <w:pPr>
        <w:spacing w:after="0" w:line="171"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B Common Stock, which is generally entitled to ten votes per share and is entitled collectively to elect the remaining 75% of our Board of Directors.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2018, the Dolan family, including trusts for the benefit of members of the Dolan family (collectively "the Dolan Family Group"), own all of our Class B Common Stock, approximately 3% of our outstanding Class A Common Stock and approximately 73% of the total voting power of all our outstanding common stock. The members of the Dolan Family Group</w:t>
      </w:r>
    </w:p>
    <w:p>
      <w:pPr>
        <w:sectPr>
          <w:pgSz w:w="11900" w:h="16838" w:orient="portrait"/>
          <w:cols w:equalWidth="0" w:num="1">
            <w:col w:w="11420"/>
          </w:cols>
          <w:pgMar w:left="240" w:top="476"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76" w:right="239" w:bottom="1440" w:gutter="0" w:footer="0" w:header="0"/>
          <w:type w:val="continuous"/>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have executed a voting agreement that has the effect of causing the voting power of the holders of our Class B Common Stock to be cast as provided therein with respect to all matters to be voted on by 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"Excluded Trusts") that collectively own 48% of the outstanding Class B Common Stock. The Dolan Family Committee consists of Charles F. Dolan and his six children,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will be able to do so without obtaining the consent of the Dolan Family Group.</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Dolan Family Group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the affirmative vote or consent of the holders of at least 66 2/3% of the outstanding shares of the Class B Common Stock, voting separately as a class, is required to approve:</w:t>
      </w:r>
    </w:p>
    <w:p>
      <w:pPr>
        <w:spacing w:after="0" w:line="116"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authorization or issuance of any additional shares of Class B Common Stock, and</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amendment, alteration or repeal of any of the provisions of our certificate of incorporation that adversely affects the powers, preferences or rights of the Class B Common Stock.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the Dolan Family Group has the power to prevent such issuance or amendment.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Charles F. Dolan and certain of his family members and related entities on the other hand. This policy does not address all possible conflicts which may arise, and there can be no assurance that this policy will be effective in dealing with conflict scenarios.</w:t>
      </w:r>
    </w:p>
    <w:p>
      <w:pPr>
        <w:spacing w:after="0" w:line="18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for The NASDAQ Stock Market LLC purposes, which allows us not to comply with certain of the corporate governance rules of The NASDAQ Stock Market LLC.</w:t>
      </w:r>
    </w:p>
    <w:p>
      <w:pPr>
        <w:spacing w:after="0" w:line="1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Members of the Dolan Family Group have entered into a stockholders agreement relating, among other things, to the voting and transfer of their shares of our Class B Common Stock. As a result, we are a "controlled company" under the corporate governance rules of The NASDAQ Stock Market LLC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 For purposes of this agreement, the term "independent directors" means the directors of the Company who have been determined by our Board of Directors to be independent directors for purposes of NASDAQ corporate governance standards.</w:t>
      </w:r>
    </w:p>
    <w:p>
      <w:pPr>
        <w:spacing w:after="0" w:line="16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Future stock sales, including as a result of the exercising of registration rights by certain of our shareholders, could adversely affect the trading price of our Class A Common Stock.</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parties have registration rights covering a portion of our shares. We have entered into registration rights agreements with Charles F. Dolan, members of his family, certain Dolan family interests and the Dolan Family Foundations that provide them with "demand" and "piggyback" registration rights with respect to approximately 12.5 million shares of Class A Common Stock, including shares issuable upon conversion of shares of Class B Common Stock. Sales of a substantial number of shares of Class A Common Stock could adversely affect the market price of the Class A Common Stock and could impair our future ability to raise capital through an offering of our equity securities.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5" w:name="page26"/>
    <w:bookmarkEnd w:id="25"/>
    <w:p>
      <w:pPr>
        <w:ind w:left="420"/>
        <w:spacing w:after="0" w:line="277" w:lineRule="auto"/>
        <w:rPr>
          <w:sz w:val="20"/>
          <w:szCs w:val="20"/>
          <w:color w:val="auto"/>
        </w:rPr>
      </w:pPr>
      <w:r>
        <w:rPr>
          <w:rFonts w:ascii="Arial" w:cs="Arial" w:eastAsia="Arial" w:hAnsi="Arial"/>
          <w:sz w:val="18"/>
          <w:szCs w:val="18"/>
          <w:b w:val="1"/>
          <w:bCs w:val="1"/>
          <w:i w:val="1"/>
          <w:iCs w:val="1"/>
          <w:color w:val="auto"/>
        </w:rPr>
        <w:t>We share certain executives and directors with The Madison Square Garden Company("MSG") and MSG Networks Inc.("MSG Networks"), which may give rise to conflicts.</w:t>
      </w:r>
    </w:p>
    <w:p>
      <w:pPr>
        <w:spacing w:after="0" w:line="17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One of our executives, Gregg G. Seibert, serves as a Vice Chairman of the Company and as a Vice Chairman of MSG and MSG Networks (collectively MSG and MSG Networks, the "Other Entities"). Each of the Other Entities and the Company are affiliates by virtue of being under common control of the Dolan family. As a result, he will not be devoting his full time and attention to the Company's affairs. In addition, six members of our Board are directors of MSG and four members of our Board are directors of MSG Networks. These directors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Transactions—Certain Relationships and Potential Conflicts of Interest" in our proxy statement filed with the SEC on April 26, 2018 for a description of our related party transaction approval policy that we have adopted to help address such potential conflicts that may arise.</w:t>
      </w:r>
    </w:p>
    <w:p>
      <w:pPr>
        <w:spacing w:after="0" w:line="169"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14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Company's amended and restated certificate of incorporation acknowledges that directors and officers of the Company may also be serving as directors, officers, employees, consultants or agents of MSG and its subsidiaries and that the Company may engage in material business transactions with such entity. Our policy concerning certain matters relating to MSG Networks, including responsibilities of overlapping directors and officers (the "overlap policy" and together with the applicable provisions of the amended and restated certificate of incorporation, the "Overlap Provisions") acknowledges that directors and officers of the Company may also be serving as directors, officers, employees, consultants or agents of MSG Networks and its subsidiaries and that the Company may engage in material business transactions with such entity.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any such individual directs a corporate opportunity (other than certain limited types of opportunities set forth in our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 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lease approximately 657,000 square feet of space in the U.S., including approximately 326,000 square feet of office space that we lease at 11 Penn Plaza, New York, NY 10001, under lease arrangements with remaining terms through 2027. We use this space as our corporate headquarters and as the principal business location of our Company. We also lease approximately 67,000 square-feet of space for our broadcasting and technology center in Bethpage, New York under a lease arrangement with a term through 2029, from which AMC Networks Broadcasting &amp; Technology conducts its operations. In addition, we lease other properties in New York, California, Florida, Maryland and Illinois.</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lease approximately 245,000 square feet of space outside of the U.S., including in Spain, Hungary and the United Kingdom that support our international operations.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our properties are adequate for our 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the agreement between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8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On January 18, 2018, the 2013 Plaintiffs filed a second action in New York Supreme Court in connection with Darabont’s services on </w:t>
      </w:r>
      <w:r>
        <w:rPr>
          <w:rFonts w:ascii="Arial" w:cs="Arial" w:eastAsia="Arial" w:hAnsi="Arial"/>
          <w:sz w:val="18"/>
          <w:szCs w:val="18"/>
          <w:i w:val="1"/>
          <w:iCs w:val="1"/>
          <w:color w:val="auto"/>
        </w:rPr>
        <w:t>The Walking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Dead </w:t>
      </w:r>
      <w:r>
        <w:rPr>
          <w:rFonts w:ascii="Arial" w:cs="Arial" w:eastAsia="Arial" w:hAnsi="Arial"/>
          <w:sz w:val="18"/>
          <w:szCs w:val="18"/>
          <w:color w:val="auto"/>
        </w:rPr>
        <w:t>television series and agreements between the parties related thereto. The claims in the action allegedly arise from Plaintiffs' audit of their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statements covering the accounting period from inception of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 have agreed to consolidate this action for a joint trial with the action Plaintiffs filed in the New York Supreme Court on December 17, 2013. The trial is scheduled to begin on May 4, 2020.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1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The parties are presently engaged in fact discovery. At this time, no determination can be made as to the ultimate outcome of this litigation or the potential liability, if any, on the part of the Company.</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Class A Common Stock is listed on NASDAQ under the symbol "AMCX." Our Class B Common Stock is not listed on any exchange. Our Class A Common Stock began trading on NASDAQ on July 1, 2011.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Performance Graph</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following graph compares the performance of the Company's Class A Common Stock with the performance of the S&amp;P Mid-Cap 400 Index and a peer group (the "Peer Group Index") by measuring the changes in our Class A Common Stock prices from July 1, 2011, the first day our Class A Common Stock began regular-way trading on NASDAQ, through December 31, 2018.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Discovery Communications Inc., the Walt Disney Company, Twenty-First Century Fox Inc., CBS Corporation, Lions Gate Entertainment Corporation, and Viacom Inc. The chart assumes $100 was invested on December 31, 2013 in each of: i) Company's Class A Common Stock, ii) the S&amp;P Mid-Cap 400 Index, and iii) in this Peer Group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193675</wp:posOffset>
            </wp:positionV>
            <wp:extent cx="5316855" cy="3198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1685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INDEXED RETURNS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Period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Company Name / Index</w:t>
            </w:r>
          </w:p>
        </w:tc>
        <w:tc>
          <w:tcPr>
            <w:tcW w:w="120" w:type="dxa"/>
            <w:vAlign w:val="bottom"/>
            <w:vMerge w:val="restart"/>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Base Period</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12/31/14</w:t>
            </w:r>
          </w:p>
        </w:tc>
        <w:tc>
          <w:tcPr>
            <w:tcW w:w="1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12/31/15</w:t>
            </w: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12/31/16</w:t>
            </w: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12/31/17</w:t>
            </w: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12/31/18</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12/31/13</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AMC Networks Inc.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93.63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109.65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76.85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80.58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S&amp;P MidCap 400 Index</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109.77</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107.38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129.65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150.71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134.01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108.47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103.84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110.20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118.80</w:t>
            </w:r>
          </w:p>
        </w:tc>
        <w:tc>
          <w:tcPr>
            <w:tcW w:w="0" w:type="dxa"/>
            <w:vAlign w:val="bottom"/>
          </w:tcPr>
          <w:p>
            <w:pPr>
              <w:spacing w:after="0"/>
              <w:rPr>
                <w:sz w:val="1"/>
                <w:szCs w:val="1"/>
                <w:color w:val="auto"/>
              </w:rPr>
            </w:pPr>
          </w:p>
        </w:tc>
      </w:tr>
      <w:tr>
        <w:trPr>
          <w:trHeight w:val="459"/>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55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8" w:name="page29"/>
    <w:bookmarkEnd w:id="28"/>
    <w:p>
      <w:pPr>
        <w:jc w:val="both"/>
        <w:ind w:firstLine="432"/>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February 15, 2019 there were 686 holders of record of our Class A Common Stock and 33 holders of record of our Class B Common Stock.</w:t>
      </w:r>
    </w:p>
    <w:p>
      <w:pPr>
        <w:spacing w:after="0" w:line="23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 For the year ended December 31, 2018, the Company repurchased 5.4 million shares of its Class A common stock at an average purchase price of $52.56 per share. As of December 31, 2018, the Company has $559.4 million available for repurchase under the Stock Repurchase Program.</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center"/>
              <w:ind w:right="154"/>
              <w:spacing w:after="0"/>
              <w:rPr>
                <w:sz w:val="20"/>
                <w:szCs w:val="20"/>
                <w:color w:val="auto"/>
              </w:rPr>
            </w:pPr>
            <w:r>
              <w:rPr>
                <w:rFonts w:ascii="Arial" w:cs="Arial" w:eastAsia="Arial" w:hAnsi="Arial"/>
                <w:sz w:val="16"/>
                <w:szCs w:val="16"/>
                <w:b w:val="1"/>
                <w:bCs w:val="1"/>
                <w:color w:val="auto"/>
                <w:w w:val="97"/>
              </w:rPr>
              <w:t>Maximum Number (or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Approximate Dollar Value) of</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center"/>
              <w:ind w:right="15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2018 to October 31, 2018</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November 1, 2018 to November 30, 2018</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2018 to December 31, 2018</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296,585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53.08</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296,585</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559,410,218</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296,585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53.08</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296,585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operating data for each of the three years ended December 31, 2018 and balance sheet data as of December 31, 2018 and 2017 included in the table below have been derived from the audited consolidated financial statements of the Company included in this Annual Report and should be read in conjunction with Item 7, "Management's Discussion and Analysis of Financial Condition and Results of Operations" and the accompanying consolidated financial statements and related notes. The operating data for the years ended December 31, 2015 and 2014 and balance sheet data as of December 31, 2016, 2015 and 2014 included in the table below have been derived from the audited consolidated financial statements of the Company, not included in this Annual Report.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 (2)</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 (2)</w:t>
            </w:r>
          </w:p>
        </w:tc>
        <w:tc>
          <w:tcPr>
            <w:tcW w:w="3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9"/>
                <w:szCs w:val="9"/>
                <w:b w:val="1"/>
                <w:bCs w:val="1"/>
                <w:color w:val="auto"/>
                <w:w w:val="90"/>
              </w:rPr>
              <w:t>(2)</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(2)</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(2)</w:t>
            </w: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Revenues,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2,971,929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2,805,691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8"/>
              <w:spacing w:after="0"/>
              <w:rPr>
                <w:sz w:val="20"/>
                <w:szCs w:val="20"/>
                <w:color w:val="auto"/>
              </w:rPr>
            </w:pPr>
            <w:r>
              <w:rPr>
                <w:rFonts w:ascii="Arial" w:cs="Arial" w:eastAsia="Arial" w:hAnsi="Arial"/>
                <w:sz w:val="16"/>
                <w:szCs w:val="16"/>
                <w:color w:val="auto"/>
              </w:rPr>
              <w:t>2,755,654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2,580,935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2,175,641</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726,909</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722,359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657,556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709,193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546,353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463,967</w:t>
            </w:r>
          </w:p>
        </w:tc>
        <w:tc>
          <w:tcPr>
            <w:tcW w:w="32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489,637</w:t>
            </w:r>
          </w:p>
        </w:tc>
        <w:tc>
          <w:tcPr>
            <w:tcW w:w="30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6"/>
                <w:szCs w:val="16"/>
                <w:color w:val="auto"/>
              </w:rPr>
              <w:t>289,963</w:t>
            </w:r>
          </w:p>
        </w:tc>
        <w:tc>
          <w:tcPr>
            <w:tcW w:w="32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381,704</w:t>
            </w:r>
          </w:p>
        </w:tc>
        <w:tc>
          <w:tcPr>
            <w:tcW w:w="3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267,873</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(17,780)</w:t>
            </w:r>
          </w:p>
        </w:tc>
        <w:tc>
          <w:tcPr>
            <w:tcW w:w="3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(18,321)</w:t>
            </w:r>
          </w:p>
        </w:tc>
        <w:tc>
          <w:tcPr>
            <w:tcW w:w="300" w:type="dxa"/>
            <w:vAlign w:val="bottom"/>
          </w:tcPr>
          <w:p>
            <w:pPr>
              <w:spacing w:after="0"/>
              <w:rPr>
                <w:sz w:val="20"/>
                <w:szCs w:val="20"/>
                <w:color w:val="auto"/>
              </w:rPr>
            </w:pPr>
          </w:p>
        </w:tc>
        <w:tc>
          <w:tcPr>
            <w:tcW w:w="1060" w:type="dxa"/>
            <w:vAlign w:val="bottom"/>
            <w:gridSpan w:val="2"/>
          </w:tcPr>
          <w:p>
            <w:pPr>
              <w:jc w:val="right"/>
              <w:ind w:right="28"/>
              <w:spacing w:after="0"/>
              <w:rPr>
                <w:sz w:val="20"/>
                <w:szCs w:val="20"/>
                <w:color w:val="auto"/>
              </w:rPr>
            </w:pPr>
            <w:r>
              <w:rPr>
                <w:rFonts w:ascii="Arial" w:cs="Arial" w:eastAsia="Arial" w:hAnsi="Arial"/>
                <w:sz w:val="16"/>
                <w:szCs w:val="16"/>
                <w:color w:val="auto"/>
              </w:rPr>
              <w:t>(19,453)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(14,916)</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(3,628)</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AMC Networks' stockholders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446,187</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471,316</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270,510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366,788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260,797</w:t>
            </w:r>
          </w:p>
        </w:tc>
      </w:tr>
      <w:tr>
        <w:trPr>
          <w:trHeight w:val="230"/>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income per share attributable to AMC Networks'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7.68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500" w:type="dxa"/>
            <w:vAlign w:val="bottom"/>
          </w:tcPr>
          <w:p>
            <w:pPr>
              <w:jc w:val="right"/>
              <w:ind w:right="68"/>
              <w:spacing w:after="0"/>
              <w:rPr>
                <w:sz w:val="20"/>
                <w:szCs w:val="20"/>
                <w:color w:val="auto"/>
              </w:rPr>
            </w:pPr>
            <w:r>
              <w:rPr>
                <w:rFonts w:ascii="Arial" w:cs="Arial" w:eastAsia="Arial" w:hAnsi="Arial"/>
                <w:sz w:val="16"/>
                <w:szCs w:val="16"/>
                <w:color w:val="auto"/>
              </w:rPr>
              <w:t>3.77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5.06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3.67</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7.57</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7.18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6"/>
                <w:szCs w:val="16"/>
                <w:color w:val="auto"/>
              </w:rPr>
              <w:t>3.74</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Balance Sheet Data, at period end:</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554,886</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558,783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481,389</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316,321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201,367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5,278,563</w:t>
            </w:r>
          </w:p>
        </w:tc>
        <w:tc>
          <w:tcPr>
            <w:tcW w:w="32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5,032,985</w:t>
            </w:r>
          </w:p>
        </w:tc>
        <w:tc>
          <w:tcPr>
            <w:tcW w:w="30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6"/>
                <w:szCs w:val="16"/>
                <w:color w:val="auto"/>
              </w:rPr>
              <w:t>4,480,595</w:t>
            </w:r>
          </w:p>
        </w:tc>
        <w:tc>
          <w:tcPr>
            <w:tcW w:w="32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4,250,609</w:t>
            </w:r>
          </w:p>
        </w:tc>
        <w:tc>
          <w:tcPr>
            <w:tcW w:w="3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3,949,826</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(including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3,136,072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3,130,381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2,859,129</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2,701,148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2,763,144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Stockholders' equity (deficiency)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316,680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134,944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
              <w:spacing w:after="0"/>
              <w:rPr>
                <w:sz w:val="20"/>
                <w:szCs w:val="20"/>
                <w:color w:val="auto"/>
              </w:rPr>
            </w:pPr>
            <w:r>
              <w:rPr>
                <w:rFonts w:ascii="Arial" w:cs="Arial" w:eastAsia="Arial" w:hAnsi="Arial"/>
                <w:sz w:val="16"/>
                <w:szCs w:val="16"/>
                <w:color w:val="auto"/>
              </w:rPr>
              <w:t>(30,082)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(39,277)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(371,755)</w:t>
            </w:r>
          </w:p>
        </w:tc>
      </w:tr>
    </w:tbl>
    <w:p>
      <w:pPr>
        <w:spacing w:after="0" w:line="235" w:lineRule="exact"/>
        <w:rPr>
          <w:sz w:val="20"/>
          <w:szCs w:val="20"/>
          <w:color w:val="auto"/>
        </w:rPr>
      </w:pPr>
    </w:p>
    <w:p>
      <w:pPr>
        <w:ind w:left="260" w:hanging="252"/>
        <w:spacing w:after="0" w:line="227" w:lineRule="auto"/>
        <w:tabs>
          <w:tab w:leader="none" w:pos="209"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The 2018, 2017 and 2016 results include impairment and related charges of $4.5 million, $28.1 million and $67.8 million, respectively (see Note 4 to the accompanying consolidated financial statements).</w:t>
      </w:r>
    </w:p>
    <w:p>
      <w:pPr>
        <w:spacing w:after="0" w:line="202" w:lineRule="exact"/>
        <w:rPr>
          <w:rFonts w:ascii="Arial" w:cs="Arial" w:eastAsia="Arial" w:hAnsi="Arial"/>
          <w:sz w:val="24"/>
          <w:szCs w:val="24"/>
          <w:color w:val="auto"/>
          <w:vertAlign w:val="superscript"/>
        </w:rPr>
      </w:pPr>
    </w:p>
    <w:p>
      <w:pPr>
        <w:ind w:left="260" w:hanging="252"/>
        <w:spacing w:after="0" w:line="227" w:lineRule="auto"/>
        <w:tabs>
          <w:tab w:leader="none" w:pos="236"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The 2018, 2017 and 2016 results include restructuring expense of $45.8 million, $6.1 million and $29.5 million (see Note 5 to the accompanying consolidated financial statements). The 2015 and 2014 results include restructuring expense of $15.0 million and $15.7 million,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or MD&amp;A, is a supplement to and should be read in conjunction with the accompanying consolidated financial statements and related notes. This section provides additional information regarding our businesses, recent developments, results of operations, cash flows, financial condition, contractual commitments and critical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MD&amp;A is provided to enhance the understanding of our financial condition, changes in financial condition and results of our operations and is organized as follows: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8"/>
          <w:szCs w:val="18"/>
          <w:color w:val="auto"/>
        </w:rPr>
        <w:t>. 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i w:val="1"/>
          <w:iCs w:val="1"/>
          <w:color w:val="auto"/>
        </w:rPr>
        <w:t>Consolidated Results of Operations</w:t>
      </w:r>
      <w:r>
        <w:rPr>
          <w:rFonts w:ascii="Arial" w:cs="Arial" w:eastAsia="Arial" w:hAnsi="Arial"/>
          <w:sz w:val="16"/>
          <w:szCs w:val="16"/>
          <w:color w:val="auto"/>
        </w:rPr>
        <w:t>. This section provides an analysis of our results of operations for the years ended December 31, 2018, 2017 and</w:t>
      </w:r>
      <w:r>
        <w:rPr>
          <w:rFonts w:ascii="Arial" w:cs="Arial" w:eastAsia="Arial" w:hAnsi="Arial"/>
          <w:sz w:val="16"/>
          <w:szCs w:val="16"/>
          <w:i w:val="1"/>
          <w:iCs w:val="1"/>
          <w:color w:val="auto"/>
        </w:rPr>
        <w:t xml:space="preserve"> </w:t>
      </w:r>
      <w:r>
        <w:rPr>
          <w:rFonts w:ascii="Arial" w:cs="Arial" w:eastAsia="Arial" w:hAnsi="Arial"/>
          <w:sz w:val="16"/>
          <w:szCs w:val="16"/>
          <w:color w:val="auto"/>
        </w:rPr>
        <w:t>2016. Our discussion is presented on both a consolidated and segment basis. Our two segments are: (i) National Networks and (ii) International and Other.</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This section provides a discussion of our financial condition as of December 31, 2018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years ended December 31, 2018, 2017 and 2016. The discussion of our financial condition and liquidity includes summaries of (i) our primary sources of liquidity and (ii) our contractual obligations and off balance sheet arrangements that existed at December 31, 2018.</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 discussion of our accounting policies considered to be important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financial condition and results of operations, and which require significant judgment and estimates on the part of management in their application.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own and operate entertainment businesses and assets. We manage our business through the following two operating segments:</w:t>
      </w:r>
    </w:p>
    <w:p>
      <w:pPr>
        <w:spacing w:after="0" w:line="225" w:lineRule="exact"/>
        <w:rPr>
          <w:sz w:val="20"/>
          <w:szCs w:val="20"/>
          <w:color w:val="auto"/>
        </w:rPr>
      </w:pPr>
    </w:p>
    <w:p>
      <w:pPr>
        <w:jc w:val="both"/>
        <w:ind w:left="640" w:hanging="321"/>
        <w:spacing w:after="0" w:line="302" w:lineRule="auto"/>
        <w:tabs>
          <w:tab w:leader="none" w:pos="6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 original programming for our programming networks and also license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302" w:lineRule="auto"/>
        <w:tabs>
          <w:tab w:leader="none" w:pos="66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 and Other</w:t>
      </w:r>
      <w:r>
        <w:rPr>
          <w:rFonts w:ascii="Arial" w:cs="Arial" w:eastAsia="Arial" w:hAnsi="Arial"/>
          <w:sz w:val="16"/>
          <w:szCs w:val="16"/>
          <w:color w:val="auto"/>
        </w:rPr>
        <w:t>: Principally includes AMCNI, the Company's international programming businesses consisting of a portfolio of channels in</w:t>
      </w:r>
      <w:r>
        <w:rPr>
          <w:rFonts w:ascii="Arial" w:cs="Arial" w:eastAsia="Arial" w:hAnsi="Arial"/>
          <w:sz w:val="16"/>
          <w:szCs w:val="16"/>
          <w:i w:val="1"/>
          <w:iCs w:val="1"/>
          <w:color w:val="auto"/>
        </w:rPr>
        <w:t xml:space="preserve"> </w:t>
      </w:r>
      <w:r>
        <w:rPr>
          <w:rFonts w:ascii="Arial" w:cs="Arial" w:eastAsia="Arial" w:hAnsi="Arial"/>
          <w:sz w:val="16"/>
          <w:szCs w:val="16"/>
          <w:color w:val="auto"/>
        </w:rPr>
        <w:t>over 130 countries and territories around the world; IFC Films, the Company's independent film distribution business; Levity, acquired April 20, 2018, our production services and comedy venues company; RLJE, acquired October 1, 2018, a content distribution company that also includes the subscription streaming services Acorn TV and UMC and our wholly-owned subscription streaming services, Shudder and Sundance Now.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2"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06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2"/>
        </w:trPr>
        <w:tc>
          <w:tcPr>
            <w:tcW w:w="60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2,413,325</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2,367,615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2,311,040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598,306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459,996</w:t>
            </w: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2,971,929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2,805,691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2,755,654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825,770</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817,566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784,027</w:t>
            </w: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(120,914)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726,909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722,359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657,556</w:t>
            </w:r>
          </w:p>
        </w:tc>
        <w:tc>
          <w:tcPr>
            <w:tcW w:w="0" w:type="dxa"/>
            <w:vAlign w:val="bottom"/>
          </w:tcPr>
          <w:p>
            <w:pPr>
              <w:spacing w:after="0"/>
              <w:rPr>
                <w:sz w:val="1"/>
                <w:szCs w:val="1"/>
                <w:color w:val="auto"/>
              </w:rPr>
            </w:pPr>
          </w:p>
        </w:tc>
      </w:tr>
      <w:tr>
        <w:trPr>
          <w:trHeight w:val="190"/>
        </w:trPr>
        <w:tc>
          <w:tcPr>
            <w:tcW w:w="606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925,279</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894,912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855,488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w:t>
            </w: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932,545</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904,818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878,539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restructuring expense or credit and the Company’s proportionate share of adjusted operating income (loss) from greater than 50% owned equity method investees.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we may exclude from AOI the impact of certain events, gains, losses or other charges (such as significant legal settlements) that affect our operating performance. 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726,909</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722,359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657,556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60,979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53,545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38,897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67,805</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investees (&gt;50% interest) AOI</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932,545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904,818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878,539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76" w:right="239" w:bottom="1440" w:gutter="0" w:footer="0" w:header="0"/>
          <w:type w:val="continuous"/>
        </w:sectPr>
      </w:pPr>
    </w:p>
    <w:bookmarkStart w:id="32" w:name="page33"/>
    <w:bookmarkEnd w:id="32"/>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RLJE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October 2018, we acquired a controlling interest in RLJE, a premium digital channel company that operates the subscription streaming services Acorn TV and UMC or Urban Movie Channel. The operating results of RLJE are included in our International and Other segment in the consolidated statement of income from the acquisition date through December 31, 2018.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Levity</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20, 2018, we acquired a controlling interest in Levity, a media company that owns and operates comedy venues as well as produces original content for distribution. The operating results of Levity are included in our International and Other segment in the consolidated statement of income from the acquisition date through December 31, 2018.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DMC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12, 2017, the AMCNI – DMC business was sold.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our National Networks segment, which accounted for 81% of our consolidated revenues, net for the year ended December 31, 2018,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16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upon the popularity of our programming as measured by Nielsen. Our national programming networks have advertisers representing companies in a broad range of sectors, including the automotive, restaurants/food, health, and telecommunications industries.</w:t>
      </w:r>
    </w:p>
    <w:p>
      <w:pPr>
        <w:spacing w:after="0" w:line="18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Changes in revenue are primarily derived from changes in the contractual subscription rates charged for our services; the number of subscribers; the prices and number of advertising spots on our networks; and the availability, amount and timing of licensing fees earned from the distribution of our original programming. We seek to grow our revenues by increasing the number of viewing subscribers of the distributors that carry our services. We refer to this as our "penetration." AMC, which is widely distributed throughout the U.S., has a more limited ability to increase its penetration than WE tv, BBC AMERICA, IFC and SundanceTV. To the extent not already carried on more widely penetrated service tiers, WE tv, BBC AMERICA, IFC and SundanceTV, although carried by all of the larger U.S. distributors, have higher growth opportunities due to their current penetration levels with those distributors. Our revenues may also increase over time through contractual rate increases stipulated in our affiliation agreements. In negotiating for additional subscribers or extended carriage, we have agreed, in some instances, to make upfront payments to a distributor which we record as deferred carriage fees and are amortized as a reduction to revenue over the period of the related affiliation agreement. We also may help fund the distributors' efforts to market our networks. We believe that these transactions generate a positive return on investment over the contract period. We seek to increase our advertising revenues by increasing the rates we charge for such advertising, which is directly related to the overall distribution of our programming, penetration of our services and the popularity (including within desirable demographic groups) of our services as measured by Nielsen.</w:t>
      </w:r>
    </w:p>
    <w:p>
      <w:pPr>
        <w:spacing w:after="0" w:line="1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6"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in negotiating the price and other terms of affiliation agreements. We also seek to increase our content licensing revenues by expanding the opportunities for licensing our programming through digital, foreign and home video services. Content licensing revenues in each quarter may vary based on the timing of availability of our programming to distributors.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1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of $48.8 million, $47.7 million and $25.6 million were recorded for the years ended December 31, 2018, 2017 and 2016, respectively (see further discussion below).</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 Critical Accounting Policies and Estimates" for a discussion of the amortization and write-off of program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International and Other segment primarily includes the operations of AMCNI, Levity, RLJE, IFC Films, our independent film distribution business and our subscription streaming services (i.e. Sundance Now and Shudder and Acorn TV and UMC from the date of acquisition of RLJE). The AMCNI – DMC business was sold on July 12, 2017.</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our International and Other segment, which accounted for 20% of our consolidated revenues for the year ended December 31, 2018, we earn revenue principally from the international distribution of programming and, to a lesser extent, the sale of advertising from our AMCNI programming networks. We also earn revenue from production services from Levity, revenues from our wholly-owned subscription streaming services Shudder and Sundance Now, as well as channels operated by RLJE; AcornTV and UMC, revenues from the distribution of content of IFC Films and RLJE, and Levity's operation of comedy venues. Distribution revenue primarily includes subscription fees paid by distributors or consumers to carry our programming networks or subscription-based streaming services and production services revenue generated from Levity. Our subscription revenues are generally based on either a per-subscriber fee or a fixed contractual annual fee, under multi-year affiliation agreements, which may provide for annual rate increases, and a monthly fee paid by a consumer for our subscription-based streaming services. Our production services revenues are based on master production agreements whereby a third-party engages us to produce content on its behalf. Production services revenues are recognized based on the percentage of cost incurred to total estimated cost of the contract. For the year ended December 31, 2018, distribution revenues represented 85% of the revenues of the International and Other segment. Most of these revenues are derived from the distribution of our programming networks primarily in Europe and to a lesser extent, Latin America. Our subscription streaming services are available in the United States, Canada, Latin America, parts of Europe, India, Australia and New Zealand.</w:t>
      </w:r>
    </w:p>
    <w:p>
      <w:pPr>
        <w:spacing w:after="0" w:line="16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Programming, program operating costs and production costs incurred to produce content for third parties are included in technical and operating expense, and represent the largest expense of the International and Other segment and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subscription-based streaming services.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 to our domestic businesses, the most significant business challenges we expect to encounter in our international business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7"/>
          <w:szCs w:val="17"/>
          <w:color w:val="auto"/>
        </w:rPr>
        <w:t>translation (</w:t>
      </w:r>
      <w:r>
        <w:rPr>
          <w:rFonts w:ascii="Arial" w:cs="Arial" w:eastAsia="Arial" w:hAnsi="Arial"/>
          <w:sz w:val="17"/>
          <w:szCs w:val="17"/>
          <w:i w:val="1"/>
          <w:iCs w:val="1"/>
          <w:color w:val="auto"/>
        </w:rPr>
        <w:t>i.e.</w:t>
      </w:r>
      <w:r>
        <w:rPr>
          <w:rFonts w:ascii="Arial" w:cs="Arial" w:eastAsia="Arial" w:hAnsi="Arial"/>
          <w:sz w:val="17"/>
          <w:szCs w:val="17"/>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2016 results reflect an impairment charge of $67.8 million in connection with the sale of the Amsterdam-based media logistics facility, AMCNI – DMC. The Company completed the sale of AMCNI – DMC in 2017 and recognized a pre-tax loss of $11.0 million and an impairment charge of $17.1 million (see Note 4 to the accompanying consolidated financial statements).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subsidiaries are reflected in net (income) loss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2,971,929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2,805,691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166,238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1,445,949</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1,341,076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104,873</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657,457</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613,342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44,115</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3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4,486</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(23,662)</w:t>
            </w:r>
          </w:p>
        </w:tc>
        <w:tc>
          <w:tcPr>
            <w:tcW w:w="1340" w:type="dxa"/>
            <w:vAlign w:val="bottom"/>
            <w:gridSpan w:val="2"/>
          </w:tcPr>
          <w:p>
            <w:pPr>
              <w:jc w:val="right"/>
              <w:ind w:right="96"/>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45,847</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39,719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2,245,020</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2,083,332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161,688</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726,909</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722,359</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(135,813)</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(119,297)</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1"/>
                <w:szCs w:val="21"/>
                <w:color w:val="auto"/>
              </w:rPr>
            </w:pPr>
          </w:p>
        </w:tc>
        <w:tc>
          <w:tcPr>
            <w:tcW w:w="1220" w:type="dxa"/>
            <w:vAlign w:val="bottom"/>
          </w:tcPr>
          <w:p>
            <w:pPr>
              <w:jc w:val="right"/>
              <w:ind w:right="3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3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(106,636)</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(81,981)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(24,655)</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from operations before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620,273</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640,378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13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(156,306)</w:t>
            </w:r>
          </w:p>
        </w:tc>
        <w:tc>
          <w:tcPr>
            <w:tcW w:w="1380" w:type="dxa"/>
            <w:vAlign w:val="bottom"/>
            <w:gridSpan w:val="3"/>
          </w:tcPr>
          <w:p>
            <w:pPr>
              <w:jc w:val="right"/>
              <w:ind w:right="10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(150,741)</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(5,565)</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463,967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489,637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(25,670)</w:t>
            </w:r>
          </w:p>
        </w:tc>
        <w:tc>
          <w:tcPr>
            <w:tcW w:w="13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w w:val="95"/>
              </w:rPr>
              <w:t>Net income attributable to noncontrolling interests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(18,321)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340" w:type="dxa"/>
            <w:vAlign w:val="bottom"/>
            <w:gridSpan w:val="2"/>
          </w:tcPr>
          <w:p>
            <w:pPr>
              <w:jc w:val="right"/>
              <w:ind w:right="9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471,316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(25,129)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2" w:right="2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b w:val="1"/>
          <w:bCs w:val="1"/>
          <w:color w:val="auto"/>
        </w:rPr>
        <w:t>National Networks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02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1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2,413,325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2,367,615</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45,710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1,080,732</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1,064,580</w:t>
            </w:r>
          </w:p>
        </w:tc>
        <w:tc>
          <w:tcPr>
            <w:tcW w:w="140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16,152</w:t>
            </w:r>
          </w:p>
        </w:tc>
        <w:tc>
          <w:tcPr>
            <w:tcW w:w="13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455,935</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451,820</w:t>
            </w:r>
          </w:p>
        </w:tc>
        <w:tc>
          <w:tcPr>
            <w:tcW w:w="1400" w:type="dxa"/>
            <w:vAlign w:val="bottom"/>
            <w:gridSpan w:val="3"/>
          </w:tcPr>
          <w:p>
            <w:pPr>
              <w:jc w:val="right"/>
              <w:ind w:right="16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4,115</w:t>
            </w:r>
          </w:p>
        </w:tc>
        <w:tc>
          <w:tcPr>
            <w:tcW w:w="1300" w:type="dxa"/>
            <w:vAlign w:val="bottom"/>
            <w:gridSpan w:val="2"/>
          </w:tcPr>
          <w:p>
            <w:pPr>
              <w:jc w:val="right"/>
              <w:ind w:right="9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40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3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Restructuring expense (credit)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17,160</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17,213</w:t>
            </w:r>
          </w:p>
        </w:tc>
        <w:tc>
          <w:tcPr>
            <w:tcW w:w="120" w:type="dxa"/>
            <w:vAlign w:val="bottom"/>
          </w:tcPr>
          <w:p>
            <w:pPr>
              <w:spacing w:after="0"/>
              <w:rPr>
                <w:sz w:val="21"/>
                <w:szCs w:val="21"/>
                <w:color w:val="auto"/>
              </w:rPr>
            </w:pPr>
          </w:p>
        </w:tc>
        <w:tc>
          <w:tcPr>
            <w:tcW w:w="1180" w:type="dxa"/>
            <w:vAlign w:val="bottom"/>
          </w:tcPr>
          <w:p>
            <w:pPr>
              <w:jc w:val="right"/>
              <w:ind w:right="3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825,770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817,566</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48,621</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43,697</w:t>
            </w:r>
          </w:p>
        </w:tc>
        <w:tc>
          <w:tcPr>
            <w:tcW w:w="1400" w:type="dxa"/>
            <w:vAlign w:val="bottom"/>
            <w:gridSpan w:val="3"/>
          </w:tcPr>
          <w:p>
            <w:pPr>
              <w:jc w:val="right"/>
              <w:ind w:right="16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4,924</w:t>
            </w:r>
          </w:p>
        </w:tc>
        <w:tc>
          <w:tcPr>
            <w:tcW w:w="1300" w:type="dxa"/>
            <w:vAlign w:val="bottom"/>
            <w:gridSpan w:val="2"/>
          </w:tcPr>
          <w:p>
            <w:pPr>
              <w:jc w:val="right"/>
              <w:ind w:right="96"/>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 (credit)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17,160</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33,728</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33,702</w:t>
            </w:r>
          </w:p>
        </w:tc>
        <w:tc>
          <w:tcPr>
            <w:tcW w:w="1400" w:type="dxa"/>
            <w:vAlign w:val="bottom"/>
            <w:gridSpan w:val="3"/>
          </w:tcPr>
          <w:p>
            <w:pPr>
              <w:jc w:val="right"/>
              <w:ind w:right="16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300" w:type="dxa"/>
            <w:vAlign w:val="bottom"/>
            <w:gridSpan w:val="2"/>
          </w:tcPr>
          <w:p>
            <w:pPr>
              <w:jc w:val="right"/>
              <w:ind w:right="9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925,279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894,912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598,306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141,124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392,793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289,238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103,555</w:t>
            </w:r>
          </w:p>
        </w:tc>
        <w:tc>
          <w:tcPr>
            <w:tcW w:w="134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201,611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161,573</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40,038</w:t>
            </w:r>
          </w:p>
        </w:tc>
        <w:tc>
          <w:tcPr>
            <w:tcW w:w="1340" w:type="dxa"/>
            <w:vAlign w:val="bottom"/>
            <w:gridSpan w:val="2"/>
          </w:tcPr>
          <w:p>
            <w:pPr>
              <w:jc w:val="right"/>
              <w:ind w:right="13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34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(23,662)</w:t>
            </w:r>
          </w:p>
        </w:tc>
        <w:tc>
          <w:tcPr>
            <w:tcW w:w="1340" w:type="dxa"/>
            <w:vAlign w:val="bottom"/>
            <w:gridSpan w:val="2"/>
          </w:tcPr>
          <w:p>
            <w:pPr>
              <w:jc w:val="right"/>
              <w:ind w:right="7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29,008</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(93,326)</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(88,894)</w:t>
            </w:r>
          </w:p>
        </w:tc>
        <w:tc>
          <w:tcPr>
            <w:tcW w:w="20" w:type="dxa"/>
            <w:vAlign w:val="bottom"/>
            <w:tcBorders>
              <w:top w:val="single" w:sz="8" w:color="auto"/>
            </w:tcBorders>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w:t>
            </w:r>
          </w:p>
        </w:tc>
        <w:tc>
          <w:tcPr>
            <w:tcW w:w="134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35,189</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6,181</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29,008</w:t>
            </w:r>
          </w:p>
        </w:tc>
        <w:tc>
          <w:tcPr>
            <w:tcW w:w="120" w:type="dxa"/>
            <w:vAlign w:val="bottom"/>
          </w:tcPr>
          <w:p>
            <w:pPr>
              <w:spacing w:after="0"/>
              <w:rPr>
                <w:sz w:val="21"/>
                <w:szCs w:val="21"/>
                <w:color w:val="auto"/>
              </w:rPr>
            </w:pPr>
          </w:p>
        </w:tc>
        <w:tc>
          <w:tcPr>
            <w:tcW w:w="1220" w:type="dxa"/>
            <w:vAlign w:val="bottom"/>
          </w:tcPr>
          <w:p>
            <w:pPr>
              <w:jc w:val="right"/>
              <w:ind w:right="3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134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57,553</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60,936</w:t>
            </w:r>
          </w:p>
        </w:tc>
        <w:tc>
          <w:tcPr>
            <w:tcW w:w="1380" w:type="dxa"/>
            <w:vAlign w:val="bottom"/>
            <w:gridSpan w:val="3"/>
          </w:tcPr>
          <w:p>
            <w:pPr>
              <w:jc w:val="right"/>
              <w:ind w:right="16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(3,383)</w:t>
            </w:r>
          </w:p>
        </w:tc>
        <w:tc>
          <w:tcPr>
            <w:tcW w:w="1340" w:type="dxa"/>
            <w:vAlign w:val="bottom"/>
            <w:gridSpan w:val="2"/>
          </w:tcPr>
          <w:p>
            <w:pPr>
              <w:jc w:val="right"/>
              <w:ind w:right="7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investees (&gt;50% interest) AOI</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820" w:type="dxa"/>
            <w:vAlign w:val="bottom"/>
          </w:tcPr>
          <w:p>
            <w:pPr>
              <w:ind w:left="40"/>
              <w:spacing w:after="0"/>
              <w:rPr>
                <w:sz w:val="20"/>
                <w:szCs w:val="20"/>
                <w:color w:val="auto"/>
              </w:rPr>
            </w:pPr>
            <w:r>
              <w:rPr>
                <w:rFonts w:ascii="Arial" w:cs="Arial" w:eastAsia="Arial" w:hAnsi="Arial"/>
                <w:sz w:val="18"/>
                <w:szCs w:val="18"/>
                <w:color w:val="auto"/>
              </w:rPr>
              <w:t>AOI</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19,303</w:t>
            </w:r>
          </w:p>
        </w:tc>
        <w:tc>
          <w:tcPr>
            <w:tcW w:w="40" w:type="dxa"/>
            <w:vAlign w:val="bottom"/>
            <w:tcBorders>
              <w:top w:val="single" w:sz="8" w:color="auto"/>
              <w:bottom w:val="single" w:sz="8" w:color="auto"/>
            </w:tcBorders>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16,219</w:t>
            </w:r>
          </w:p>
        </w:tc>
        <w:tc>
          <w:tcPr>
            <w:tcW w:w="20" w:type="dxa"/>
            <w:vAlign w:val="bottom"/>
            <w:tcBorders>
              <w:top w:val="single" w:sz="8" w:color="auto"/>
              <w:bottom w:val="single" w:sz="8" w:color="auto"/>
            </w:tcBorders>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2" w:right="23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$166.2 million to $3.0 billion for the year ended December 31, 2018 as compared to the year ended December 31, 2017.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4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6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2,413,325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2,367,615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45,710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598,306</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457,182</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141,124</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(39,702)</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2,971,929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2,805,691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166,238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42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944,675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959,551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1,468,650</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1,408,064</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60,586</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2,413,325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2,367,615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45,710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 revenues decreased $14.9 million driven by a decrease of $47.2 million at AMC due to lower ratings, partially mitigated by pricing. The decrease at AMC was partially offset by increases at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Distribution revenues increased $60.6 million due to an increase in subscription revenues of $52.2 million across all of our networks resulting from an increase in rates, partially offset by a slight decline in total subscribers. Content licensing revenues increased $8.4 million due to an increase in the number of original programs we distributed.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subscriber information at December 31, 2018 and December 31, 2017:</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2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8"/>
                <w:szCs w:val="8"/>
                <w:b w:val="1"/>
                <w:bCs w:val="1"/>
                <w:color w:val="auto"/>
              </w:rPr>
              <w:t>(1)</w:t>
            </w:r>
          </w:p>
        </w:tc>
      </w:tr>
      <w:tr>
        <w:trPr>
          <w:trHeight w:val="264"/>
        </w:trPr>
        <w:tc>
          <w:tcPr>
            <w:tcW w:w="7200" w:type="dxa"/>
            <w:vAlign w:val="bottom"/>
          </w:tcPr>
          <w:p>
            <w:pPr>
              <w:spacing w:after="0"/>
              <w:rPr>
                <w:sz w:val="22"/>
                <w:szCs w:val="22"/>
                <w:color w:val="auto"/>
              </w:rPr>
            </w:pPr>
          </w:p>
        </w:tc>
        <w:tc>
          <w:tcPr>
            <w:tcW w:w="218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2018</w:t>
            </w:r>
          </w:p>
        </w:tc>
        <w:tc>
          <w:tcPr>
            <w:tcW w:w="204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Programming Networks:</w:t>
            </w: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AMC</w:t>
            </w:r>
          </w:p>
        </w:tc>
        <w:tc>
          <w:tcPr>
            <w:tcW w:w="2080" w:type="dxa"/>
            <w:vAlign w:val="bottom"/>
          </w:tcPr>
          <w:p>
            <w:pPr>
              <w:jc w:val="right"/>
              <w:ind w:right="35"/>
              <w:spacing w:after="0"/>
              <w:rPr>
                <w:sz w:val="20"/>
                <w:szCs w:val="20"/>
                <w:color w:val="auto"/>
              </w:rPr>
            </w:pPr>
            <w:r>
              <w:rPr>
                <w:rFonts w:ascii="Arial" w:cs="Arial" w:eastAsia="Arial" w:hAnsi="Arial"/>
                <w:sz w:val="18"/>
                <w:szCs w:val="18"/>
                <w:color w:val="auto"/>
              </w:rPr>
              <w:t>89,000</w:t>
            </w:r>
          </w:p>
        </w:tc>
        <w:tc>
          <w:tcPr>
            <w:tcW w:w="10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90,500</w:t>
            </w:r>
          </w:p>
        </w:tc>
      </w:tr>
      <w:tr>
        <w:trPr>
          <w:trHeight w:val="27"/>
        </w:trPr>
        <w:tc>
          <w:tcPr>
            <w:tcW w:w="7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 tv</w:t>
            </w:r>
          </w:p>
        </w:tc>
        <w:tc>
          <w:tcPr>
            <w:tcW w:w="2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84,600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BBC AMERICA</w:t>
            </w:r>
          </w:p>
        </w:tc>
        <w:tc>
          <w:tcPr>
            <w:tcW w:w="2080" w:type="dxa"/>
            <w:vAlign w:val="bottom"/>
          </w:tcPr>
          <w:p>
            <w:pPr>
              <w:jc w:val="right"/>
              <w:ind w:right="35"/>
              <w:spacing w:after="0"/>
              <w:rPr>
                <w:sz w:val="20"/>
                <w:szCs w:val="20"/>
                <w:color w:val="auto"/>
              </w:rPr>
            </w:pPr>
            <w:r>
              <w:rPr>
                <w:rFonts w:ascii="Arial" w:cs="Arial" w:eastAsia="Arial" w:hAnsi="Arial"/>
                <w:sz w:val="18"/>
                <w:szCs w:val="18"/>
                <w:color w:val="auto"/>
              </w:rPr>
              <w:t>80,900</w:t>
            </w:r>
          </w:p>
        </w:tc>
        <w:tc>
          <w:tcPr>
            <w:tcW w:w="10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80,600</w:t>
            </w:r>
          </w:p>
        </w:tc>
      </w:tr>
      <w:tr>
        <w:trPr>
          <w:trHeight w:val="27"/>
        </w:trPr>
        <w:tc>
          <w:tcPr>
            <w:tcW w:w="7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IFC</w:t>
            </w:r>
          </w:p>
        </w:tc>
        <w:tc>
          <w:tcPr>
            <w:tcW w:w="2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75,100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SundanceTV</w:t>
            </w:r>
          </w:p>
        </w:tc>
        <w:tc>
          <w:tcPr>
            <w:tcW w:w="2080" w:type="dxa"/>
            <w:vAlign w:val="bottom"/>
          </w:tcPr>
          <w:p>
            <w:pPr>
              <w:jc w:val="right"/>
              <w:ind w:right="35"/>
              <w:spacing w:after="0"/>
              <w:rPr>
                <w:sz w:val="20"/>
                <w:szCs w:val="20"/>
                <w:color w:val="auto"/>
              </w:rPr>
            </w:pPr>
            <w:r>
              <w:rPr>
                <w:rFonts w:ascii="Arial" w:cs="Arial" w:eastAsia="Arial" w:hAnsi="Arial"/>
                <w:sz w:val="18"/>
                <w:szCs w:val="18"/>
                <w:color w:val="auto"/>
              </w:rPr>
              <w:t>69,900</w:t>
            </w:r>
          </w:p>
        </w:tc>
        <w:tc>
          <w:tcPr>
            <w:tcW w:w="10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70,600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Estimated U.S. subscribers as measured by Nielsen.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2" w:right="2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42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2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91,404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89,894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506,902</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367,288</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139,614</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598,306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457,182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141,124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firstLine="405"/>
        <w:spacing w:after="0" w:line="302" w:lineRule="auto"/>
        <w:rPr>
          <w:sz w:val="20"/>
          <w:szCs w:val="20"/>
          <w:color w:val="auto"/>
        </w:rPr>
      </w:pPr>
      <w:r>
        <w:rPr>
          <w:rFonts w:ascii="Arial" w:cs="Arial" w:eastAsia="Arial" w:hAnsi="Arial"/>
          <w:sz w:val="16"/>
          <w:szCs w:val="16"/>
          <w:color w:val="auto"/>
        </w:rPr>
        <w:t>The increase of $1.5 million in advertising revenues was principally due to the favorable impact of foreign currency translation of $1.2 million. Distribution revenues increased primarily due to a $134.9 million impact from the Levity and RLJE acquisitions, increases at our wholly-owned subscription streaming services of $9.3 million and an increase at IFC Films of $2.3 million. Foreign currency translation had a favorable impact to distribution revenue of $8.8 million which was offset by a decrease of $10.7 million due to the absence of revenue from the sale of AMCNI – DMC (sold in July 2017).</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$104.9 million to $1.4 billion for 2018 as compared to 2017.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1,080,732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1,064,580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16,152</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392,793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289,238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103,555</w:t>
            </w:r>
          </w:p>
        </w:tc>
        <w:tc>
          <w:tcPr>
            <w:tcW w:w="1760" w:type="dxa"/>
            <w:vAlign w:val="bottom"/>
            <w:gridSpan w:val="2"/>
          </w:tcPr>
          <w:p>
            <w:pPr>
              <w:jc w:val="right"/>
              <w:ind w:right="108"/>
              <w:spacing w:after="0"/>
              <w:rPr>
                <w:sz w:val="20"/>
                <w:szCs w:val="20"/>
                <w:color w:val="auto"/>
              </w:rPr>
            </w:pPr>
            <w:r>
              <w:rPr>
                <w:rFonts w:ascii="Arial" w:cs="Arial" w:eastAsia="Arial" w:hAnsi="Arial"/>
                <w:sz w:val="18"/>
                <w:szCs w:val="18"/>
                <w:color w:val="auto"/>
              </w:rPr>
              <w:t>35.8</w:t>
            </w:r>
          </w:p>
        </w:tc>
      </w:tr>
      <w:tr>
        <w:trPr>
          <w:trHeight w:val="27"/>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(27,576)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(12,742)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(14,834)</w:t>
            </w:r>
          </w:p>
        </w:tc>
        <w:tc>
          <w:tcPr>
            <w:tcW w:w="17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116.4</w:t>
            </w:r>
          </w:p>
        </w:tc>
      </w:tr>
      <w:tr>
        <w:trPr>
          <w:trHeight w:val="297"/>
        </w:trPr>
        <w:tc>
          <w:tcPr>
            <w:tcW w:w="4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1,445,949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1,341,076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104,873</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7"/>
        </w:trPr>
        <w:tc>
          <w:tcPr>
            <w:tcW w:w="4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increase in technical and operating expense was primarily attributable to an increase of $28.2 million in other direct programming costs which includes participation, development costs and delivery expenses, partially offset a decrease in program rights amortization expense of $12.0 million. Program rights amortization expense includes write-offs of $48.8 million for the year ended December 31, 2018 primarily based on management's assessment of programming usefulness of certain original programming and development costs at AMC and unscripted series at WE tv, as compared to program rights write-offs of $47.7 million primarily related to certain original programming and development costs at AMC for the year ended December 31, 2017.</w:t>
      </w:r>
    </w:p>
    <w:p>
      <w:pPr>
        <w:spacing w:after="0" w:line="15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amortization recorded from owned original programming in each period based on the individual-film-forecast-computation method. As additional competition for programming increases and alternate distribution technologies continue to develop in the industry, costs for content acquisition and original programming may increase.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increase in the International and Other segment was primarily due to an $88.0 million impact from the Levity and RLJE acquisitions. In addition, technical and operating expense increased $10.3 million at our wholly-owned subscription streaming services (Shudder and Sundance Now) due to the continued investment in programming and an increase of $11.5 million at AMCNI due to the increased investment in content and other direct programming costs, partially offset by the absence of $7.0 million in costs related to AMCNI – DMC (sold in July 2017). Foreign currency translation had an unfavorable impact to the change in technical and operating expense of $4.9 million.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6" w:right="2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Selling, general and administrative expense increased $44.1 million to $657.5 million for 2018 as compared to 2017.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455,935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451,820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4,115</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201,611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161,573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40,038</w:t>
            </w:r>
          </w:p>
        </w:tc>
        <w:tc>
          <w:tcPr>
            <w:tcW w:w="1760" w:type="dxa"/>
            <w:vAlign w:val="bottom"/>
            <w:gridSpan w:val="2"/>
          </w:tcPr>
          <w:p>
            <w:pPr>
              <w:jc w:val="right"/>
              <w:ind w:right="108"/>
              <w:spacing w:after="0"/>
              <w:rPr>
                <w:sz w:val="20"/>
                <w:szCs w:val="20"/>
                <w:color w:val="auto"/>
              </w:rPr>
            </w:pPr>
            <w:r>
              <w:rPr>
                <w:rFonts w:ascii="Arial" w:cs="Arial" w:eastAsia="Arial" w:hAnsi="Arial"/>
                <w:sz w:val="18"/>
                <w:szCs w:val="18"/>
                <w:color w:val="auto"/>
              </w:rPr>
              <w:t>24.8</w:t>
            </w:r>
          </w:p>
        </w:tc>
      </w:tr>
      <w:tr>
        <w:trPr>
          <w:trHeight w:val="27"/>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74.5</w:t>
            </w:r>
          </w:p>
        </w:tc>
      </w:tr>
      <w:tr>
        <w:trPr>
          <w:trHeight w:val="297"/>
        </w:trPr>
        <w:tc>
          <w:tcPr>
            <w:tcW w:w="4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657,457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613,342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44,115</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7"/>
        </w:trPr>
        <w:tc>
          <w:tcPr>
            <w:tcW w:w="4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9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the National Networks segment selling, general and administrative expense was driven principally as a result of a $10.2 million increase in employee related costs and professional fees, partially offset by a decrease in sales and marketing related costs of $6.1 million related to timing of the promotion and marketing of original programming.</w:t>
      </w:r>
    </w:p>
    <w:p>
      <w:pPr>
        <w:spacing w:after="0" w:line="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1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the International and Other segment was primarily due to a $41.4 million impact from the acquisitions of Levity and RLJE. In addition, increases in selling, general and administrative expense across the segment were offset by a decrease at AMCNI due to the absence of costs related to AMCNI – DMC (sold in July 2017), partially offset by an increase at IFC Films. Foreign currency translation had an unfavorable impact to the change in selling, general and administrative expense of $1.7 million.</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and amortization decreased $3.4 million to $91.3 million for 2018 as compared to 2017. The net change by segment was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57,553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60,936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(3,383)</w:t>
            </w:r>
          </w:p>
        </w:tc>
        <w:tc>
          <w:tcPr>
            <w:tcW w:w="1820" w:type="dxa"/>
            <w:vAlign w:val="bottom"/>
            <w:gridSpan w:val="2"/>
          </w:tcPr>
          <w:p>
            <w:pPr>
              <w:jc w:val="right"/>
              <w:ind w:right="108"/>
              <w:spacing w:after="0"/>
              <w:rPr>
                <w:sz w:val="20"/>
                <w:szCs w:val="20"/>
                <w:color w:val="auto"/>
              </w:rPr>
            </w:pPr>
            <w:r>
              <w:rPr>
                <w:rFonts w:ascii="Arial" w:cs="Arial" w:eastAsia="Arial" w:hAnsi="Arial"/>
                <w:sz w:val="18"/>
                <w:szCs w:val="18"/>
                <w:color w:val="auto"/>
              </w:rPr>
              <w:t>(5.6)</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91,281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94,638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decrease in depreciation and amortization expense in the International and Other segment was attributable to a decrease in amortization expense of $4.2 million due the absence of a $9.0 million charge recorded in 2017 resulting from accelerated amortization of certain identifiable intangible assets at AMCNI, partially offset by an increase in amortization expense of $6.0 million from intangible assets related to the acquisitions of Levity and RLJE. The net decrease in amortization expense was partially offset by an increase in depreciation expense of $2.2 million as a result of the property and equipment acquired in connection with the acquisitions, as well as an increase of $3.9 million related to leasehold additions, partially offset by a decrease of $5.3 million due to the the absence of AMCNI – DMC (sold in July 2017). Foreign currency translation had an unfavorable impact to the change in depreciation and amortization of $0.8 million.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September 2018, in connection with the disposition of a business, AMCNI recognized a $4.4 million charge primarily related to program rights.</w:t>
      </w:r>
    </w:p>
    <w:p>
      <w:pPr>
        <w:spacing w:after="0" w:line="12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July 2017, we completed the sale of our Amsterdam-based media logistics facility, AMCNI – DMC. In connection with the sale, we recognized an impairment charge of $17.1 million to reflect the AMCNI-DMC assets held for sale at fair value less estimated sale costs and an $11.0 million pre-tax loss on sale.</w:t>
      </w:r>
    </w:p>
    <w:p>
      <w:pPr>
        <w:sectPr>
          <w:pgSz w:w="11900" w:h="16838" w:orient="portrait"/>
          <w:cols w:equalWidth="0" w:num="1">
            <w:col w:w="11420"/>
          </w:cols>
          <w:pgMar w:left="240" w:top="47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72" w:right="239" w:bottom="1440" w:gutter="0" w:footer="0" w:header="0"/>
          <w:type w:val="continuous"/>
        </w:sectPr>
      </w:pPr>
    </w:p>
    <w:bookmarkStart w:id="40" w:name="page41"/>
    <w:bookmarkEnd w:id="40"/>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Restructuring expense of $45.8 million for the year ended December 31, 2018 related to (i) a restructuring plan commenced by management in September 2018 designed to reduce the cost structure of the Company and improve the organizational design of the Company through the elimination of certain roles and the re-alignment of certain senior leaders to new or additional responsibilities and (ii) the termination of distribution in certain territories at AMCNI. The components of the 2018 restructuring charge by segment was are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2018 Restructuring Charge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Restructuring</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Distribution</w:t>
            </w:r>
          </w:p>
        </w:tc>
        <w:tc>
          <w:tcPr>
            <w:tcW w:w="380" w:type="dxa"/>
            <w:vAlign w:val="bottom"/>
          </w:tcPr>
          <w:p>
            <w:pPr>
              <w:spacing w:after="0"/>
              <w:rPr>
                <w:sz w:val="13"/>
                <w:szCs w:val="13"/>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Plan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5"/>
              </w:rPr>
              <w:t>Exits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17,160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International and Other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18,803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35,963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45,847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620" w:hanging="180"/>
        <w:spacing w:after="0"/>
        <w:tabs>
          <w:tab w:leader="none" w:pos="6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Restructuring expense in the International and Other segment includes $9.4 million related to corporate headquarters severance charges.</w:t>
      </w:r>
    </w:p>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$6.1 million for the year ended December 31, 2017 related to charges incurred at the International and Other segment for corporate headquarters severance costs of $2.6 million and charges incurred at AMCNI related to costs associated with the termination of distribution in certain territories of $3.5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825,770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8,204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(93,326)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(4,432)</w:t>
            </w:r>
          </w:p>
        </w:tc>
        <w:tc>
          <w:tcPr>
            <w:tcW w:w="1800" w:type="dxa"/>
            <w:vAlign w:val="bottom"/>
            <w:gridSpan w:val="2"/>
          </w:tcPr>
          <w:p>
            <w:pPr>
              <w:jc w:val="right"/>
              <w:ind w:right="148"/>
              <w:spacing w:after="0"/>
              <w:rPr>
                <w:sz w:val="20"/>
                <w:szCs w:val="20"/>
                <w:color w:val="auto"/>
              </w:rPr>
            </w:pPr>
            <w:r>
              <w:rPr>
                <w:rFonts w:ascii="Arial" w:cs="Arial" w:eastAsia="Arial" w:hAnsi="Arial"/>
                <w:sz w:val="18"/>
                <w:szCs w:val="18"/>
                <w:color w:val="auto"/>
              </w:rPr>
              <w:t>5.0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18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(12.3)</w:t>
            </w:r>
          </w:p>
        </w:tc>
      </w:tr>
      <w:tr>
        <w:trPr>
          <w:trHeight w:val="257"/>
        </w:trPr>
        <w:tc>
          <w:tcPr>
            <w:tcW w:w="46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726,909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722,359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4,550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0.6 %</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operating income at the National Networks segment was primarily attributable to an increase in revenues of $45.7 million, partially offset by an increase in restructuring expense of $17.2 million, an increase in technical and operating expense of $16.2 million and an increase in selling, general and administrative expense of $4.1 million.</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operating loss at the International and Other segment was primarily attributable to a net increase in expense of $5.3 million related to restructuring charges and impairment and other charges combined in 2018 as compared to 2017 (see discussion above) and a net operating loss of $2.8 million from Levity and RLJE. Depreciation and amortization decreased $11.6 million (excluding the impact of the acquisitions of Levity and RLJE) principally due to the accelerated amortization expense of $9.0 million recorded at AMCNI in 2017. Foreign currency translation had a favorable impact to the change in operating income of $2.7 million.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726,909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60,979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53,545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7,434</w:t>
            </w:r>
          </w:p>
        </w:tc>
        <w:tc>
          <w:tcPr>
            <w:tcW w:w="1800" w:type="dxa"/>
            <w:vAlign w:val="bottom"/>
            <w:gridSpan w:val="2"/>
          </w:tcPr>
          <w:p>
            <w:pPr>
              <w:jc w:val="right"/>
              <w:ind w:right="139"/>
              <w:spacing w:after="0"/>
              <w:rPr>
                <w:sz w:val="20"/>
                <w:szCs w:val="20"/>
                <w:color w:val="auto"/>
              </w:rPr>
            </w:pPr>
            <w:r>
              <w:rPr>
                <w:rFonts w:ascii="Arial" w:cs="Arial" w:eastAsia="Arial" w:hAnsi="Arial"/>
                <w:sz w:val="18"/>
                <w:szCs w:val="18"/>
                <w:color w:val="auto"/>
              </w:rPr>
              <w:t>13.9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39,719</w:t>
            </w:r>
          </w:p>
        </w:tc>
        <w:tc>
          <w:tcPr>
            <w:tcW w:w="18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648.2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(23,662)</w:t>
            </w:r>
          </w:p>
        </w:tc>
        <w:tc>
          <w:tcPr>
            <w:tcW w:w="1800" w:type="dxa"/>
            <w:vAlign w:val="bottom"/>
            <w:gridSpan w:val="2"/>
          </w:tcPr>
          <w:p>
            <w:pPr>
              <w:jc w:val="right"/>
              <w:ind w:right="79"/>
              <w:spacing w:after="0"/>
              <w:rPr>
                <w:sz w:val="20"/>
                <w:szCs w:val="20"/>
                <w:color w:val="auto"/>
              </w:rPr>
            </w:pPr>
            <w:r>
              <w:rPr>
                <w:rFonts w:ascii="Arial" w:cs="Arial" w:eastAsia="Arial" w:hAnsi="Arial"/>
                <w:sz w:val="18"/>
                <w:szCs w:val="18"/>
                <w:color w:val="auto"/>
              </w:rPr>
              <w:t>(84.1)</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8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(3.5)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Equity investees (&gt;50% interest) AOI</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1"/>
                <w:szCs w:val="21"/>
                <w:color w:val="auto"/>
              </w:rPr>
            </w:pPr>
          </w:p>
        </w:tc>
        <w:tc>
          <w:tcPr>
            <w:tcW w:w="1700" w:type="dxa"/>
            <w:vAlign w:val="bottom"/>
          </w:tcPr>
          <w:p>
            <w:pPr>
              <w:jc w:val="right"/>
              <w:ind w:right="139"/>
              <w:spacing w:after="0"/>
              <w:rPr>
                <w:sz w:val="20"/>
                <w:szCs w:val="20"/>
                <w:color w:val="auto"/>
              </w:rPr>
            </w:pPr>
            <w:r>
              <w:rPr>
                <w:rFonts w:ascii="Arial" w:cs="Arial" w:eastAsia="Arial" w:hAnsi="Arial"/>
                <w:sz w:val="18"/>
                <w:szCs w:val="18"/>
                <w:color w:val="auto"/>
              </w:rPr>
              <w:t>n/m</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932,545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904,818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27,727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45" w:right="239" w:bottom="1440" w:gutter="0" w:footer="0" w:header="0"/>
          <w:type w:val="continuous"/>
        </w:sectPr>
      </w:pPr>
    </w:p>
    <w:bookmarkStart w:id="41" w:name="page42"/>
    <w:bookmarkEnd w:id="41"/>
    <w:p>
      <w:pPr>
        <w:ind w:left="440"/>
        <w:spacing w:after="0"/>
        <w:rPr>
          <w:sz w:val="20"/>
          <w:szCs w:val="20"/>
          <w:color w:val="auto"/>
        </w:rPr>
      </w:pPr>
      <w:r>
        <w:rPr>
          <w:rFonts w:ascii="Arial" w:cs="Arial" w:eastAsia="Arial" w:hAnsi="Arial"/>
          <w:sz w:val="18"/>
          <w:szCs w:val="18"/>
          <w:color w:val="auto"/>
        </w:rPr>
        <w:t>AOI increased $27.7 million to $932.5 million for 2018 as compared to 2017. The net change by segment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925,279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894,912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30,367</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19,303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3,084</w:t>
            </w:r>
          </w:p>
        </w:tc>
        <w:tc>
          <w:tcPr>
            <w:tcW w:w="1760" w:type="dxa"/>
            <w:vAlign w:val="bottom"/>
            <w:gridSpan w:val="2"/>
          </w:tcPr>
          <w:p>
            <w:pPr>
              <w:jc w:val="right"/>
              <w:ind w:right="108"/>
              <w:spacing w:after="0"/>
              <w:rPr>
                <w:sz w:val="20"/>
                <w:szCs w:val="20"/>
                <w:color w:val="auto"/>
              </w:rPr>
            </w:pPr>
            <w:r>
              <w:rPr>
                <w:rFonts w:ascii="Arial" w:cs="Arial" w:eastAsia="Arial" w:hAnsi="Arial"/>
                <w:sz w:val="18"/>
                <w:szCs w:val="18"/>
                <w:color w:val="auto"/>
              </w:rPr>
              <w:t>19.0</w:t>
            </w: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7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90.7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AOI</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932,545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904,818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27,727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National Networks AOI increased due to an increase in revenues, net of $45.7 million, partially offset by an increase in technical and operating expenses of $16.2 million resulting primarily from an increase in other direct programming costs.</w:t>
      </w:r>
    </w:p>
    <w:p>
      <w:pPr>
        <w:spacing w:after="0" w:line="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International and Other AOI increased due to an increase in revenues, net of $141.1 million, partially offset by an increase in technical and operating expenses of $103.6 million, an increase in selling, general and administrative expenses (excluding stock based compensation) of $38.3 million. The acquisitions of Levity and RLJE had a favorable impact on AOI of $8.4 million (which includes an increase of $3.0 million related to the AOI of greater than fifty percent owned equity method investees). Foreign currency translation had a favorable impact on AOI of approximately $4.4 million.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increase in interest expense, net of $16.5 million from 2017 to 2018 was attributable an increase in interest expense of $21.0 million primarily resulting from the issuance of our $800 million in aggregate principal amount of 4.75% Senior Notes due 2025 on July 28, 2017, partially offset by an increase in interest income of $4.5 million principally due to interest income earned in 2018 (through the date of acquisition) on term loans entered into with RLJE in October 2016 and fuboTV in April 2018, and an increase in interest earned on cash balances due to an increase in interest rates compared to the same period in 2017.</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right="20" w:firstLine="405"/>
        <w:spacing w:after="0" w:line="293" w:lineRule="auto"/>
        <w:rPr>
          <w:sz w:val="20"/>
          <w:szCs w:val="20"/>
          <w:color w:val="auto"/>
        </w:rPr>
      </w:pPr>
      <w:r>
        <w:rPr>
          <w:rFonts w:ascii="Arial" w:cs="Arial" w:eastAsia="Arial" w:hAnsi="Arial"/>
          <w:sz w:val="18"/>
          <w:szCs w:val="18"/>
          <w:color w:val="auto"/>
        </w:rPr>
        <w:t>The loss on extinguishment of debt for the year ended December 31, 2017 of $3.0 million was primarily due to the write-off of a portion of unamortized deferred financing costs following the amendment of our Term Loan A Facility in July 2017.</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decrease in miscellaneous, net of $11.1 million was principally the result of a $21.8 million unfavorable variance in the foreign currency remeasurement of monetary assets and liabilities that are denominated in currencies other than the underlying functional currency of the applicable entity from both foreign currency transactions as well as intercompany loans and impairment charges of $13.5 million for the partial write-down of certain of our investments. Partially offsetting such decreases are an increase of $22.1 million in gains on derivative instruments principally due to the value of derivative instruments and warrants held related to RLJE (recorded through the date of acquisition) and an increase in the value of our marketable equity securities of $4.6 million primarily driven by a gain recorded through the date of acquisition in the fair market value of RLJE common shares held of $14.1 million, partially offset by a decrease in value of one of our marketable equity securities of $9.5 million. The gains recorded related to RLJE are driven by the increase in the fair value of RLJE common stock as a result of our agreement to acquire all the outstanding shares of RLJE for a purchase price of $6.25 per share (see further discussion below under heading "Other Matters").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Income tax expense was $156.3 million for the year ended December 31, 2018, representing an effective tax rate of 25%. The effective tax rate differs from the federal statutory rate of 21% due primarily to tax expense of $16.4 million for an increase in valuation allowances for foreign taxes and U.S. foreign tax credits; state and local income tax expense of $11.5 million and a tax benefit of $12.8 million for the one-time rate change on deferred tax assets and liabilities that resulted from the extension of certain television production cost deductions included in the Bipartisan Budget Act of 2018 (enacted February 9, 2018) and return to provision adjustments.</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Income tax expense was $150.7 million for the year ended December 31, 2017, representing an effective tax rate of 24%. The effective tax rate differs from the federal statutory rate of 35% due primarily to tax benefit of $67.9 million which represents the one-time impact of the change in the corporate tax rate on deferred tax assets and liabilities, tax benefit from the domestic production activities deduction of $19.3 million, tax benefit from foreign subsidiary earnings indefinitely reinvested outside of the U.S. of $4.6 million, tax benefit of $2.7 million resulting from an decrease in the valuation allowance relating primarily to foreign and local taxes, tax expense of $11.0 million resulting from the one-time transition tax on undistributed foreign earnings, net of foreign taxes deemed paid, state income tax expense of $9.5 million, and tax expense of $3.3 million related to uncertain tax positions, including accrued interest.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attributable to noncontrolling interests consists of the noncontrolling parties' share of net earnings of consolidated joint ventures. The net change for the year ended December 31, 2018 as compared to the year ended December 31, 2017 is primarily due to a decrease in earnings attributable to certain international non-controlling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2,805,691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2,755,654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50,037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1,341,076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1,279,984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61,092</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613,342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636,028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(22,686)</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84,778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9,860</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(39,657)</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2,083,332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2,098,098</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(14,766)</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722,359</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657,556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64,803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(119,297)</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(118,568)</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(50,639)</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47,635</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(33,524)</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73,844</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(81,981)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(202,731)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120,750</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from operations before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640,378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454,825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185,553</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(150,741)</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(164,862)</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14,121</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489,637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289,963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199,674</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w w:val="95"/>
              </w:rPr>
              <w:t>Net income attributable to noncontrolling interests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(18,321)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471,316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270,510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200,806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2" w:right="23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b w:val="1"/>
          <w:bCs w:val="1"/>
          <w:color w:val="auto"/>
        </w:rPr>
        <w:t>National Networks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2,367,615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2,311,040</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56,575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Technical and operating (excluding depreciation</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1,064,580</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1,011,572</w:t>
            </w:r>
          </w:p>
        </w:tc>
        <w:tc>
          <w:tcPr>
            <w:tcW w:w="14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53,008</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451,820</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474,549</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(22,729)</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14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820" w:type="dxa"/>
            <w:vAlign w:val="bottom"/>
          </w:tcPr>
          <w:p>
            <w:pPr>
              <w:ind w:left="280"/>
              <w:spacing w:after="0"/>
              <w:rPr>
                <w:sz w:val="20"/>
                <w:szCs w:val="20"/>
                <w:color w:val="auto"/>
              </w:rPr>
            </w:pPr>
            <w:r>
              <w:rPr>
                <w:rFonts w:ascii="Arial" w:cs="Arial" w:eastAsia="Arial" w:hAnsi="Arial"/>
                <w:sz w:val="18"/>
                <w:szCs w:val="18"/>
                <w:color w:val="auto"/>
              </w:rPr>
              <w:t>Restructuring (credit)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8,516</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(8,569)</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817,566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784,027</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43,697</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30,569</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13,128</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4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33,702</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32,376</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894,912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855,488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459,996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277,215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12,023</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161,573</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162,501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8,534</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(39,657)</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(88,894)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(120,914)</w:t>
            </w:r>
          </w:p>
        </w:tc>
        <w:tc>
          <w:tcPr>
            <w:tcW w:w="20" w:type="dxa"/>
            <w:vAlign w:val="bottom"/>
            <w:tcBorders>
              <w:top w:val="single" w:sz="8" w:color="auto"/>
            </w:tcBorders>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20,987</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(14,806)</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(39,657)</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60,936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52,402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8,534</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3"/>
          </w:tcPr>
          <w:p>
            <w:pPr>
              <w:jc w:val="right"/>
              <w:ind w:right="38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$50.0 million to $2.8 billion for the year ended December 31, 2017 as compared to the year ended December 31, 2016.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9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3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2,367,615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2,311,040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457,182</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459,996</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(2,814)</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(15,382)</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2,805,691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2,755,654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50,037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2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959,551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990,508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1,408,064</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1,320,532</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87,532</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2,367,615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2,311,040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56,575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revenues decreased $31.0 million primarily driven by ratings, partially offset by pricing, with a decrease at AMC, partially offset by increases at BBC AMERICA, Sundance TV, and IFC.</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Distribution revenues increased $87.5 million principally due to an increase in subscription revenues of $44.2 million primarily driven by higher rates and $43.3 million from content licensing revenues derived from our original programming, primarily at AMC.</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certain subscriber information at December 31, 2017 and December 31,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0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8"/>
                <w:szCs w:val="8"/>
                <w:b w:val="1"/>
                <w:bCs w:val="1"/>
                <w:color w:val="auto"/>
              </w:rPr>
              <w:t>(1)</w:t>
            </w:r>
          </w:p>
        </w:tc>
      </w:tr>
      <w:tr>
        <w:trPr>
          <w:trHeight w:val="264"/>
        </w:trPr>
        <w:tc>
          <w:tcPr>
            <w:tcW w:w="7200" w:type="dxa"/>
            <w:vAlign w:val="bottom"/>
          </w:tcPr>
          <w:p>
            <w:pPr>
              <w:spacing w:after="0"/>
              <w:rPr>
                <w:sz w:val="22"/>
                <w:szCs w:val="22"/>
                <w:color w:val="auto"/>
              </w:rPr>
            </w:pPr>
          </w:p>
        </w:tc>
        <w:tc>
          <w:tcPr>
            <w:tcW w:w="216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 2017</w:t>
            </w:r>
          </w:p>
        </w:tc>
        <w:tc>
          <w:tcPr>
            <w:tcW w:w="204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Programming Networks:</w:t>
            </w: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AMC</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90,500</w:t>
            </w:r>
          </w:p>
        </w:tc>
        <w:tc>
          <w:tcPr>
            <w:tcW w:w="1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91,200</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 tv</w:t>
            </w: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85,900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BBC AMERICA</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80,600</w:t>
            </w:r>
          </w:p>
        </w:tc>
        <w:tc>
          <w:tcPr>
            <w:tcW w:w="1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79,300</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IFC</w:t>
            </w: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74,200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72,400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SundanceTV</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70,600</w:t>
            </w:r>
          </w:p>
        </w:tc>
        <w:tc>
          <w:tcPr>
            <w:tcW w:w="1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62,400</w:t>
            </w: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________________</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(1) Estimated U.S. subscribers as measured by Nielsen.</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89,894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94,467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367,288</w:t>
            </w: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365,529</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1,759</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457,182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459,996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0" w:firstLine="405"/>
        <w:spacing w:after="0" w:line="264" w:lineRule="auto"/>
        <w:rPr>
          <w:sz w:val="20"/>
          <w:szCs w:val="20"/>
          <w:color w:val="auto"/>
        </w:rPr>
      </w:pPr>
      <w:r>
        <w:rPr>
          <w:rFonts w:ascii="Arial" w:cs="Arial" w:eastAsia="Arial" w:hAnsi="Arial"/>
          <w:sz w:val="18"/>
          <w:szCs w:val="18"/>
          <w:color w:val="auto"/>
        </w:rPr>
        <w:t>The decrease in advertising revenues was principally due to lower demand in certain international markets. In addition, foreign currency translation had an unfavorable impact of $2.6 million. Distribution revenues increased $11.5 million at AMCNI due to expanded distribution and an increase in subscription revenues of $7.2 million from our subscription streaming services.</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72" w:right="239" w:bottom="1440" w:gutter="0" w:footer="0" w:header="0"/>
          <w:type w:val="continuous"/>
        </w:sectPr>
      </w:pPr>
    </w:p>
    <w:bookmarkStart w:id="45" w:name="page46"/>
    <w:bookmarkEnd w:id="45"/>
    <w:p>
      <w:pPr>
        <w:ind w:left="60"/>
        <w:spacing w:after="0" w:line="277" w:lineRule="auto"/>
        <w:rPr>
          <w:sz w:val="20"/>
          <w:szCs w:val="20"/>
          <w:color w:val="auto"/>
        </w:rPr>
      </w:pPr>
      <w:r>
        <w:rPr>
          <w:rFonts w:ascii="Arial" w:cs="Arial" w:eastAsia="Arial" w:hAnsi="Arial"/>
          <w:sz w:val="18"/>
          <w:szCs w:val="18"/>
          <w:color w:val="auto"/>
        </w:rPr>
        <w:t>These increases were partially offset by the absence of $15.4 million of revenues from AMCNI – DMC which was sold in July 2017. Foreign currency translation had a favorable impact of $2.9 million on distribution revenues.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$61.1 million to $1.3 billion for 2017 as compared to 2016.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1,064,580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1,011,572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53,008</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289,238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277,215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12,023</w:t>
            </w:r>
          </w:p>
        </w:tc>
        <w:tc>
          <w:tcPr>
            <w:tcW w:w="1760" w:type="dxa"/>
            <w:vAlign w:val="bottom"/>
            <w:gridSpan w:val="2"/>
          </w:tcPr>
          <w:p>
            <w:pPr>
              <w:jc w:val="right"/>
              <w:ind w:right="128"/>
              <w:spacing w:after="0"/>
              <w:rPr>
                <w:sz w:val="20"/>
                <w:szCs w:val="20"/>
                <w:color w:val="auto"/>
              </w:rPr>
            </w:pPr>
            <w:r>
              <w:rPr>
                <w:rFonts w:ascii="Arial" w:cs="Arial" w:eastAsia="Arial" w:hAnsi="Arial"/>
                <w:sz w:val="18"/>
                <w:szCs w:val="18"/>
                <w:color w:val="auto"/>
              </w:rPr>
              <w:t>4.3</w:t>
            </w:r>
          </w:p>
        </w:tc>
      </w:tr>
      <w:tr>
        <w:trPr>
          <w:trHeight w:val="27"/>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(12,742)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7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44.7</w:t>
            </w:r>
          </w:p>
        </w:tc>
      </w:tr>
      <w:tr>
        <w:trPr>
          <w:trHeight w:val="297"/>
        </w:trPr>
        <w:tc>
          <w:tcPr>
            <w:tcW w:w="4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1,341,076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1,279,984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61,092</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7"/>
        </w:trPr>
        <w:tc>
          <w:tcPr>
            <w:tcW w:w="4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increase in the National Networks segment was attributable to increased program rights amortization expense of $72.0 million, partially offset by a decrease in other direct programming related costs which includes participation expense. The increase in program rights amortization expense is due to our increased investment in owned original series, primarily at AMC. Program rights amortization expense in 2017 includes write-offs of $47.7 million, primarily at AMC. Program rights amortization expense in 2016 included write-offs of $25.6 million, primarily at AMC and BBC AMERICA.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the International and Other segment was due to an increase of $9.0 million at our subscription streaming services and a net increase at AMCNI due to increased investment in programming, partially offset by the absence of costs related to AMCNI - DMC following its sale in July 2017. Foreign currency translation had a favorable impact to the change in technical and operating expense of $0.9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decreased $22.7 million to $613.3 million for 2017 as compared to 2016.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451,820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474,549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161,573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162,501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w:t>
            </w:r>
          </w:p>
        </w:tc>
        <w:tc>
          <w:tcPr>
            <w:tcW w:w="1800" w:type="dxa"/>
            <w:vAlign w:val="bottom"/>
            <w:gridSpan w:val="2"/>
          </w:tcPr>
          <w:p>
            <w:pPr>
              <w:jc w:val="right"/>
              <w:ind w:right="128"/>
              <w:spacing w:after="0"/>
              <w:rPr>
                <w:sz w:val="20"/>
                <w:szCs w:val="20"/>
                <w:color w:val="auto"/>
              </w:rPr>
            </w:pPr>
            <w:r>
              <w:rPr>
                <w:rFonts w:ascii="Arial" w:cs="Arial" w:eastAsia="Arial" w:hAnsi="Arial"/>
                <w:sz w:val="18"/>
                <w:szCs w:val="18"/>
                <w:color w:val="auto"/>
              </w:rPr>
              <w:t>(0.6)</w:t>
            </w:r>
          </w:p>
        </w:tc>
      </w:tr>
      <w:tr>
        <w:trPr>
          <w:trHeight w:val="27"/>
        </w:trPr>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w:t>
            </w:r>
          </w:p>
        </w:tc>
        <w:tc>
          <w:tcPr>
            <w:tcW w:w="18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(95.0)</w:t>
            </w:r>
          </w:p>
        </w:tc>
      </w:tr>
      <w:tr>
        <w:trPr>
          <w:trHeight w:val="297"/>
        </w:trPr>
        <w:tc>
          <w:tcPr>
            <w:tcW w:w="4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613,342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636,028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45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9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decrease in the National Networks segment selling, general and administrative expense was driven by a decrease in ad sales expense and marketing related costs of $31.1 million primarily related to the timing and level of promotion and marketing of original programming as well as employee related costs, partially offset by a net increase in long-term incentive compensation expense of $7.1 million.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1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the International and Other segment was primarily due to a decrease in selling, general and administrative expenses at AMCNI of $4.2 million principally due the absence of expenses of AMCNI - DMC which was sold in July 2017, which were partially offset by an increase of $3.2 million in sales and marketing related costs at our subscription streaming services. Foreign currency translation did not have a meaningful impact to the change in selling, general and administrative expense.</w:t>
      </w:r>
    </w:p>
    <w:p>
      <w:pPr>
        <w:sectPr>
          <w:pgSz w:w="11900" w:h="16838" w:orient="portrait"/>
          <w:cols w:equalWidth="0" w:num="1">
            <w:col w:w="11420"/>
          </w:cols>
          <w:pgMar w:left="240" w:top="47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76" w:right="239" w:bottom="1440" w:gutter="0" w:footer="0" w:header="0"/>
          <w:type w:val="continuous"/>
        </w:sectPr>
      </w:pPr>
    </w:p>
    <w:bookmarkStart w:id="46" w:name="page47"/>
    <w:bookmarkEnd w:id="46"/>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and amortization increased $9.9 million to $94.6 million for 2017 as compared to 2016. The net change by segment was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60,936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52,402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8,534</w:t>
            </w:r>
          </w:p>
        </w:tc>
        <w:tc>
          <w:tcPr>
            <w:tcW w:w="1780" w:type="dxa"/>
            <w:vAlign w:val="bottom"/>
            <w:gridSpan w:val="2"/>
          </w:tcPr>
          <w:p>
            <w:pPr>
              <w:jc w:val="right"/>
              <w:ind w:right="128"/>
              <w:spacing w:after="0"/>
              <w:rPr>
                <w:sz w:val="20"/>
                <w:szCs w:val="20"/>
                <w:color w:val="auto"/>
              </w:rPr>
            </w:pPr>
            <w:r>
              <w:rPr>
                <w:rFonts w:ascii="Arial" w:cs="Arial" w:eastAsia="Arial" w:hAnsi="Arial"/>
                <w:sz w:val="18"/>
                <w:szCs w:val="18"/>
                <w:color w:val="auto"/>
              </w:rPr>
              <w:t>16.3</w:t>
            </w:r>
          </w:p>
        </w:tc>
      </w:tr>
      <w:tr>
        <w:trPr>
          <w:trHeight w:val="27"/>
        </w:trPr>
        <w:tc>
          <w:tcPr>
            <w:tcW w:w="4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94,638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84,778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9,860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depreciation and amortization expense at the National Networks segment was primarily depreciation expense attributable to property and equipment additions primarily at AMC Networks Broadcasting &amp; Technology. The increase in depreciation and amortization expense in the International and Other segment was primarily attributable to an increase in amortization expense which resulted in a charge of $9.0 million from the accelerated amortization of certain identifiable intangible assets at AMCNI.</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July 2017, the Company completed the sale of its Amsterdam-based media logistics facility, AMCNI – DMC. In connection with the sale, the Company recognized an impairment charge of $17.1 million and an $11.0 million pre-tax loss on sale.</w:t>
      </w:r>
    </w:p>
    <w:p>
      <w:pPr>
        <w:spacing w:after="0" w:line="6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2016, the Company recorded a charge of $67.8 million related to AMCNI - DMC. During the fourth quarter of 2016, management revised its outlook for the growth potential of AMCNI – DMC resulting in lower expected future cash flows due to increased competition and evolving broadcast technologies. This resulted in an impairment charge of $40.6 million related to long-lived assets, which consisted of $22.9 million related to property and equipment and $17.7 million related to intangible assets, and a write down of the entire balance of goodwill of the AMCNI – DMC reporting unit of $27.2 million.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$6.1 million for the year ended December 31, 2017 related to charges incurred at the International and Other segment for corporate headquarters severance costs of $2.6 million and charges incurred at AMCNI related to costs associated with the termination of distribution in certain territories of $3.5 million.</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Restructuring expense of $29.5 million for the year ended December 31, 2016 was comprised of charges of $8.5 million in the National Networks segment and $21.0 million in the International and Other segment, which includes corporate headquarter related charges of $12.5 million. The Company launched a restructuring initiative that involved modifications to the organizational structure of the Company and is expected to result in reduced employee costs and operating expenses primarily through a voluntary buyout program offered to certain employees. Specifically, restructuring expense at the National Networks segment represents severance charges incurred related to employee terminations primarily as a result of the voluntary buyout program. Restructuring expense at the International and Other segment primarily represents $15.6 million of severance costs incurred related to employee terminations primarily as a result of the voluntary buyout program and $5.4 million of costs related to the elimination of distribution in certain territories.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817,566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33,539</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32,020</w:t>
            </w:r>
          </w:p>
        </w:tc>
        <w:tc>
          <w:tcPr>
            <w:tcW w:w="1820" w:type="dxa"/>
            <w:vAlign w:val="bottom"/>
            <w:gridSpan w:val="2"/>
          </w:tcPr>
          <w:p>
            <w:pPr>
              <w:jc w:val="right"/>
              <w:ind w:right="108"/>
              <w:spacing w:after="0"/>
              <w:rPr>
                <w:sz w:val="20"/>
                <w:szCs w:val="20"/>
                <w:color w:val="auto"/>
              </w:rPr>
            </w:pPr>
            <w:r>
              <w:rPr>
                <w:rFonts w:ascii="Arial" w:cs="Arial" w:eastAsia="Arial" w:hAnsi="Arial"/>
                <w:sz w:val="18"/>
                <w:szCs w:val="18"/>
                <w:color w:val="auto"/>
              </w:rPr>
              <w:t>(26.5)</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13.6</w:t>
            </w:r>
          </w:p>
        </w:tc>
      </w:tr>
      <w:tr>
        <w:trPr>
          <w:trHeight w:val="257"/>
        </w:trPr>
        <w:tc>
          <w:tcPr>
            <w:tcW w:w="46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722,359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657,556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64,803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operating income at the National Networks segment was primarily attributable to an increase in revenues of $56.6 million, a decrease in selling general and administrative expense of $22.7 million, and a decrease in restructuring expense of $8.6 million, partially offset by an increase in technical and operating expense of $53.0 million, and an increase in depreciation and amortization of $1.3 million.</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operating loss in the International and Other segment was primarily attributable to the impairment charge for AMCNI-DMC of $67.8 million recorded in 2016 as compared to $28.1 million charge recorded in 2017 as well as a decrease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2"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in restructuring expense of $14.8 million due to the reasons described above. Foreign currency translation had an unfavorable impact to the change in operating income of $6.8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722,359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64,803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53,545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38,897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14,648</w:t>
            </w:r>
          </w:p>
        </w:tc>
        <w:tc>
          <w:tcPr>
            <w:tcW w:w="1820" w:type="dxa"/>
            <w:vAlign w:val="bottom"/>
            <w:gridSpan w:val="2"/>
          </w:tcPr>
          <w:p>
            <w:pPr>
              <w:jc w:val="right"/>
              <w:ind w:right="168"/>
              <w:spacing w:after="0"/>
              <w:rPr>
                <w:sz w:val="20"/>
                <w:szCs w:val="20"/>
                <w:color w:val="auto"/>
              </w:rPr>
            </w:pPr>
            <w:r>
              <w:rPr>
                <w:rFonts w:ascii="Arial" w:cs="Arial" w:eastAsia="Arial" w:hAnsi="Arial"/>
                <w:sz w:val="18"/>
                <w:szCs w:val="18"/>
                <w:color w:val="auto"/>
              </w:rPr>
              <w:t>37.7</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8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(79.2)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67,805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(39,657)</w:t>
            </w:r>
          </w:p>
        </w:tc>
        <w:tc>
          <w:tcPr>
            <w:tcW w:w="1820" w:type="dxa"/>
            <w:vAlign w:val="bottom"/>
            <w:gridSpan w:val="2"/>
          </w:tcPr>
          <w:p>
            <w:pPr>
              <w:jc w:val="right"/>
              <w:ind w:right="108"/>
              <w:spacing w:after="0"/>
              <w:rPr>
                <w:sz w:val="20"/>
                <w:szCs w:val="20"/>
                <w:color w:val="auto"/>
              </w:rPr>
            </w:pPr>
            <w:r>
              <w:rPr>
                <w:rFonts w:ascii="Arial" w:cs="Arial" w:eastAsia="Arial" w:hAnsi="Arial"/>
                <w:sz w:val="18"/>
                <w:szCs w:val="18"/>
                <w:color w:val="auto"/>
              </w:rPr>
              <w:t>(58.5)</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94,638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9,860</w:t>
            </w:r>
          </w:p>
        </w:tc>
        <w:tc>
          <w:tcPr>
            <w:tcW w:w="18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11.6</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Consolidated AOI</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904,818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878,539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26,279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AOI increased $26.3 million to $904.8 million for 2017 as compared to 2016. The net change by segment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894,912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39,424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(12,389)</w:t>
            </w:r>
          </w:p>
        </w:tc>
        <w:tc>
          <w:tcPr>
            <w:tcW w:w="1820" w:type="dxa"/>
            <w:vAlign w:val="bottom"/>
            <w:gridSpan w:val="2"/>
          </w:tcPr>
          <w:p>
            <w:pPr>
              <w:jc w:val="right"/>
              <w:ind w:right="108"/>
              <w:spacing w:after="0"/>
              <w:rPr>
                <w:sz w:val="20"/>
                <w:szCs w:val="20"/>
                <w:color w:val="auto"/>
              </w:rPr>
            </w:pPr>
            <w:r>
              <w:rPr>
                <w:rFonts w:ascii="Arial" w:cs="Arial" w:eastAsia="Arial" w:hAnsi="Arial"/>
                <w:sz w:val="18"/>
                <w:szCs w:val="18"/>
                <w:color w:val="auto"/>
              </w:rPr>
              <w:t>(43.3)</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13.6</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AOI</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904,818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878,539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26,279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National Networks AOI increased due to an increase in revenues, net of $56.6 million and a decrease in selling, general and administrative expenses (excluding stock based compensation) of $35.8 million, partially offset by an increase in technical and operating expenses of $53.0 million resulting primarily from an increase in program rights expense.</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and Other AOI decreased due to a decrease in revenues, net of $2.8 million and an increase in technical and operating expenses of $12.0 million, partially offset by a decrease in selling, general and administrative expenses (excluding stock based compensation) of $2.4 million. Foreign currency translation had a favorable impact on AOI of approximately $1.8 million.</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increase in interest expense, net of $0.7 million from 2016 to 2017 was attributable an increase in interest expense of $10.4 million primarily resulting from the issuance of our $800 million in aggregate principal amount of 4.75% Senior Notes due 2025 on July 28, 2017 and $1.0 billion in aggregate principal amount of 5.00% Senior Notes due 2024 entered into on March 30, 2016, partially offset by a decrease in interest expense related to our early redemption of our 7.75% Notes in March 2016. The increase in interest expense, was partially offset by an increase in interest income of $9.6 million principally related to $8.3 million interest income earned on term loans to RLJE.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right="20" w:firstLine="405"/>
        <w:spacing w:after="0" w:line="293" w:lineRule="auto"/>
        <w:rPr>
          <w:sz w:val="20"/>
          <w:szCs w:val="20"/>
          <w:color w:val="auto"/>
        </w:rPr>
      </w:pPr>
      <w:r>
        <w:rPr>
          <w:rFonts w:ascii="Arial" w:cs="Arial" w:eastAsia="Arial" w:hAnsi="Arial"/>
          <w:sz w:val="18"/>
          <w:szCs w:val="18"/>
          <w:color w:val="auto"/>
        </w:rPr>
        <w:t>The loss on extinguishment of debt for the year ended December 31, 2017 of $3.0 million was primarily due to the write-off of a portion of unamortized deferred financing costs following the amendment of our Term Loan A Facility in July 2017.</w:t>
      </w:r>
    </w:p>
    <w:p>
      <w:pPr>
        <w:spacing w:after="0" w:line="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loss on extinguishment of debt for the year ended December 31, 2016 of $50.6 million represented $41.0 million of premium paid and related fees on the early redemption of our 7.75% Notes as well as the write-off of the related unamortized discount of $8.7 million and unamortized deferred financing costs of $0.9 million.</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decrease in miscellaneous, net of $73.8 million was principally the result of a $54.0 million favorable variance in the foreign currency remeasurement of monetary assets and liabilities that are denominated in currencies other than the underlying functional currency of the applicable entity from both foreign currency transactions as well as intercompany loans. Certain intercompany loans which were the primary driver of transaction losses in 2016 were settled in the third quarter of 2016. Miscellaneous, net also includes an increase in gains on derivative instruments of $18.9 million primarily related to the RLJE derivatives due to an increase in the price of RLJE common stock and a gain in the fair market value of RLJE common shares held of $2.2 million which started to be recognized during the second quarter 2017 upon meeting the criteria to be accounted for as an equity method investment following the exercise of warrants, for which we have elected the fair value option.</w:t>
      </w:r>
    </w:p>
    <w:p>
      <w:pPr>
        <w:sectPr>
          <w:pgSz w:w="11900" w:h="16838" w:orient="portrait"/>
          <w:cols w:equalWidth="0" w:num="1">
            <w:col w:w="11420"/>
          </w:cols>
          <w:pgMar w:left="240" w:top="47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76" w:right="239" w:bottom="1440" w:gutter="0" w:footer="0" w:header="0"/>
          <w:type w:val="continuous"/>
        </w:sectPr>
      </w:pPr>
    </w:p>
    <w:bookmarkStart w:id="48" w:name="page49"/>
    <w:bookmarkEnd w:id="48"/>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Income tax expense was $150.7 million for the year ended December 31, 2017, representing an effective tax rate of 24%. The effective tax rate differs from the federal statutory rate of 35% due primarily to tax benefit of $67.9 million which represents the one-time impact of the change in the corporate tax rate on deferred tax assets and liabilities, tax benefit from the domestic production activities deduction of $19.3 million, tax benefit from foreign subsidiary earnings indefinitely reinvested outside of the U.S. of $4.6 million, tax benefit of $2.7 million resulting from an decrease in the valuation allowance relating primarily to foreign and local taxes, tax expense of $11.0 million resulting from the one-time transition tax on undistributed foreign earnings, net of foreign taxes deemed paid, state income tax expense of $9.5 million, and tax expense of $3.3 million related to uncertain tax positions, including accrued interest.</w:t>
      </w:r>
    </w:p>
    <w:p>
      <w:pPr>
        <w:spacing w:after="0" w:line="16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Income tax expense was $164.9 million for the year ended December 31, 2016, representing an effective tax rate of 36%. The effective tax rate differs from the federal statutory rate of 35% due primarily to tax expense of $21.4 million resulting from an increase in the valuation allowance relating primarily to foreign and local taxes and impairment charges recorded at the AMCNI - DMC reporting unit, state income tax expense of $9.1 million, tax benefit from the domestic production activities deduction of $13.3 million, tax benefit from foreign subsidiary earnings indefinitely reinvested outside of the U.S. of $3.9 million, and tax benefit of $2.7 million related to uncertain tax positions, including accrued interest. The tax benefit relating to reductions in uncertain tax positions is primarily due to a lapse of the applicable statute of limitations.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attributable to noncontrolling interests consists of the noncontrolling parties' share of net earnings of consolidated joint ventures. The net change for the year ended December 31, 2017 as compared to the year ended December 31, 2016 is primarily due to a decrease in earnings attributable to certain international non-controlling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(as described below)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year ended December 31, 2018, the Company repurchased 5.4 million shares of its Class A common stock at an average purchase price of $52.56 per share. As of December 31, 2018, the Company has $559.4 million available for repurchase under the Stock Repurchase Program.</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debt service, repurchases of outstanding debt and common stock, payments for income taxes and investments and acquisitions. We continue to increase our investment in original programming, the funding of which generally occurs six to nine months in advance of a program's airing. We expect this increased investment to continue in 2019.</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2018, our consolidated cash and cash equivalents balance includes approximately $121.2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 The Company intends to maintain its indefinite reinvestment assertion.</w:t>
      </w:r>
    </w:p>
    <w:p>
      <w:pPr>
        <w:spacing w:after="0" w:line="18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2" w:right="23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cash flows provided by (used in) operations for the periods indicated: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2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606,547</w:t>
            </w:r>
          </w:p>
        </w:tc>
        <w:tc>
          <w:tcPr>
            <w:tcW w:w="5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385,729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514,325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flow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(260,184)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(130,602)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(174,574)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(153,864)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increase in cash from operations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50,917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185,887</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Net cash provided by operating activities amounted to $606.5 million for the year ended December 31, 2018 as compared to $385.7 million for the year ended December 31, 2017. In 2018, net cash provided by operating activities resulted from $1.6 billion of net income before amortization of program rights, depreciation and amortization, share-based compensation and other non-cash items, which was partially offset by payments for program rights of $978.8 million. Additionally, income taxes payable decreased $17.0 million and accounts payable, accrued expenses and other liabilities increased $48.9 million primarily due to higher accruals for participation and residuals, partially offset by lower employee related liabilities at December 31, 2018 as compared to the prior year. Accounts receivable, trade, increased $52.1 million at December 31, 2018 as compared to the prior year primarily driven by higher distribution revenues as well as timing of cash receipts. Changes in all other assets and liabilities during the year resulted in a decrease in cash of $13.4 million.</w:t>
      </w:r>
    </w:p>
    <w:p>
      <w:pPr>
        <w:spacing w:after="0" w:line="16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2017, net cash provided by operating activities resulted from $1.5 billion of net income before amortization of program rights, depreciation and amortization, loss on extinguishment of debt, impairment charges and other non-cash items, which was partially offset by payments for program rights of $996.8 million. Additionally, income taxes payable decreased $22.0 million and accounts payable, accrued expenses and other liabilities increased $15.6 million primarily due to higher accrued interest and participation and residuals, partially offset by lower employee related liabilities at December 31, 2017 as compared to the prior year. Accounts receivable, trade, increased $74.6 million at December 31, 2017 as compared to the prior year primarily driven by higher distribution revenues as well as timing of cash receipts and prepaid expenses and other assets increased $60.0 million. Changes in all other assets and liabilities during the year resulted in a decrease in cash of $16.2 million.</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2016, net cash provided by operating activities resulted from $1.5 billion of net income before amortization of program rights, depreciation and amortization, loss on extinguishment of debt, impairment charges and other non-cash items, which was partially offset by payments for program rights of $973.2 million. Additionally, income taxes payable increased $43.2 million and accounts payable, accrued expenses and other liabilities increased $33.1 million primarily due to higher accrued participation and residuals, partially offset by lower employee related liabilities at December 31, 2016 as compared to the prior year. Accounts receivable, trade, increased $30.1 million at December 31, 2016 as compared to the prior year primarily driven by higher revenues as well as timing of cash receipts. Changes in all other assets and liabilities during the year resulted in a decrease in cash of $21.7 million.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Net cash used in investing activities for the years ended December 31, 2018, 2017 and 2016 was $260.2 million, $130.6 million and $174.6 million, respectively. In 2018, net cash used in investing activities was primarily related to capital expenditures of $89.8 million, primarily related to modernization and improvements of facilities and equipment, payments for acquisitions, net of cash acquired of $84.4 million related to Levity and RLJE, and the purchase of several minority investments, including loans to investees, of $90.1 million, partially offset by a return of capital from investees.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2017, net cash used in investing activities was primarily related to capital expenditures of $80.0 million, primarily related to modernization and improvements of facilities and equipment, and investments of $53.0 million which included additional funding for RLJE and the purchase of several minority investments.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2016, net cash used in investing activities was primarily related to investments of $95.0 million which included the RLJE term loans and the purchase of a minority investment, and capital expenditures of $79.2 million, primarily related to modernization and improvements of facilities and equipment.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financing activities amounted to $314.6 million for the year ended December 31, 2018 as compared to $204.2 million for the year ended December 31, 2017 and $153.9 million for the year ended December 31, 2016. In 2018, financing activities primarily consisted of purchases of Class A Common Stock of $283.1 million under our 2016 Stock Repurchase Program,</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72"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distributions to noncontrolling members of $14.3 million, and taxes paid in lieu of shares issued for equity-based compensation of $16.8 million.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2017, financing activities primarily consisted of net proceeds of $786.0 million from the issuance of the 4.75% Notes due 2025 and $750.0 million proceeds for the new Term Loan A Facility, partially offset by payments on the old Term Loan A Facility of $1.3 billion. In addition, net cash used in financing activities includes purchases of Class A Common Stock of $434.2 million under our 2016 Stock Repurchase Program, distributions to a noncontrolling member of $18.6 million, taxes paid in lieu of shares issued for equity-based compensation of $14.5 million, payments for financing costs of $10.4 million, and principal payments on capital lease obligations of $4.6 million.</w:t>
      </w:r>
    </w:p>
    <w:p>
      <w:pPr>
        <w:spacing w:after="0" w:line="18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2016, financing activities primarily consisted of cash provided by the issuance of $1.0 billion of 5.00% Notes, net of an issuance discount of $17.5 million, offset by principal payments on long term debt of $848.0 million which included $700.0 million for the repayment of the Company's 7.75% Notes, as well as scheduled repayments of principal on the Company's Term A loan facility of $148.0 million. In addition, net cash used in financing activities includes purchases of Class A Common Stock of $223.2 million under our 2016 Stock Repurchase Program, premium payments and fees for the Tender Offer and redemption of the 7.75% Notes of $41.0 million, taxes paid in lieu of shares issued for equity-based compensation of $10.8 million, distributions to a noncontrolling member of $9.0 million and principal payments on capital lease obligations of $4.3 million.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principal amount of long-term debt consists of:</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20"/>
                <w:szCs w:val="20"/>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 2017</w:t>
            </w:r>
          </w:p>
        </w:tc>
      </w:tr>
      <w:tr>
        <w:trPr>
          <w:trHeight w:val="270"/>
        </w:trPr>
        <w:tc>
          <w:tcPr>
            <w:tcW w:w="7660" w:type="dxa"/>
            <w:vAlign w:val="bottom"/>
            <w:tcBorders>
              <w:top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5"/>
                <w:szCs w:val="25"/>
                <w:color w:val="auto"/>
                <w:vertAlign w:val="superscript"/>
              </w:rPr>
              <w:t>(a)</w:t>
            </w: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750,000</w:t>
            </w: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78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800,000</w:t>
            </w:r>
          </w:p>
        </w:tc>
      </w:tr>
      <w:tr>
        <w:trPr>
          <w:trHeight w:val="27"/>
        </w:trPr>
        <w:tc>
          <w:tcPr>
            <w:tcW w:w="8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78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600,000</w:t>
            </w: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Other debt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Principal amount of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3,152,584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3,150,000</w:t>
            </w:r>
          </w:p>
        </w:tc>
      </w:tr>
      <w:tr>
        <w:trPr>
          <w:trHeight w:val="20"/>
        </w:trPr>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60" w:hanging="647"/>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December 31, 2018. Total undrawn revolver commitments are available to be drawn for general corporate purposes of the Company.</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 information regarding our outstanding indebtedness and the significant terms and provisions of our Senior Secured Credit Facility and our Senior Notes is discussed in Note 12 to the accompanying consolidated financial statements included in this Annual Report on Form 10-K and is incorporated herein by reference.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contractual obligations as of December 31, 2018 are summarized in the following table: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6"/>
          </w:tcPr>
          <w:p>
            <w:pPr>
              <w:jc w:val="right"/>
              <w:ind w:right="90"/>
              <w:spacing w:after="0"/>
              <w:rPr>
                <w:sz w:val="20"/>
                <w:szCs w:val="20"/>
                <w:color w:val="auto"/>
              </w:rPr>
            </w:pPr>
            <w:r>
              <w:rPr>
                <w:rFonts w:ascii="Arial" w:cs="Arial" w:eastAsia="Arial" w:hAnsi="Arial"/>
                <w:sz w:val="16"/>
                <w:szCs w:val="16"/>
                <w:b w:val="1"/>
                <w:bCs w:val="1"/>
                <w:color w:val="auto"/>
              </w:rPr>
              <w:t>Payments due by period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12"/>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rPr>
              <w:t>More than</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1</w:t>
            </w: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2 - 3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4 - 5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92"/>
              <w:spacing w:after="0"/>
              <w:rPr>
                <w:sz w:val="20"/>
                <w:szCs w:val="20"/>
                <w:color w:val="auto"/>
              </w:rPr>
            </w:pPr>
            <w:r>
              <w:rPr>
                <w:rFonts w:ascii="Arial" w:cs="Arial" w:eastAsia="Arial" w:hAnsi="Arial"/>
                <w:sz w:val="16"/>
                <w:szCs w:val="16"/>
                <w:b w:val="1"/>
                <w:bCs w:val="1"/>
                <w:color w:val="auto"/>
              </w:rPr>
              <w:t>5 years</w:t>
            </w:r>
          </w:p>
        </w:tc>
      </w:tr>
      <w:tr>
        <w:trPr>
          <w:trHeight w:val="250"/>
        </w:trPr>
        <w:tc>
          <w:tcPr>
            <w:tcW w:w="4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3,152,584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831,250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1,000,000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payments (1)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773,642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286,850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101,000</w:t>
            </w: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Purchase obligations (2)</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1,752,139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648,203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531,366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122,747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449,823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288,864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116,673</w:t>
            </w: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Capital lease obligations (3)</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36,643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9,697</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6,003,872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863,919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1,727,023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1,735,737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1,677,193</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0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51" w:name="page52"/>
    <w:bookmarkEnd w:id="51"/>
    <w:p>
      <w:pPr>
        <w:ind w:left="540" w:hanging="316"/>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on variable rate debt and the variable portion of interest rate swap contracts is estimated based on a LIBOR yield curve as of December 31, 2018.</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Purchase obligations consist primarily of program rights obligations, participations, residuals, and transmission and marketing commitments.</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lease obligation amounts include imputed interest.</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contractual obligations table above does not include any liabilities for uncertain income tax positions due to the fact that we are unable to reasonably predict the ultimate amount or timing of any related payments in settlement of our liabilities for uncertain income tax positions. At December 31, 2018, the liability for uncertain tax positions was $23.2 million, excluding the related accrued interest liability of $6.1 million and deferred tax assets of $6.0 million. See Note 16 to the accompanying consolidated financial statements for further discussion of the Company's income taxes.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the 2018 acquisition of RLJE, the terms of the operating agreement provide the noncontrolling member with a right to put all of its noncontrolling interest to a subsidiary of the Company at the greater of the then fair market value or enterprise value of RLJE, in each case pursuant to the operating agreement and applied to the equity interest. The put option is exercisable following the seven (October 31, 2025) year anniversary of the agreement, or earlier upon a change of control. The above table does not include any future payments that would be required upon the exercise of these put rights.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2018 acquisition of Levity, the terms of the operating agreement provide the noncontrolling interest holders with a right to put 50% of their interests to a subsidiary of the Company on the four year anniversary of the agreement and a right to put all of their interests to the Company on the six year anniversary of the agreement. The put rights are at fair market value. The above table does not include any future payments that would be required upon the exercise of these put rights.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the 2014 acquisition of BBC AMERICA, the terms of the agreement provide the BBC with a right to put all of its 50.1% noncontrolling interest to a subsidiary of the Company at the greater of the then fair value or the fair value of the initial equity interest at the closing date of the acquisition. The put option is exercisable on the fifteen (October 23, 2029) and twenty-five (October 23, 2039) year anniversaries of the agreement. The above table does not include any future payments that would be required upon the exercise of these put rights.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connection with the creation of a joint venture entity in 2013, the terms of the agreement provide the noncontrolling member with a right to put all of its interest to a subsidiary of the Company at the then fair value. The above table does not include any future payments that would be required upon the exercise of this put right.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material off-balance sheet arrangements (as defined in Item 303(a)(4)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87"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We believe the following critical accounting policies comprise the more significant judgments and estimates used in the preparation of our consolidated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Program Rights</w:t>
      </w:r>
    </w:p>
    <w:p>
      <w:pPr>
        <w:spacing w:after="0" w:line="266"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Licensed rights to programming, including feature films and episodic series, are stated at the lower of amortized cost or net realizable value. Such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or accelerated basis over a period not to exceed the respective license periods. We periodically review the remaining useful lives of our licensed program rights based on several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remaining useful life of such rights is adjusted accordingly, which may result in the accelerated amortization or write-off of such costs to technical and operating expense.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2" w:name="page53"/>
    <w:bookmarkEnd w:id="52"/>
    <w:p>
      <w:pPr>
        <w:jc w:val="both"/>
        <w:ind w:firstLine="459"/>
        <w:spacing w:after="0" w:line="286" w:lineRule="auto"/>
        <w:rPr>
          <w:sz w:val="20"/>
          <w:szCs w:val="20"/>
          <w:color w:val="auto"/>
        </w:rPr>
      </w:pPr>
      <w:r>
        <w:rPr>
          <w:rFonts w:ascii="Arial" w:cs="Arial" w:eastAsia="Arial" w:hAnsi="Arial"/>
          <w:sz w:val="16"/>
          <w:szCs w:val="16"/>
          <w:color w:val="auto"/>
        </w:rPr>
        <w:t>Our owned original programming is produced by production companies, with the remainder produced by us. Owned original programming costs, including certain development and estimated participation and residual costs are amortized to technical and operating expense over their estimated useful lives, commencing upon the first airing, based on attributable revenue for airings to date as a percentage of total projected attributable revenue ("ultimate revenue") under the individual-film-forecast-computation method. We base our estimates of projected attributable revenue on distribution and advertising revenues historically generated from similar content in comparable markets, and projected program usage. Projected program usage is based on our current expectation of future exhibitions. We periodically review attributable revenue estimates and projected program usage and revise our assumptions if necessary, which could either accelerate or delay the timing of amortization expense or result in a write-down of the unamortized costs to fair value. For example, a program's strong performance could result in increased usage and increased attributable revenues in a particular period, resulting in accelerated amortization of costs in that period. Poor ratings may result in the reduction of attributable revenue from planned usage or the abandonment of a program, which would require a write-off of any unamortized costs. Actual attributable revenue and exhibitions may vary from our projections due to factors such as market acceptance, levels of distribution and advertising revenue, resulting in changes to our decisions regarding planned program usage. A failure to adjust for a downward change in estimates of ultimate revenues could result in the understatement of program rights amortization expense for the period. Any capitalized development costs for programs that we determine will not be produced are also written off. Historically, other than instances of write-offs associated with our decisions to abandon programming, actual ultimate revenue amounts have not significantly differed from our estimates of ultimate revenue.</w:t>
      </w:r>
    </w:p>
    <w:p>
      <w:pPr>
        <w:spacing w:after="0" w:line="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Program rights write-offs of $50.5 million, $49.4 million and $26.2 million were recorded for the years ended December 31, 2018, 2017 and 2016, respectively.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Useful Lives of Finite-Lived Intangible Assets</w:t>
      </w:r>
    </w:p>
    <w:p>
      <w:pPr>
        <w:spacing w:after="0" w:line="117" w:lineRule="exact"/>
        <w:rPr>
          <w:sz w:val="20"/>
          <w:szCs w:val="20"/>
          <w:color w:val="auto"/>
        </w:rPr>
      </w:pPr>
    </w:p>
    <w:p>
      <w:pPr>
        <w:jc w:val="both"/>
        <w:ind w:firstLine="459"/>
        <w:spacing w:after="0" w:line="342" w:lineRule="auto"/>
        <w:rPr>
          <w:sz w:val="20"/>
          <w:szCs w:val="20"/>
          <w:color w:val="auto"/>
        </w:rPr>
      </w:pPr>
      <w:r>
        <w:rPr>
          <w:rFonts w:ascii="Arial" w:cs="Arial" w:eastAsia="Arial" w:hAnsi="Arial"/>
          <w:sz w:val="16"/>
          <w:szCs w:val="16"/>
          <w:color w:val="auto"/>
        </w:rPr>
        <w:t>Our intangible assets represent affiliation agreements and customer relationships, advertiser relationships, trade names and other intangible assets acquired in business combinations. The estimated useful lives and net carrying values of these intangible assets at December 31, 2018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ind w:right="173"/>
              <w:spacing w:after="0"/>
              <w:rPr>
                <w:sz w:val="20"/>
                <w:szCs w:val="20"/>
                <w:color w:val="auto"/>
              </w:rPr>
            </w:pPr>
            <w:r>
              <w:rPr>
                <w:rFonts w:ascii="Arial" w:cs="Arial" w:eastAsia="Arial" w:hAnsi="Arial"/>
                <w:sz w:val="16"/>
                <w:szCs w:val="16"/>
                <w:b w:val="1"/>
                <w:bCs w:val="1"/>
                <w:color w:val="auto"/>
                <w:w w:val="97"/>
              </w:rPr>
              <w:t>Net Carrying Value at,</w:t>
            </w:r>
          </w:p>
        </w:tc>
        <w:tc>
          <w:tcPr>
            <w:tcW w:w="100" w:type="dxa"/>
            <w:vAlign w:val="bottom"/>
          </w:tcPr>
          <w:p>
            <w:pPr>
              <w:spacing w:after="0"/>
              <w:rPr>
                <w:sz w:val="17"/>
                <w:szCs w:val="17"/>
                <w:color w:val="auto"/>
              </w:rPr>
            </w:pPr>
          </w:p>
        </w:tc>
        <w:tc>
          <w:tcPr>
            <w:tcW w:w="2160" w:type="dxa"/>
            <w:vAlign w:val="bottom"/>
          </w:tcPr>
          <w:p>
            <w:pPr>
              <w:jc w:val="right"/>
              <w:ind w:right="413"/>
              <w:spacing w:after="0"/>
              <w:rPr>
                <w:sz w:val="20"/>
                <w:szCs w:val="20"/>
                <w:color w:val="auto"/>
              </w:rPr>
            </w:pPr>
            <w:r>
              <w:rPr>
                <w:rFonts w:ascii="Arial" w:cs="Arial" w:eastAsia="Arial" w:hAnsi="Arial"/>
                <w:sz w:val="16"/>
                <w:szCs w:val="16"/>
                <w:b w:val="1"/>
                <w:bCs w:val="1"/>
                <w:color w:val="auto"/>
              </w:rPr>
              <w:t>Estimated Useful</w:t>
            </w:r>
          </w:p>
        </w:tc>
      </w:tr>
      <w:tr>
        <w:trPr>
          <w:trHeight w:val="210"/>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ind w:right="293"/>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18"/>
                <w:szCs w:val="18"/>
                <w:color w:val="auto"/>
              </w:rPr>
            </w:pPr>
          </w:p>
        </w:tc>
        <w:tc>
          <w:tcPr>
            <w:tcW w:w="2160" w:type="dxa"/>
            <w:vAlign w:val="bottom"/>
          </w:tcPr>
          <w:p>
            <w:pPr>
              <w:jc w:val="right"/>
              <w:ind w:right="513"/>
              <w:spacing w:after="0"/>
              <w:rPr>
                <w:sz w:val="20"/>
                <w:szCs w:val="20"/>
                <w:color w:val="auto"/>
              </w:rPr>
            </w:pPr>
            <w:r>
              <w:rPr>
                <w:rFonts w:ascii="Arial" w:cs="Arial" w:eastAsia="Arial" w:hAnsi="Arial"/>
                <w:sz w:val="16"/>
                <w:szCs w:val="16"/>
                <w:b w:val="1"/>
                <w:bCs w:val="1"/>
                <w:color w:val="auto"/>
              </w:rPr>
              <w:t>Lives in Years</w:t>
            </w:r>
          </w:p>
        </w:tc>
      </w:tr>
      <w:tr>
        <w:trPr>
          <w:trHeight w:val="33"/>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 and 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422,271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to 25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Advertiser relationships</w:t>
            </w:r>
          </w:p>
        </w:tc>
        <w:tc>
          <w:tcPr>
            <w:tcW w:w="18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28,669</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100,801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20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amortizable intangible assets</w:t>
            </w:r>
          </w:p>
        </w:tc>
        <w:tc>
          <w:tcPr>
            <w:tcW w:w="18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 to 15 years</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559,007</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useful lives for affiliate relationships were determined based upon an analysis of the weighted average remaining terms of existing agreements we had in place with our major distributors at the time that purchase accounting was applied, plus an estimate for renewals of such agreements. We have been successful in renewing our major affiliation agreements and maintaining customer relationships in the past and believe we will be able to renew our major affiliation agreements and maintain those customer relationships in the future. However, it is possible that we will not successfully renew such agreements as they expire or that if we do, the net revenue earned may not equal or exceed the net revenue currently being earned, which could have a significant adverse impact on our business and the carrying values of the related intangible assets.</w:t>
      </w:r>
    </w:p>
    <w:p>
      <w:pPr>
        <w:spacing w:after="0" w:line="17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have been instances when an existing affiliation agreement has expired and the parties have not finalized negotiations of either a renewal of that agreement or a new agreement for certain periods of time. In substantially all these instances, the affiliates continued to carry and pay for the service under oral or written interim agreements until execution of definitive replacement agreements or renewals. If an affiliate were to cease carrying a service on an other-than-temporary basis, we would record an impairment charge for the then remaining carrying value of that affiliation agreement intangible asset. If we were to renew an affiliation agreement at rates that produced materially less net revenue compared to the net revenue produced under the previous agreement, we would evaluate the impact on our cash flows and, if necessary, would further evaluate such indication of potential impairment of the asset group containing that intangible asset. We also would evaluate whether the remaining useful life of the affiliate relationship intangible asset remained appropriate.</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In accordance with Accounting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17" w:right="239" w:bottom="1440" w:gutter="0" w:footer="0" w:header="0"/>
        </w:sectPr>
      </w:pPr>
    </w:p>
    <w:bookmarkStart w:id="53" w:name="page54"/>
    <w:bookmarkEnd w:id="53"/>
    <w:p>
      <w:pPr>
        <w:jc w:val="both"/>
        <w:spacing w:after="0" w:line="342" w:lineRule="auto"/>
        <w:rPr>
          <w:sz w:val="20"/>
          <w:szCs w:val="20"/>
          <w:color w:val="auto"/>
        </w:rPr>
      </w:pPr>
      <w:r>
        <w:rPr>
          <w:rFonts w:ascii="Arial" w:cs="Arial" w:eastAsia="Arial" w:hAnsi="Arial"/>
          <w:sz w:val="16"/>
          <w:szCs w:val="16"/>
          <w:color w:val="auto"/>
        </w:rPr>
        <w:t xml:space="preserve">Standards Update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the Company recognizes goodwill impairment as the difference between the carrying amount of a reporting unit and its fair value, but not to exceed the carrying amount of goodwill.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238,431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559,606</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798,037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9"/>
        <w:spacing w:after="0" w:line="293" w:lineRule="auto"/>
        <w:rPr>
          <w:sz w:val="20"/>
          <w:szCs w:val="20"/>
          <w:color w:val="auto"/>
        </w:rPr>
      </w:pPr>
      <w:r>
        <w:rPr>
          <w:rFonts w:ascii="Arial" w:cs="Arial" w:eastAsia="Arial" w:hAnsi="Arial"/>
          <w:sz w:val="16"/>
          <w:szCs w:val="16"/>
          <w:color w:val="auto"/>
        </w:rPr>
        <w:t>Based on our annual impairment test for goodwill as of December 1, 2018, no impairment charge was required for any of our reporting units. We performed a qualitative assessment for all reporting units, other than the International Programming Networks reporting unit. The qualitative assessments included, but were not limited to, consideration of the historical significant excesses of the estimated fair value of the reporting units over their carrying value (including allocated goodwill), macroeconomic conditions, industry and market considerations, cost factors and historical and projected cash flows. We performed a quantitative assessment for our International Programming Networks reporting unit. Based on the quantitative assessment, if the fair value of our International Programming Networks reporting unit decreased by more than 6%, we would be required to record an impairment of goodwill.</w:t>
      </w:r>
    </w:p>
    <w:p>
      <w:pPr>
        <w:spacing w:after="0" w:line="16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assessing the recoverability of goodwill for our International Programming Networks reporting unit, we made assumptions regarding estimated future cash flows and other factors to determine the fair value of the reporting unit. Fair value estimates are made at a specific point in time, based on relevant information. These estimates are subjective in nature and involve uncertainties and matters of significant judgment. Estimates of fair value for goodwill impairment testing are primarily determined using discounted cash flows and comparable market transactions methods. The discounted cash flow method is based on estimates and assumptions of future revenue and expense and an appropriate discount rate. Projected future cash flows primarily include assumptions about renewals of affiliation agreements, the projected number of subscribers and the projected average rates per basic and viewing subscribers, trends in fixed price arrangements, the number of advertising spots and average rate per spot and the cost of program rights, among other assumptions. If these estimates or related assumptions change in the future, we may be required to record impairment charges related to goodwill. For example, if our future revenue growth is lower than expected, or if our programming costs exceed amounts currently expected, and we are unable to mitigate the impact of these factors, or if the discount rate used to estimate fair value increases 100 basis points or more, an impairment charge related to the goodwill associated with our International Programming Networks reporting unit may be required, which might be material to our results of operations in the corresponding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December 31, 2018, the fair value of our fixed rate debt of $2.25 billion was less than its carrying value of $2.37 billion by $119.3 million. The fair value of these financial instruments is estimated based on reference to quoted market prices for these or comparable securities. A hypothetical 100 basis point decrease in interest rates prevailing at December 31, 2018 would increase the estimated fair value of our fixed rate debt by approximately $106 million to approximately $2.35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2018, we have $3.1 billion of debt outstanding (excluding capital leases), of which $739.7 million outstanding under the Credit Facility is subject to variable interest rates. A hypothetical 100 basis point increase in interest rates prevailing at December 31, 2018 would increase our annual interest expense by approximately $7.4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4" w:name="page55"/>
    <w:bookmarkEnd w:id="54"/>
    <w:p>
      <w:pPr>
        <w:jc w:val="both"/>
        <w:ind w:firstLine="432"/>
        <w:spacing w:after="0" w:line="276" w:lineRule="auto"/>
        <w:rPr>
          <w:sz w:val="20"/>
          <w:szCs w:val="20"/>
          <w:color w:val="auto"/>
        </w:rPr>
      </w:pPr>
      <w:r>
        <w:rPr>
          <w:rFonts w:ascii="Arial" w:cs="Arial" w:eastAsia="Arial" w:hAnsi="Arial"/>
          <w:sz w:val="17"/>
          <w:szCs w:val="17"/>
          <w:color w:val="auto"/>
        </w:rPr>
        <w:t>As of December 31, 2018, we have interest rate swap contracts outstanding with notional amounts aggregating $100.0 million that are designated as cash flow hedges. The aggregate fair values of interest rate swap contracts at December 31, 2018 was a net liability of $0.4 million. The interest rate paid on approximately 79% of our debt (excluding capital leases) as of December 31, 2018 is effectively fixed (76% being fixed rate obligations and 3% effectively fixed through utilization of these interest rate swap contracts). Cumulative unrealized losses, net of tax on the portion of floating-to-fixed interest rate swaps designated as cash flow hedges was $(0.3) million and is included in accumulated other comprehensive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17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 result of our international expansion in recent years, we expect the exposure to foreign currency fluctuations will have a more significant impact on our financial position and results of operations.</w:t>
      </w:r>
    </w:p>
    <w:p>
      <w:pPr>
        <w:spacing w:after="0" w:line="1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recognized $(6.8) million, $15.0 million and $(39.0) million of foreign currency transaction gains (losses) for the years ended December 31, 2018, 2017 and 2016, respectively, resulting from the translation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Such amount is included in miscellaneous, net in the consolidated statements of income.</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Financial Statements required by this Item 8 appear beginning on page 64 of this Annual Report, and are incorporated by reference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Evaluation of Disclosure Controls and Procedures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December 31, 2018, the Company's Chief Executive Officer and Chief Financial Officer concluded that the Company's disclosure controls and procedures are effective.</w:t>
      </w:r>
    </w:p>
    <w:p>
      <w:pPr>
        <w:spacing w:after="0" w:line="167"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Report on Internal Control over Financial Reporting</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76" w:right="239" w:bottom="1440" w:gutter="0" w:footer="0" w:header="0"/>
          <w:type w:val="continuous"/>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the Company's Chief Executive Officer and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2018.</w:t>
      </w:r>
    </w:p>
    <w:p>
      <w:pPr>
        <w:spacing w:after="0" w:line="18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Management determined that it would not be possible to assess the effectiveness of internal control over financial reporting of Levity Entertainment Group LLC ("Levity") and RLJ Entertainment Inc. ("RLJE"), both acquired during 2018, and excluded Levity and RLJE from its assessment of internal control over financial reporting as of December 31, 2018. Aggregate revenues, net and total assets of Levity and RLJE represented, in aggregate, 5% and 9%, respectively, of the related consolidated financial statement amounts as of and for the year ended December 31, 2018.</w:t>
      </w:r>
    </w:p>
    <w:p>
      <w:pPr>
        <w:spacing w:after="0" w:line="150" w:lineRule="exact"/>
        <w:rPr>
          <w:sz w:val="20"/>
          <w:szCs w:val="20"/>
          <w:color w:val="auto"/>
        </w:rPr>
      </w:pPr>
    </w:p>
    <w:p>
      <w:pPr>
        <w:ind w:left="60"/>
        <w:spacing w:after="0"/>
        <w:tabs>
          <w:tab w:leader="none" w:pos="4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Independent Registered Public Accounting Firm</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KPMG LLP, an independent registered public accounting firm, as stated in their attestation report appearing on page F-1.</w:t>
      </w:r>
    </w:p>
    <w:p>
      <w:pPr>
        <w:spacing w:after="0" w:line="166"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December 31, 2018, there were no changes in the Company's internal control over financial reporting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Information relating to our directors, executive officers and corporate governance will be included in our definitive Proxy Statement for our 2019 Annual Meeting of Stockholders, which will be filed within 120 days of the year ended December 31, 2018 (the "2019 Proxy Statement"),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relating to executive compensation will be included in the 2019 Proxy Statement,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relating to the beneficial ownership of our common stock and related stockholder matters will be included in the 2019 Proxy Statement,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relating to certain relationships and related transactions and director independence will be included in the 2019 Proxy Statement,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principal accounting fees and services will be included in the 2019 Proxy Statement, which is incorporated herein by reference.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04" w:right="239" w:bottom="1440" w:gutter="0" w:footer="0" w:header="0"/>
        </w:sectPr>
      </w:pPr>
    </w:p>
    <w:bookmarkStart w:id="57" w:name="page58"/>
    <w:bookmarkEnd w:id="57"/>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Documents filed as part of the Form 10-K: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items are filed as part of this Annual Report:</w:t>
      </w:r>
    </w:p>
    <w:p>
      <w:pPr>
        <w:spacing w:after="0" w:line="225"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statements as indicated in the index set forth on page 64.</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Schedules other than that listed above have been omitted, since they are either not applicable, not required or the information is included elsewhere herein.</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240" w:top="364" w:right="5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40" w:type="dxa"/>
            <w:vAlign w:val="bottom"/>
            <w:gridSpan w:val="16"/>
          </w:tcPr>
          <w:p>
            <w:pPr>
              <w:ind w:left="1100"/>
              <w:spacing w:after="0"/>
              <w:rPr>
                <w:sz w:val="20"/>
                <w:szCs w:val="20"/>
                <w:color w:val="auto"/>
              </w:rPr>
            </w:pPr>
            <w:r>
              <w:rPr>
                <w:rFonts w:ascii="Arial" w:cs="Arial" w:eastAsia="Arial" w:hAnsi="Arial"/>
                <w:sz w:val="18"/>
                <w:szCs w:val="18"/>
                <w:color w:val="auto"/>
              </w:rPr>
              <w:t>INDEX TO EXHIBITS</w:t>
            </w:r>
          </w:p>
        </w:tc>
      </w:tr>
      <w:tr>
        <w:trPr>
          <w:trHeight w:val="312"/>
        </w:trPr>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rPr>
              <w:t>Exhibit</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Number</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80" w:type="dxa"/>
            <w:vAlign w:val="bottom"/>
            <w:gridSpan w:val="14"/>
          </w:tcPr>
          <w:p>
            <w:pPr>
              <w:ind w:left="620"/>
              <w:spacing w:after="0"/>
              <w:rPr>
                <w:sz w:val="20"/>
                <w:szCs w:val="20"/>
                <w:color w:val="auto"/>
              </w:rPr>
            </w:pPr>
            <w:r>
              <w:rPr>
                <w:rFonts w:ascii="Arial" w:cs="Arial" w:eastAsia="Arial" w:hAnsi="Arial"/>
                <w:sz w:val="14"/>
                <w:szCs w:val="14"/>
                <w:color w:val="auto"/>
              </w:rPr>
              <w:t>Description of Exhibit</w:t>
            </w:r>
          </w:p>
        </w:tc>
      </w:tr>
      <w:tr>
        <w:trPr>
          <w:trHeight w:val="337"/>
        </w:trPr>
        <w:tc>
          <w:tcPr>
            <w:tcW w:w="104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87"/>
              </w:rPr>
              <w:t>2.1</w:t>
            </w:r>
          </w:p>
        </w:tc>
        <w:tc>
          <w:tcPr>
            <w:tcW w:w="3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960" w:type="dxa"/>
            <w:vAlign w:val="bottom"/>
            <w:tcBorders>
              <w:top w:val="single" w:sz="8" w:color="auto"/>
              <w:bottom w:val="single" w:sz="8" w:color="0000FF"/>
            </w:tcBorders>
            <w:gridSpan w:val="18"/>
          </w:tcPr>
          <w:p>
            <w:pPr>
              <w:spacing w:after="0"/>
              <w:rPr>
                <w:rFonts w:ascii="Arial" w:cs="Arial" w:eastAsia="Arial" w:hAnsi="Arial"/>
                <w:sz w:val="18"/>
                <w:szCs w:val="18"/>
                <w:color w:val="0000FF"/>
                <w:w w:val="93"/>
              </w:rPr>
            </w:pPr>
            <w:hyperlink r:id="rId15">
              <w:r>
                <w:rPr>
                  <w:rFonts w:ascii="Arial" w:cs="Arial" w:eastAsia="Arial" w:hAnsi="Arial"/>
                  <w:sz w:val="18"/>
                  <w:szCs w:val="18"/>
                  <w:color w:val="0000FF"/>
                  <w:w w:val="93"/>
                </w:rPr>
                <w:t>Distribution Agreement between Cablevision Systems Corporation and AMC Networks Inc. (incorporated by reference to Exhibit 2.1 to</w:t>
              </w:r>
            </w:hyperlink>
          </w:p>
        </w:tc>
        <w:tc>
          <w:tcPr>
            <w:tcW w:w="20" w:type="dxa"/>
            <w:vAlign w:val="bottom"/>
            <w:tcBorders>
              <w:top w:val="single" w:sz="8" w:color="auto"/>
            </w:tcBorders>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the Company's Amendment No. 6 to Registration Statement on Form 10 filed on June 10,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2.2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Agreement and Plan of Merger, dated as of July 29, 2018, by and among RLJE, the Company (solely for the purposes of Section 10.7</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16">
              <w:r>
                <w:rPr>
                  <w:rFonts w:ascii="Arial" w:cs="Arial" w:eastAsia="Arial" w:hAnsi="Arial"/>
                  <w:sz w:val="18"/>
                  <w:szCs w:val="18"/>
                  <w:color w:val="0000FF"/>
                  <w:w w:val="94"/>
                </w:rPr>
                <w:t>thereof), DEH and Merger Sub (incorporated by reference to Exhibit 2.1 to the Company's Current Report on Form 8-K filed July 30,</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16">
              <w:r>
                <w:rPr>
                  <w:rFonts w:ascii="Arial" w:cs="Arial" w:eastAsia="Arial" w:hAnsi="Arial"/>
                  <w:sz w:val="18"/>
                  <w:szCs w:val="18"/>
                  <w:color w:val="0000FF"/>
                  <w:w w:val="86"/>
                </w:rPr>
                <w:t>2018).</w:t>
              </w:r>
            </w:hyperlink>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3.1(i)</w:t>
            </w: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3"/>
              </w:rPr>
            </w:pPr>
            <w:hyperlink r:id="rId17">
              <w:r>
                <w:rPr>
                  <w:rFonts w:ascii="Arial" w:cs="Arial" w:eastAsia="Arial" w:hAnsi="Arial"/>
                  <w:sz w:val="18"/>
                  <w:szCs w:val="18"/>
                  <w:color w:val="0000FF"/>
                  <w:w w:val="93"/>
                </w:rPr>
                <w:t>Amended and Restated Certificate of Incorporation of AMC Networks Inc. (incorporated by reference to Exhibit 99.4 to the Company's</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Current Report on Form 8-K filed on July 1, 2011).</w:t>
              </w:r>
            </w:hyperlink>
          </w:p>
        </w:tc>
        <w:tc>
          <w:tcPr>
            <w:tcW w:w="6280" w:type="dxa"/>
            <w:vAlign w:val="bottom"/>
            <w:gridSpan w:val="14"/>
          </w:tcPr>
          <w:p>
            <w:pPr>
              <w:spacing w:after="0"/>
              <w:rPr>
                <w:sz w:val="17"/>
                <w:szCs w:val="17"/>
                <w:color w:val="auto"/>
              </w:rPr>
            </w:pPr>
          </w:p>
        </w:tc>
      </w:tr>
      <w:tr>
        <w:trPr>
          <w:trHeight w:val="385"/>
        </w:trPr>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rPr>
              <w:t>3.1(ii)</w:t>
            </w: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Amended and Restated By-Laws of AMC Networks Inc. (incorporated by reference to Exhibit 99.5 to the Company's Current Report on</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Form 8-K filed on July 1, 2011).</w:t>
              </w:r>
            </w:hyperlink>
          </w:p>
        </w:tc>
        <w:tc>
          <w:tcPr>
            <w:tcW w:w="7600" w:type="dxa"/>
            <w:vAlign w:val="bottom"/>
            <w:tcBorders>
              <w:top w:val="single" w:sz="8" w:color="0000FF"/>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Form of Registration Rights Agreement between AMC Networks Inc. and The Charles F. Dolan Children Trusts (incorporated by</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reference to Exhibit 3.5 to the Company's Amendment No. 5 to Registration Statement on Form 10 filed on June 6,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Form of Registration Rights Agreement between AMC Networks Inc. and The Dolan Family Affiliates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Exhibit 3.6 to the Company's Amendment No. 5 to Registration Statement on Form 10 filed on June 6,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Registration Rights Agreement, dated as of June 30, 2011, among AMC Networks Inc., the subsidiary guarantors named therein, Merrill</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97"/>
              </w:rPr>
            </w:pPr>
            <w:hyperlink r:id="rId21">
              <w:r>
                <w:rPr>
                  <w:rFonts w:ascii="Arial" w:cs="Arial" w:eastAsia="Arial" w:hAnsi="Arial"/>
                  <w:sz w:val="18"/>
                  <w:szCs w:val="18"/>
                  <w:color w:val="0000FF"/>
                  <w:w w:val="97"/>
                </w:rPr>
                <w:t>Lynch, Pierce, Fenner &amp; Smith Incorporated and J.P. Morgan Securities LLC, as representatives of the several initial purchasers</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(incorporated by reference to Exhibit 99.2 to the Company's Current Report on Form 8-K filed on July 1,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Indenture by and among AMC Networks Inc., as Issuer, each of the guarantors party thereto and U.S. Bank National Association, as</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Trustee (incorporated by reference to Exhibit 4.1 to the Company's Registration Statement on Form S-3 filed on December 10, 2012).</w:t>
              </w:r>
            </w:hyperlink>
          </w:p>
        </w:tc>
        <w:tc>
          <w:tcPr>
            <w:tcW w:w="3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First Supplemental Indenture dated as of December 17, 2012, by and among AMC Networks Inc., as Issuer, each of the guarantors party</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thereto and U.S. Bank National Association, as Trustee, relating to the AMC Networks Inc. 4.75% Senior Notes due December 15, 2022</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(incorporated by reference to Exhibit 4.1 to the Company's Current Report on Form 8-K filed on December 17, 2012).</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Indenture dated as of March 30, 2016, by and among AMC Networks Inc., as Issuer, each of the guarantors party thereto and U.S. Bank</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National Association, as Trustee (incorporated by reference to Exhibit 4.1 to the Company's Current Report on Form 8-K filed on July 28,</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24">
              <w:r>
                <w:rPr>
                  <w:rFonts w:ascii="Arial" w:cs="Arial" w:eastAsia="Arial" w:hAnsi="Arial"/>
                  <w:sz w:val="18"/>
                  <w:szCs w:val="18"/>
                  <w:color w:val="0000FF"/>
                  <w:w w:val="86"/>
                </w:rPr>
                <w:t>2017).</w:t>
              </w:r>
            </w:hyperlink>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First Supplemental Indenture, dated as of March 30, 2016, to the Indenture, dated as of March 30, 2016, by and among AMC Networks</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Inc., as Issuer, each of the guarantors party thereto and U.S. Bank National Association, as Trustee, relating to the AMC Networks Inc.</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5.</w:t>
              </w:r>
              <w:r>
                <w:rPr>
                  <w:rFonts w:ascii="Arial" w:cs="Arial" w:eastAsia="Arial" w:hAnsi="Arial"/>
                  <w:sz w:val="18"/>
                  <w:szCs w:val="18"/>
                  <w:u w:val="single" w:color="auto"/>
                  <w:color w:val="0000FF"/>
                  <w:w w:val="93"/>
                </w:rPr>
                <w:t>00%</w:t>
              </w:r>
              <w:r>
                <w:rPr>
                  <w:rFonts w:ascii="Arial" w:cs="Arial" w:eastAsia="Arial" w:hAnsi="Arial"/>
                  <w:sz w:val="18"/>
                  <w:szCs w:val="18"/>
                  <w:color w:val="0000FF"/>
                  <w:w w:val="93"/>
                </w:rPr>
                <w:t xml:space="preserve"> Senior Notes due April 1, 2024 (incorporated by reference to Exhibit 4.1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March 30, 2016).</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Second Supplemental Indenture, dated as of July 28, 2017 to the Indenture, dated as of March 30, 2016, among AMC Networks, as</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issuer, the Guarantors and U.S. Bank National Association, as Trustee, and Form of Notes (incorporated by reference to Exhibit 4.2 to the</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Company's Current Report on Form 8-K filed on July 28, 2017).</w:t>
              </w:r>
            </w:hyperlink>
          </w:p>
        </w:tc>
        <w:tc>
          <w:tcPr>
            <w:tcW w:w="5340" w:type="dxa"/>
            <w:vAlign w:val="bottom"/>
            <w:gridSpan w:val="13"/>
          </w:tcPr>
          <w:p>
            <w:pPr>
              <w:spacing w:after="0"/>
              <w:rPr>
                <w:sz w:val="17"/>
                <w:szCs w:val="17"/>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Form of Tax Disaffiliation Agreement between Cablevision Systems Corporation and AMC Networks Inc. (incorporated by reference to</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Exhibit 10.2 to the Company's Amendment No. 5 to Registration Statement on Form 10 filed on June 6, 2011).</w:t>
              </w:r>
            </w:hyperlink>
          </w:p>
        </w:tc>
        <w:tc>
          <w:tcPr>
            <w:tcW w:w="188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rPr>
            </w:pPr>
            <w:hyperlink r:id="rId28">
              <w:r>
                <w:rPr>
                  <w:rFonts w:ascii="Arial" w:cs="Arial" w:eastAsia="Arial" w:hAnsi="Arial"/>
                  <w:sz w:val="18"/>
                  <w:szCs w:val="18"/>
                  <w:color w:val="0000FF"/>
                </w:rPr>
                <w:t>Form of Standstill Agreement by and among AMC Networks Inc. and The Dolan Family Group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Exhibit 10.5 to the Company's Amendment No. 5 to Registration Statement on Form 10 filed on June 6, 2011).</w:t>
              </w:r>
            </w:hyperlink>
          </w:p>
        </w:tc>
        <w:tc>
          <w:tcPr>
            <w:tcW w:w="2000" w:type="dxa"/>
            <w:vAlign w:val="bottom"/>
            <w:gridSpan w:val="7"/>
          </w:tcPr>
          <w:p>
            <w:pPr>
              <w:spacing w:after="0"/>
              <w:rPr>
                <w:sz w:val="17"/>
                <w:szCs w:val="17"/>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Second Amended and Restated Credit Agreement, dated as of July 28, 2017, among AMC Networks and its subsidiary, AMC Network</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7"/>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5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Entertainment LLC, as the initial borrowers, certain of AMC Networks’ subsidiaries, as restricted subsidiaries, JPMorgan Chase Bank,</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7"/>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5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N.A., as Administrative Agent, Collateral Agent and an L/C Issuer and the lenders party thereto (incorporated by reference to Exhibit</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July 28, 2017).</w:t>
              </w:r>
            </w:hyperlink>
          </w:p>
        </w:tc>
        <w:tc>
          <w:tcPr>
            <w:tcW w:w="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7"/>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4"/>
              </w:rPr>
            </w:pPr>
            <w:hyperlink r:id="rId30">
              <w:r>
                <w:rPr>
                  <w:rFonts w:ascii="Arial" w:cs="Arial" w:eastAsia="Arial" w:hAnsi="Arial"/>
                  <w:sz w:val="18"/>
                  <w:szCs w:val="18"/>
                  <w:color w:val="0000FF"/>
                  <w:w w:val="94"/>
                </w:rPr>
                <w:t>AMC Networks Inc. Amended and Restated 2011 Employee Stock Plan (incorporated by reference to Exhibit 10.1 to the Company's</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Quarterly Report on Form 10-Q for the quarter ended June 30, 2012).</w:t>
              </w:r>
            </w:hyperlink>
          </w:p>
        </w:tc>
        <w:tc>
          <w:tcPr>
            <w:tcW w:w="4980" w:type="dxa"/>
            <w:vAlign w:val="bottom"/>
            <w:gridSpan w:val="1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00"/>
          </w:cols>
          <w:pgMar w:left="240" w:top="351" w:right="25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351" w:right="2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10.5</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AMC Networks Inc. Amended and Restated 2011 Stock Plan for Non-Employee Directors (incorporated by reference to Exhibit 10.3 to</w:t>
              </w:r>
            </w:hyperlink>
          </w:p>
        </w:tc>
      </w:tr>
      <w:tr>
        <w:trPr>
          <w:trHeight w:val="196"/>
        </w:trPr>
        <w:tc>
          <w:tcPr>
            <w:tcW w:w="1100" w:type="dxa"/>
            <w:vAlign w:val="bottom"/>
          </w:tcPr>
          <w:p>
            <w:pPr>
              <w:spacing w:after="0"/>
              <w:rPr>
                <w:sz w:val="17"/>
                <w:szCs w:val="17"/>
                <w:color w:val="auto"/>
              </w:rPr>
            </w:pPr>
          </w:p>
        </w:tc>
        <w:tc>
          <w:tcPr>
            <w:tcW w:w="612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the Company's Quarterly Report on Form 10-Q for the quarter ended June 30, 2012).</w:t>
              </w:r>
            </w:hyperlink>
          </w:p>
        </w:tc>
        <w:tc>
          <w:tcPr>
            <w:tcW w:w="3820" w:type="dxa"/>
            <w:vAlign w:val="bottom"/>
            <w:gridSpan w:val="8"/>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10.6</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Form of Employment Agreement by and between AMC Networks Inc. and Charles F. Dolan (incorporated by reference to Exhibit 10.13</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to the Company's Amendment No. 5 to Registration Statement on Form 10 filed on June 6, 2011).</w:t>
              </w:r>
            </w:hyperlink>
          </w:p>
        </w:tc>
      </w:tr>
      <w:tr>
        <w:trPr>
          <w:trHeight w:val="20"/>
        </w:trPr>
        <w:tc>
          <w:tcPr>
            <w:tcW w:w="11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10.7</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Amended and Restated Employment Agreement dated April 24, 2014, between AMC Networks Inc. and Joshua W. Sapan (incorporated</w:t>
              </w:r>
            </w:hyperlink>
          </w:p>
        </w:tc>
      </w:tr>
      <w:tr>
        <w:trPr>
          <w:trHeight w:val="196"/>
        </w:trPr>
        <w:tc>
          <w:tcPr>
            <w:tcW w:w="1100" w:type="dxa"/>
            <w:vAlign w:val="bottom"/>
          </w:tcPr>
          <w:p>
            <w:pPr>
              <w:spacing w:after="0"/>
              <w:rPr>
                <w:sz w:val="17"/>
                <w:szCs w:val="17"/>
                <w:color w:val="auto"/>
              </w:rPr>
            </w:pPr>
          </w:p>
        </w:tc>
        <w:tc>
          <w:tcPr>
            <w:tcW w:w="70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by reference to Exhibit 10.1 to the Company's Current Report on Form 8-K filed April 29, 2014).</w:t>
              </w:r>
            </w:hyperlink>
          </w:p>
        </w:tc>
        <w:tc>
          <w:tcPr>
            <w:tcW w:w="2900" w:type="dxa"/>
            <w:vAlign w:val="bottom"/>
            <w:gridSpan w:val="5"/>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10.8</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Restricted Stock Units Agreement dated April 25, 2014, between AMC Networks Inc. and Joshua W. Sapan (incorporated by reference to</w:t>
              </w:r>
            </w:hyperlink>
          </w:p>
        </w:tc>
      </w:tr>
      <w:tr>
        <w:trPr>
          <w:trHeight w:val="196"/>
        </w:trPr>
        <w:tc>
          <w:tcPr>
            <w:tcW w:w="1100" w:type="dxa"/>
            <w:vAlign w:val="bottom"/>
          </w:tcPr>
          <w:p>
            <w:pPr>
              <w:spacing w:after="0"/>
              <w:rPr>
                <w:sz w:val="17"/>
                <w:szCs w:val="17"/>
                <w:color w:val="auto"/>
              </w:rPr>
            </w:pPr>
          </w:p>
        </w:tc>
        <w:tc>
          <w:tcPr>
            <w:tcW w:w="61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Exhibit 10.2 to the Company's Current Report on Form 8-K filed on April 29, 2014).</w:t>
              </w:r>
            </w:hyperlink>
          </w:p>
        </w:tc>
        <w:tc>
          <w:tcPr>
            <w:tcW w:w="3840" w:type="dxa"/>
            <w:vAlign w:val="bottom"/>
            <w:gridSpan w:val="9"/>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10.9</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Amended and Restated Employment Agreement dated October 13, 2016 by and between AMC Networks Inc. and Edward A. Carroll</w:t>
              </w:r>
            </w:hyperlink>
          </w:p>
        </w:tc>
      </w:tr>
      <w:tr>
        <w:trPr>
          <w:trHeight w:val="196"/>
        </w:trPr>
        <w:tc>
          <w:tcPr>
            <w:tcW w:w="1100" w:type="dxa"/>
            <w:vAlign w:val="bottom"/>
          </w:tcPr>
          <w:p>
            <w:pPr>
              <w:spacing w:after="0"/>
              <w:rPr>
                <w:sz w:val="17"/>
                <w:szCs w:val="17"/>
                <w:color w:val="auto"/>
              </w:rPr>
            </w:pPr>
          </w:p>
        </w:tc>
        <w:tc>
          <w:tcPr>
            <w:tcW w:w="84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(incorporated by reference to Exhibit 10.1 to the Company's Current Report on Form 8-K filed on October 14, 2016).</w:t>
              </w:r>
            </w:hyperlink>
          </w:p>
        </w:tc>
        <w:tc>
          <w:tcPr>
            <w:tcW w:w="1500" w:type="dxa"/>
            <w:vAlign w:val="bottom"/>
            <w:gridSpan w:val="2"/>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10.10</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Employment Agreement dated October 12, 2018 by and between AMC Networks Inc. and Sean S. Sullivan (incorporated by reference to</w:t>
              </w:r>
            </w:hyperlink>
          </w:p>
        </w:tc>
      </w:tr>
      <w:tr>
        <w:trPr>
          <w:trHeight w:val="196"/>
        </w:trPr>
        <w:tc>
          <w:tcPr>
            <w:tcW w:w="1100" w:type="dxa"/>
            <w:vAlign w:val="bottom"/>
          </w:tcPr>
          <w:p>
            <w:pPr>
              <w:spacing w:after="0"/>
              <w:rPr>
                <w:sz w:val="17"/>
                <w:szCs w:val="17"/>
                <w:color w:val="auto"/>
              </w:rPr>
            </w:pPr>
          </w:p>
        </w:tc>
        <w:tc>
          <w:tcPr>
            <w:tcW w:w="63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Exhibit 10.1 to the Company’s Current Report on Form 8-K filed on October 12, 2018).</w:t>
              </w:r>
            </w:hyperlink>
          </w:p>
        </w:tc>
        <w:tc>
          <w:tcPr>
            <w:tcW w:w="3620" w:type="dxa"/>
            <w:vAlign w:val="bottom"/>
            <w:gridSpan w:val="7"/>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10.11</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Employment Agreement dated October 12, 2018 by and between AMC Networks Inc. and James G. Gallagher (incorporated by reference</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to Exhibit 10.2 to the Company’s Current Report on Form 8-K filed on October 12, 2018).</w:t>
              </w:r>
            </w:hyperlink>
          </w:p>
        </w:tc>
      </w:tr>
      <w:tr>
        <w:trPr>
          <w:trHeight w:val="20"/>
        </w:trPr>
        <w:tc>
          <w:tcPr>
            <w:tcW w:w="11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10.12</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Form of AMC Networks Inc. Non-Employee Director Award Agreement (incorporated by reference to Exhibit 10.22 to the Company's</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Amendment No. 5 to Registration Statement on Form 10 filed on June 6, 2011).</w:t>
              </w:r>
            </w:hyperlink>
          </w:p>
        </w:tc>
      </w:tr>
      <w:tr>
        <w:trPr>
          <w:trHeight w:val="20"/>
        </w:trPr>
        <w:tc>
          <w:tcPr>
            <w:tcW w:w="11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10.13</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Form of AMC Networks Inc. Non-Employee Director Agreement (incorporated by reference to Exhibit 10.4 to the Company's Quarterly</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Report on Form 10-Q for the quarter ended June 30, 2012).</w:t>
              </w:r>
            </w:hyperlink>
          </w:p>
        </w:tc>
      </w:tr>
      <w:tr>
        <w:trPr>
          <w:trHeight w:val="20"/>
        </w:trPr>
        <w:tc>
          <w:tcPr>
            <w:tcW w:w="11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10.14</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 of Performance Restricted Stock Unit Award Agreement under the Amended and Restated 2011 Employee Stock Plan (incorporated</w:t>
              </w:r>
            </w:hyperlink>
          </w:p>
        </w:tc>
      </w:tr>
      <w:tr>
        <w:trPr>
          <w:trHeight w:val="196"/>
        </w:trPr>
        <w:tc>
          <w:tcPr>
            <w:tcW w:w="1100" w:type="dxa"/>
            <w:vAlign w:val="bottom"/>
          </w:tcPr>
          <w:p>
            <w:pPr>
              <w:spacing w:after="0"/>
              <w:rPr>
                <w:sz w:val="17"/>
                <w:szCs w:val="17"/>
                <w:color w:val="auto"/>
              </w:rPr>
            </w:pPr>
          </w:p>
        </w:tc>
        <w:tc>
          <w:tcPr>
            <w:tcW w:w="85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by reference to Exhibit 10.31 to the Company's Annual Report on Form 10-K for the year ended December 31, 2015).</w:t>
              </w:r>
            </w:hyperlink>
          </w:p>
        </w:tc>
        <w:tc>
          <w:tcPr>
            <w:tcW w:w="1440" w:type="dxa"/>
            <w:vAlign w:val="bottom"/>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10.15</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Form of Restricted Stock Unit Award Agreement under the Amended and Restated 2011 Employee Stock Plan (incorporated by reference</w:t>
              </w:r>
            </w:hyperlink>
          </w:p>
        </w:tc>
      </w:tr>
      <w:tr>
        <w:trPr>
          <w:trHeight w:val="196"/>
        </w:trPr>
        <w:tc>
          <w:tcPr>
            <w:tcW w:w="1100" w:type="dxa"/>
            <w:vAlign w:val="bottom"/>
          </w:tcPr>
          <w:p>
            <w:pPr>
              <w:spacing w:after="0"/>
              <w:rPr>
                <w:sz w:val="17"/>
                <w:szCs w:val="17"/>
                <w:color w:val="auto"/>
              </w:rPr>
            </w:pPr>
          </w:p>
        </w:tc>
        <w:tc>
          <w:tcPr>
            <w:tcW w:w="75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to Exhibit 10.32 to the Company's Annual Report on Form 10-K for the year ended December 31, 2015).</w:t>
              </w:r>
            </w:hyperlink>
          </w:p>
        </w:tc>
        <w:tc>
          <w:tcPr>
            <w:tcW w:w="2380" w:type="dxa"/>
            <w:vAlign w:val="bottom"/>
            <w:gridSpan w:val="3"/>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10.16</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7"/>
              </w:rPr>
            </w:pPr>
            <w:hyperlink r:id="rId42">
              <w:r>
                <w:rPr>
                  <w:rFonts w:ascii="Arial" w:cs="Arial" w:eastAsia="Arial" w:hAnsi="Arial"/>
                  <w:sz w:val="18"/>
                  <w:szCs w:val="18"/>
                  <w:color w:val="0000FF"/>
                  <w:w w:val="97"/>
                </w:rPr>
                <w:t>Restricted Stock Unit Agreement dated October 13, 2016, between AMC Networks Inc. and Edward A,. Carroll (incorporated by</w:t>
              </w:r>
            </w:hyperlink>
          </w:p>
        </w:tc>
      </w:tr>
      <w:tr>
        <w:trPr>
          <w:trHeight w:val="196"/>
        </w:trPr>
        <w:tc>
          <w:tcPr>
            <w:tcW w:w="1100" w:type="dxa"/>
            <w:vAlign w:val="bottom"/>
          </w:tcPr>
          <w:p>
            <w:pPr>
              <w:spacing w:after="0"/>
              <w:rPr>
                <w:sz w:val="17"/>
                <w:szCs w:val="17"/>
                <w:color w:val="auto"/>
              </w:rPr>
            </w:pPr>
          </w:p>
        </w:tc>
        <w:tc>
          <w:tcPr>
            <w:tcW w:w="72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reference to Exhibit 10.2 to the Company's Current Report on Form 8-K filed on October 14, 2016).</w:t>
              </w:r>
            </w:hyperlink>
          </w:p>
        </w:tc>
        <w:tc>
          <w:tcPr>
            <w:tcW w:w="2740" w:type="dxa"/>
            <w:vAlign w:val="bottom"/>
            <w:gridSpan w:val="4"/>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10.17</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Employment Agreement dated June 27, 2016, between AMC Networks Inc. and Christian Wymbs (incorporated by reference to Exhibit</w:t>
              </w:r>
            </w:hyperlink>
          </w:p>
        </w:tc>
      </w:tr>
      <w:tr>
        <w:trPr>
          <w:trHeight w:val="196"/>
        </w:trPr>
        <w:tc>
          <w:tcPr>
            <w:tcW w:w="110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August 1, 2016).</w:t>
              </w:r>
            </w:hyperlink>
          </w:p>
        </w:tc>
        <w:tc>
          <w:tcPr>
            <w:tcW w:w="4360" w:type="dxa"/>
            <w:vAlign w:val="bottom"/>
            <w:gridSpan w:val="11"/>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10.18</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AMC Networks Inc. 2016 Employee Stock Plan (incorporated by reference to Exhibit 99.1 to the Company's Current Report on Form 8-</w:t>
              </w:r>
            </w:hyperlink>
          </w:p>
        </w:tc>
      </w:tr>
      <w:tr>
        <w:trPr>
          <w:trHeight w:val="196"/>
        </w:trPr>
        <w:tc>
          <w:tcPr>
            <w:tcW w:w="1100" w:type="dxa"/>
            <w:vAlign w:val="bottom"/>
          </w:tcPr>
          <w:p>
            <w:pPr>
              <w:spacing w:after="0"/>
              <w:rPr>
                <w:sz w:val="17"/>
                <w:szCs w:val="17"/>
                <w:color w:val="auto"/>
              </w:rPr>
            </w:pPr>
          </w:p>
        </w:tc>
        <w:tc>
          <w:tcPr>
            <w:tcW w:w="188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K filed on May 26, 2016).</w:t>
              </w:r>
            </w:hyperlink>
          </w:p>
        </w:tc>
        <w:tc>
          <w:tcPr>
            <w:tcW w:w="8060" w:type="dxa"/>
            <w:vAlign w:val="bottom"/>
            <w:gridSpan w:val="17"/>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10.19</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45">
              <w:r>
                <w:rPr>
                  <w:rFonts w:ascii="Arial" w:cs="Arial" w:eastAsia="Arial" w:hAnsi="Arial"/>
                  <w:sz w:val="18"/>
                  <w:szCs w:val="18"/>
                  <w:color w:val="0000FF"/>
                  <w:w w:val="94"/>
                </w:rPr>
                <w:t>AMC Networks Inc. 2016 Executive Cash Incentive Plan (incorporated by reference to Appendix B to the Company's Definitive Proxy</w:t>
              </w:r>
            </w:hyperlink>
          </w:p>
        </w:tc>
      </w:tr>
      <w:tr>
        <w:trPr>
          <w:trHeight w:val="196"/>
        </w:trPr>
        <w:tc>
          <w:tcPr>
            <w:tcW w:w="1100" w:type="dxa"/>
            <w:vAlign w:val="bottom"/>
          </w:tcPr>
          <w:p>
            <w:pPr>
              <w:spacing w:after="0"/>
              <w:rPr>
                <w:sz w:val="17"/>
                <w:szCs w:val="17"/>
                <w:color w:val="auto"/>
              </w:rPr>
            </w:pPr>
          </w:p>
        </w:tc>
        <w:tc>
          <w:tcPr>
            <w:tcW w:w="25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Statement filed on April 28, 2016).</w:t>
              </w:r>
            </w:hyperlink>
          </w:p>
        </w:tc>
        <w:tc>
          <w:tcPr>
            <w:tcW w:w="7420" w:type="dxa"/>
            <w:vAlign w:val="bottom"/>
            <w:gridSpan w:val="16"/>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10.20</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Shared Executive Space Cost Sharing Arrangement (incorporated by reference to Exhibit 10.1 to the Company's Quarterly Report on</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Form 10-Q for the quarter ended June 30, 2016).</w:t>
              </w:r>
            </w:hyperlink>
          </w:p>
        </w:tc>
      </w:tr>
      <w:tr>
        <w:trPr>
          <w:trHeight w:val="20"/>
        </w:trPr>
        <w:tc>
          <w:tcPr>
            <w:tcW w:w="110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560" w:type="dxa"/>
            <w:vAlign w:val="bottom"/>
            <w:gridSpan w:val="12"/>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10.21</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Form of Performance Restricted Stock Unit Award Agreement under the 2016 Employee Stock Plan (incorporated by reference to Exhibit</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21</w:t>
              </w:r>
              <w:r>
                <w:rPr>
                  <w:rFonts w:ascii="Arial" w:cs="Arial" w:eastAsia="Arial" w:hAnsi="Arial"/>
                  <w:sz w:val="18"/>
                  <w:szCs w:val="18"/>
                  <w:color w:val="0000FF"/>
                </w:rPr>
                <w:t xml:space="preserve"> on Form 10-K for the year ended December 31, 2017).</w:t>
              </w:r>
            </w:hyperlink>
          </w:p>
        </w:tc>
      </w:tr>
      <w:tr>
        <w:trPr>
          <w:trHeight w:val="20"/>
        </w:trPr>
        <w:tc>
          <w:tcPr>
            <w:tcW w:w="1100" w:type="dxa"/>
            <w:vAlign w:val="bottom"/>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560" w:type="dxa"/>
            <w:vAlign w:val="bottom"/>
            <w:gridSpan w:val="12"/>
          </w:tcPr>
          <w:p>
            <w:pPr>
              <w:spacing w:after="0" w:line="20" w:lineRule="exact"/>
              <w:rPr>
                <w:sz w:val="1"/>
                <w:szCs w:val="1"/>
                <w:color w:val="auto"/>
              </w:rPr>
            </w:pPr>
          </w:p>
        </w:tc>
      </w:tr>
      <w:tr>
        <w:trPr>
          <w:trHeight w:val="439"/>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10.22</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Form of Restricted Stock Unit Award Agreement under the 2016 Employee Stock Plan (incorporated by reference to Exhibit 10.22 on</w:t>
              </w:r>
            </w:hyperlink>
          </w:p>
        </w:tc>
      </w:tr>
      <w:tr>
        <w:trPr>
          <w:trHeight w:val="196"/>
        </w:trPr>
        <w:tc>
          <w:tcPr>
            <w:tcW w:w="1100" w:type="dxa"/>
            <w:vAlign w:val="bottom"/>
          </w:tcPr>
          <w:p>
            <w:pPr>
              <w:spacing w:after="0"/>
              <w:rPr>
                <w:sz w:val="17"/>
                <w:szCs w:val="17"/>
                <w:color w:val="auto"/>
              </w:rPr>
            </w:pPr>
          </w:p>
        </w:tc>
        <w:tc>
          <w:tcPr>
            <w:tcW w:w="37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Form 10-K for the year ended December 31, 2017).</w:t>
              </w:r>
            </w:hyperlink>
          </w:p>
        </w:tc>
        <w:tc>
          <w:tcPr>
            <w:tcW w:w="6220" w:type="dxa"/>
            <w:vAlign w:val="bottom"/>
            <w:gridSpan w:val="14"/>
          </w:tcPr>
          <w:p>
            <w:pPr>
              <w:spacing w:after="0"/>
              <w:rPr>
                <w:sz w:val="17"/>
                <w:szCs w:val="17"/>
                <w:color w:val="auto"/>
              </w:rPr>
            </w:pPr>
          </w:p>
        </w:tc>
      </w:tr>
    </w:tbl>
    <w:p>
      <w:pPr>
        <w:spacing w:after="0" w:line="202" w:lineRule="exact"/>
        <w:rPr>
          <w:sz w:val="20"/>
          <w:szCs w:val="20"/>
          <w:color w:val="auto"/>
        </w:rPr>
      </w:pPr>
    </w:p>
    <w:p>
      <w:pPr>
        <w:ind w:left="1100" w:hanging="989"/>
        <w:spacing w:after="0"/>
        <w:tabs>
          <w:tab w:leader="none" w:pos="1100" w:val="left"/>
        </w:tabs>
        <w:numPr>
          <w:ilvl w:val="0"/>
          <w:numId w:val="22"/>
        </w:numPr>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Subsidiaries of the Registrant.</w:t>
        </w:r>
      </w:hyperlink>
    </w:p>
    <w:p>
      <w:pPr>
        <w:spacing w:after="0" w:line="198" w:lineRule="exact"/>
        <w:rPr>
          <w:sz w:val="20"/>
          <w:szCs w:val="20"/>
          <w:color w:val="auto"/>
        </w:rPr>
      </w:pPr>
    </w:p>
    <w:p>
      <w:pPr>
        <w:ind w:left="1100" w:hanging="989"/>
        <w:spacing w:after="0"/>
        <w:tabs>
          <w:tab w:leader="none" w:pos="1100" w:val="left"/>
        </w:tabs>
        <w:numPr>
          <w:ilvl w:val="0"/>
          <w:numId w:val="23"/>
        </w:numPr>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Consent of Independent Registered Public Accounting Firm.</w:t>
        </w:r>
      </w:hyperlink>
    </w:p>
    <w:p>
      <w:pPr>
        <w:spacing w:after="0" w:line="198" w:lineRule="exact"/>
        <w:rPr>
          <w:rFonts w:ascii="Arial" w:cs="Arial" w:eastAsia="Arial" w:hAnsi="Arial"/>
          <w:sz w:val="18"/>
          <w:szCs w:val="18"/>
          <w:u w:val="single" w:color="auto"/>
          <w:color w:val="0000FF"/>
        </w:rPr>
      </w:pPr>
    </w:p>
    <w:p>
      <w:pPr>
        <w:ind w:left="1100" w:hanging="989"/>
        <w:spacing w:after="0"/>
        <w:tabs>
          <w:tab w:leader="none" w:pos="1100" w:val="left"/>
        </w:tabs>
        <w:numPr>
          <w:ilvl w:val="0"/>
          <w:numId w:val="23"/>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Power of Attorney (included on the signature page to this Annual Report on Form 10-K).</w:t>
        </w:r>
      </w:hyperlink>
    </w:p>
    <w:p>
      <w:pPr>
        <w:spacing w:after="0" w:line="181"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31.1</w:t>
            </w:r>
          </w:p>
        </w:tc>
        <w:tc>
          <w:tcPr>
            <w:tcW w:w="7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Certification of Chief Executive Officer pursuant to Section 302 of the Sarbanes-Oxley Act of 2002.</w:t>
              </w:r>
            </w:hyperlink>
          </w:p>
        </w:tc>
      </w:tr>
      <w:tr>
        <w:trPr>
          <w:trHeight w:val="385"/>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31.2</w:t>
            </w:r>
          </w:p>
        </w:tc>
        <w:tc>
          <w:tcPr>
            <w:tcW w:w="7180" w:type="dxa"/>
            <w:vAlign w:val="bottom"/>
            <w:tcBorders>
              <w:bottom w:val="single" w:sz="8" w:color="0000FF"/>
            </w:tcBorders>
          </w:tcPr>
          <w:p>
            <w:pPr>
              <w:spacing w:after="0"/>
              <w:rPr>
                <w:rFonts w:ascii="Arial" w:cs="Arial" w:eastAsia="Arial" w:hAnsi="Arial"/>
                <w:sz w:val="18"/>
                <w:szCs w:val="18"/>
                <w:color w:val="0000FF"/>
                <w:w w:val="92"/>
              </w:rPr>
            </w:pPr>
            <w:hyperlink w:anchor="page121">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40"/>
          </w:cols>
          <w:pgMar w:left="560" w:top="513" w:right="299" w:bottom="1440" w:gutter="0" w:footer="0" w:header="0"/>
        </w:sectPr>
      </w:pPr>
    </w:p>
    <w:p>
      <w:pPr>
        <w:spacing w:after="0" w:line="8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40"/>
          </w:cols>
          <w:pgMar w:left="560" w:top="513" w:right="299" w:bottom="1440" w:gutter="0" w:footer="0" w:header="0"/>
          <w:type w:val="continuous"/>
        </w:sectPr>
      </w:pPr>
    </w:p>
    <w:bookmarkStart w:id="60" w:name="page61"/>
    <w:bookmarkEnd w:id="60"/>
    <w:p>
      <w:pPr>
        <w:ind w:left="1420" w:right="60" w:hanging="989"/>
        <w:spacing w:after="0" w:line="277" w:lineRule="auto"/>
        <w:tabs>
          <w:tab w:leader="none" w:pos="1420" w:val="left"/>
        </w:tabs>
        <w:numPr>
          <w:ilvl w:val="0"/>
          <w:numId w:val="24"/>
        </w:numPr>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Certifications of Chief Executive Officer and Chief Financial Officer pursuant to Section 906 of the Sarbanes-Oxley Act of 2002, 18</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U.S.C. Section 1350.</w:t>
        </w:r>
      </w:hyperlink>
    </w:p>
    <w:p>
      <w:pPr>
        <w:spacing w:after="0" w:line="143"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30"/>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2"/>
              </w:rPr>
              <w:t>101.INS</w:t>
            </w:r>
          </w:p>
        </w:tc>
        <w:tc>
          <w:tcPr>
            <w:tcW w:w="48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3"/>
              </w:rPr>
              <w:t>101.SCH</w:t>
            </w:r>
          </w:p>
        </w:tc>
        <w:tc>
          <w:tcPr>
            <w:tcW w:w="480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7"/>
              </w:rPr>
              <w:t>101.CAL</w:t>
            </w:r>
          </w:p>
        </w:tc>
        <w:tc>
          <w:tcPr>
            <w:tcW w:w="4800" w:type="dxa"/>
            <w:vAlign w:val="bottom"/>
          </w:tcPr>
          <w:p>
            <w:pPr>
              <w:ind w:left="2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0"/>
              </w:rPr>
              <w:t>101.DEF</w:t>
            </w:r>
          </w:p>
        </w:tc>
        <w:tc>
          <w:tcPr>
            <w:tcW w:w="48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8"/>
              </w:rPr>
              <w:t>101.LAB</w:t>
            </w:r>
          </w:p>
        </w:tc>
        <w:tc>
          <w:tcPr>
            <w:tcW w:w="48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88"/>
              </w:rPr>
              <w:t>101.PRE</w:t>
            </w:r>
          </w:p>
        </w:tc>
        <w:tc>
          <w:tcPr>
            <w:tcW w:w="4800" w:type="dxa"/>
            <w:vAlign w:val="bottom"/>
          </w:tcPr>
          <w:p>
            <w:pPr>
              <w:ind w:left="2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9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rFonts w:ascii="Arial" w:cs="Arial" w:eastAsia="Arial" w:hAnsi="Arial"/>
          <w:sz w:val="18"/>
          <w:szCs w:val="18"/>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AMC Networks Inc.</w:t>
      </w:r>
    </w:p>
    <w:p>
      <w:pPr>
        <w:spacing w:after="0" w:line="306" w:lineRule="exact"/>
        <w:rPr>
          <w:rFonts w:ascii="Arial" w:cs="Arial" w:eastAsia="Arial" w:hAnsi="Arial"/>
          <w:sz w:val="18"/>
          <w:szCs w:val="18"/>
          <w:color w:val="auto"/>
        </w:rPr>
      </w:pPr>
    </w:p>
    <w:p>
      <w:pPr>
        <w:ind w:left="40"/>
        <w:spacing w:after="0"/>
        <w:tabs>
          <w:tab w:leader="none" w:pos="700" w:val="left"/>
          <w:tab w:leader="none" w:pos="482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Sean S. Sullivan</w:t>
      </w:r>
    </w:p>
    <w:p>
      <w:pPr>
        <w:spacing w:after="0" w:line="63"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rFonts w:ascii="Arial" w:cs="Arial" w:eastAsia="Arial" w:hAnsi="Arial"/>
          <w:sz w:val="18"/>
          <w:szCs w:val="18"/>
          <w:color w:val="auto"/>
        </w:rPr>
      </w:pPr>
    </w:p>
    <w:p>
      <w:pPr>
        <w:jc w:val="both"/>
        <w:ind w:firstLine="432"/>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Joshua W. Sapan and Sean S. Sullivan,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3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65" w:right="239" w:bottom="1440" w:gutter="0" w:footer="0" w:header="0"/>
        </w:sectPr>
      </w:pPr>
    </w:p>
    <w:bookmarkStart w:id="61" w:name="page62"/>
    <w:bookmarkEnd w:id="61"/>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Name</w:t>
            </w:r>
          </w:p>
        </w:tc>
        <w:tc>
          <w:tcPr>
            <w:tcW w:w="30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color w:val="auto"/>
              </w:rPr>
              <w:t>Title</w:t>
            </w:r>
          </w:p>
        </w:tc>
        <w:tc>
          <w:tcPr>
            <w:tcW w:w="2380" w:type="dxa"/>
            <w:vAlign w:val="bottom"/>
            <w:gridSpan w:val="3"/>
          </w:tcPr>
          <w:p>
            <w:pPr>
              <w:jc w:val="center"/>
              <w:ind w:left="972"/>
              <w:spacing w:after="0"/>
              <w:rPr>
                <w:sz w:val="20"/>
                <w:szCs w:val="20"/>
                <w:color w:val="auto"/>
              </w:rPr>
            </w:pPr>
            <w:r>
              <w:rPr>
                <w:rFonts w:ascii="Arial" w:cs="Arial" w:eastAsia="Arial" w:hAnsi="Arial"/>
                <w:sz w:val="14"/>
                <w:szCs w:val="14"/>
                <w:color w:val="auto"/>
                <w:w w:val="94"/>
              </w:rPr>
              <w:t>Date</w:t>
            </w:r>
          </w:p>
        </w:tc>
      </w:tr>
      <w:tr>
        <w:trPr>
          <w:trHeight w:val="20"/>
        </w:trPr>
        <w:tc>
          <w:tcPr>
            <w:tcW w:w="1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88"/>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Joshua W. Sapan</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President and Chief Executive Officer</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Joshua W. Sapan</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(Principal Executive Officer)</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Sean S. Sullivan</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Executive Vice President and Chief Financial Officer</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Sean S. Sullivan</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(Principal Financial Officer)</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Christian B. Wymbs</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Executive Vice President and Chief Accounting Officer</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Christian B. Wymbs</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(Principal Accounting Officer)</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Charles F. Dolan</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Chairman of the Board of Directors</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Charles F.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William J. Bell</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William J. Bell</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Frank J. Biondi, Jr.</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Frank J. Biondi, Jr.</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James L. Dolan</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James L.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Kristin A. Dolan</w:t>
            </w:r>
          </w:p>
        </w:tc>
        <w:tc>
          <w:tcPr>
            <w:tcW w:w="55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380" w:type="dxa"/>
            <w:vAlign w:val="bottom"/>
            <w:gridSpan w:val="3"/>
          </w:tcPr>
          <w:p>
            <w:pPr>
              <w:jc w:val="center"/>
              <w:ind w:left="9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Kristin A.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20" w:type="dxa"/>
            <w:vAlign w:val="bottom"/>
          </w:tcPr>
          <w:p>
            <w:pPr>
              <w:ind w:left="242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00"/>
          </w:cols>
          <w:pgMar w:left="240" w:top="476" w:right="25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ind w:left="1440"/>
              <w:spacing w:after="0"/>
              <w:rPr>
                <w:sz w:val="20"/>
                <w:szCs w:val="20"/>
                <w:color w:val="auto"/>
              </w:rPr>
            </w:pPr>
            <w:r>
              <w:rPr>
                <w:rFonts w:ascii="Arial" w:cs="Arial" w:eastAsia="Arial" w:hAnsi="Arial"/>
                <w:sz w:val="14"/>
                <w:szCs w:val="14"/>
                <w:color w:val="auto"/>
              </w:rPr>
              <w:t>Name</w:t>
            </w:r>
          </w:p>
        </w:tc>
        <w:tc>
          <w:tcPr>
            <w:tcW w:w="30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Title</w:t>
            </w:r>
          </w:p>
        </w:tc>
        <w:tc>
          <w:tcPr>
            <w:tcW w:w="2980" w:type="dxa"/>
            <w:vAlign w:val="bottom"/>
            <w:gridSpan w:val="3"/>
          </w:tcPr>
          <w:p>
            <w:pPr>
              <w:jc w:val="center"/>
              <w:ind w:left="1572"/>
              <w:spacing w:after="0"/>
              <w:rPr>
                <w:sz w:val="20"/>
                <w:szCs w:val="20"/>
                <w:color w:val="auto"/>
              </w:rPr>
            </w:pPr>
            <w:r>
              <w:rPr>
                <w:rFonts w:ascii="Arial" w:cs="Arial" w:eastAsia="Arial" w:hAnsi="Arial"/>
                <w:sz w:val="14"/>
                <w:szCs w:val="14"/>
                <w:color w:val="auto"/>
                <w:w w:val="94"/>
              </w:rPr>
              <w:t>Date</w:t>
            </w:r>
          </w:p>
        </w:tc>
      </w:tr>
      <w:tr>
        <w:trPr>
          <w:trHeight w:val="20"/>
        </w:trPr>
        <w:tc>
          <w:tcPr>
            <w:tcW w:w="1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5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Marianne Dolan Weber</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Marianne Dolan Weber</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Patrick F. Dolan</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Patrick F.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Thomas C. Dolan</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Thomas C.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Jonathan F. Miller</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Jonathan F. Miller</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Brian G. Sweeney</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Brian G. Sweeney</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Vincent Tese</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Vincent Tese</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Leonard Tow</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Leonard Tow</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David E. Van Zandt</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David E. Van Zandt</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Carl E. Vogel</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Carl E. Vogel</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6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Robert C. Wright</w:t>
            </w:r>
          </w:p>
        </w:tc>
        <w:tc>
          <w:tcPr>
            <w:tcW w:w="494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572"/>
              <w:spacing w:after="0"/>
              <w:rPr>
                <w:sz w:val="20"/>
                <w:szCs w:val="20"/>
                <w:color w:val="auto"/>
              </w:rPr>
            </w:pPr>
            <w:r>
              <w:rPr>
                <w:rFonts w:ascii="Arial" w:cs="Arial" w:eastAsia="Arial" w:hAnsi="Arial"/>
                <w:sz w:val="18"/>
                <w:szCs w:val="18"/>
                <w:color w:val="auto"/>
                <w:w w:val="89"/>
              </w:rPr>
              <w:t>February 28, 2019</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Robert C. Wright</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6"/>
        </w:trPr>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20" w:type="dxa"/>
            <w:vAlign w:val="bottom"/>
          </w:tcPr>
          <w:p>
            <w:pPr>
              <w:ind w:left="242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120"/>
          </w:cols>
          <w:pgMar w:left="240" w:top="519" w:right="539" w:bottom="1440" w:gutter="0" w:footer="0" w:header="0"/>
        </w:sectPr>
      </w:pPr>
    </w:p>
    <w:bookmarkStart w:id="63" w:name="page64"/>
    <w:bookmarkEnd w:id="63"/>
    <w:p>
      <w:pPr>
        <w:jc w:val="center"/>
        <w:ind w:right="-259"/>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as of December 31, 2018 and 2017 and for the years ended December 31, 2018, 2017 and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Reports of Independent Registered Public Accounting Firm</w:t>
              </w:r>
            </w:hyperlink>
          </w:p>
        </w:tc>
        <w:tc>
          <w:tcPr>
            <w:tcW w:w="5900" w:type="dxa"/>
            <w:vAlign w:val="bottom"/>
          </w:tcPr>
          <w:p>
            <w:pPr>
              <w:spacing w:after="0"/>
              <w:rPr>
                <w:sz w:val="17"/>
                <w:szCs w:val="17"/>
                <w:color w:val="auto"/>
              </w:rPr>
            </w:pPr>
          </w:p>
        </w:tc>
        <w:tc>
          <w:tcPr>
            <w:tcW w:w="240" w:type="dxa"/>
            <w:vAlign w:val="bottom"/>
          </w:tcPr>
          <w:p>
            <w:pPr>
              <w:spacing w:after="0"/>
              <w:rPr>
                <w:rFonts w:ascii="Arial" w:cs="Arial" w:eastAsia="Arial" w:hAnsi="Arial"/>
                <w:sz w:val="18"/>
                <w:szCs w:val="18"/>
                <w:color w:val="0000EE"/>
                <w:w w:val="81"/>
              </w:rPr>
            </w:pPr>
            <w:hyperlink w:anchor="page65">
              <w:r>
                <w:rPr>
                  <w:rFonts w:ascii="Arial" w:cs="Arial" w:eastAsia="Arial" w:hAnsi="Arial"/>
                  <w:sz w:val="18"/>
                  <w:szCs w:val="18"/>
                  <w:color w:val="0000EE"/>
                  <w:w w:val="81"/>
                </w:rPr>
                <w:t>F-1</w:t>
              </w:r>
            </w:hyperlink>
          </w:p>
        </w:tc>
      </w:tr>
      <w:tr>
        <w:trPr>
          <w:trHeight w:val="250"/>
        </w:trPr>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w:t>
              </w:r>
            </w:hyperlink>
          </w:p>
        </w:tc>
        <w:tc>
          <w:tcPr>
            <w:tcW w:w="6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top w:val="single" w:sz="8" w:color="0000EE"/>
            </w:tcBorders>
          </w:tcPr>
          <w:p>
            <w:pPr>
              <w:spacing w:after="0"/>
              <w:rPr>
                <w:rFonts w:ascii="Arial" w:cs="Arial" w:eastAsia="Arial" w:hAnsi="Arial"/>
                <w:sz w:val="18"/>
                <w:szCs w:val="18"/>
                <w:color w:val="0000EE"/>
                <w:w w:val="81"/>
              </w:rPr>
            </w:pPr>
            <w:hyperlink w:anchor="page68">
              <w:r>
                <w:rPr>
                  <w:rFonts w:ascii="Arial" w:cs="Arial" w:eastAsia="Arial" w:hAnsi="Arial"/>
                  <w:sz w:val="18"/>
                  <w:szCs w:val="18"/>
                  <w:color w:val="0000EE"/>
                  <w:w w:val="81"/>
                </w:rPr>
                <w:t>F-4</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50"/>
        </w:trPr>
        <w:tc>
          <w:tcPr>
            <w:tcW w:w="2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Income</w:t>
              </w:r>
            </w:hyperlink>
          </w:p>
        </w:tc>
        <w:tc>
          <w:tcPr>
            <w:tcW w:w="2380" w:type="dxa"/>
            <w:vAlign w:val="bottom"/>
            <w:gridSpan w:val="7"/>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69">
              <w:r>
                <w:rPr>
                  <w:rFonts w:ascii="Arial" w:cs="Arial" w:eastAsia="Arial" w:hAnsi="Arial"/>
                  <w:sz w:val="18"/>
                  <w:szCs w:val="18"/>
                  <w:color w:val="0000EE"/>
                  <w:w w:val="81"/>
                </w:rPr>
                <w:t>F-5</w:t>
              </w:r>
            </w:hyperlink>
          </w:p>
        </w:tc>
      </w:tr>
      <w:tr>
        <w:trPr>
          <w:trHeight w:val="250"/>
        </w:trPr>
        <w:tc>
          <w:tcPr>
            <w:tcW w:w="3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Comprehensive Income</w:t>
              </w:r>
            </w:hyperlink>
          </w:p>
        </w:tc>
        <w:tc>
          <w:tcPr>
            <w:tcW w:w="1200" w:type="dxa"/>
            <w:vAlign w:val="bottom"/>
            <w:gridSpan w:val="3"/>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70">
              <w:r>
                <w:rPr>
                  <w:rFonts w:ascii="Arial" w:cs="Arial" w:eastAsia="Arial" w:hAnsi="Arial"/>
                  <w:sz w:val="18"/>
                  <w:szCs w:val="18"/>
                  <w:color w:val="0000EE"/>
                  <w:w w:val="81"/>
                </w:rPr>
                <w:t>F-6</w:t>
              </w:r>
            </w:hyperlink>
          </w:p>
        </w:tc>
      </w:tr>
      <w:tr>
        <w:trPr>
          <w:trHeight w:val="250"/>
        </w:trPr>
        <w:tc>
          <w:tcPr>
            <w:tcW w:w="38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Consolidated Statements of Stockholders’ Deficiency</w:t>
              </w:r>
            </w:hyperlink>
          </w:p>
        </w:tc>
        <w:tc>
          <w:tcPr>
            <w:tcW w:w="1080" w:type="dxa"/>
            <w:vAlign w:val="bottom"/>
            <w:gridSpan w:val="2"/>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71">
              <w:r>
                <w:rPr>
                  <w:rFonts w:ascii="Arial" w:cs="Arial" w:eastAsia="Arial" w:hAnsi="Arial"/>
                  <w:sz w:val="18"/>
                  <w:szCs w:val="18"/>
                  <w:color w:val="0000EE"/>
                  <w:w w:val="81"/>
                </w:rPr>
                <w:t>F-7</w:t>
              </w:r>
            </w:hyperlink>
          </w:p>
        </w:tc>
      </w:tr>
      <w:tr>
        <w:trPr>
          <w:trHeight w:val="250"/>
        </w:trPr>
        <w:tc>
          <w:tcPr>
            <w:tcW w:w="494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w:t>
              </w:r>
            </w:hyperlink>
          </w:p>
        </w:tc>
        <w:tc>
          <w:tcPr>
            <w:tcW w:w="5900" w:type="dxa"/>
            <w:vAlign w:val="bottom"/>
          </w:tcPr>
          <w:p>
            <w:pPr>
              <w:spacing w:after="0"/>
              <w:rPr>
                <w:sz w:val="21"/>
                <w:szCs w:val="21"/>
                <w:color w:val="auto"/>
              </w:rPr>
            </w:pPr>
          </w:p>
        </w:tc>
        <w:tc>
          <w:tcPr>
            <w:tcW w:w="240" w:type="dxa"/>
            <w:vAlign w:val="bottom"/>
          </w:tcPr>
          <w:p>
            <w:pPr>
              <w:spacing w:after="0"/>
              <w:rPr>
                <w:rFonts w:ascii="Arial" w:cs="Arial" w:eastAsia="Arial" w:hAnsi="Arial"/>
                <w:sz w:val="18"/>
                <w:szCs w:val="18"/>
                <w:color w:val="0000EE"/>
                <w:w w:val="81"/>
              </w:rPr>
            </w:pPr>
            <w:hyperlink w:anchor="page72">
              <w:r>
                <w:rPr>
                  <w:rFonts w:ascii="Arial" w:cs="Arial" w:eastAsia="Arial" w:hAnsi="Arial"/>
                  <w:sz w:val="18"/>
                  <w:szCs w:val="18"/>
                  <w:color w:val="0000EE"/>
                  <w:w w:val="81"/>
                </w:rPr>
                <w:t>F-8</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50"/>
        </w:trPr>
        <w:tc>
          <w:tcPr>
            <w:tcW w:w="494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5900" w:type="dxa"/>
            <w:vAlign w:val="bottom"/>
          </w:tcPr>
          <w:p>
            <w:pPr>
              <w:spacing w:after="0"/>
              <w:rPr>
                <w:sz w:val="21"/>
                <w:szCs w:val="21"/>
                <w:color w:val="auto"/>
              </w:rPr>
            </w:pPr>
          </w:p>
        </w:tc>
        <w:tc>
          <w:tcPr>
            <w:tcW w:w="240" w:type="dxa"/>
            <w:vAlign w:val="bottom"/>
          </w:tcPr>
          <w:p>
            <w:pPr>
              <w:spacing w:after="0"/>
              <w:rPr>
                <w:rFonts w:ascii="Arial" w:cs="Arial" w:eastAsia="Arial" w:hAnsi="Arial"/>
                <w:sz w:val="18"/>
                <w:szCs w:val="18"/>
                <w:color w:val="0000EE"/>
                <w:w w:val="81"/>
              </w:rPr>
            </w:pPr>
            <w:hyperlink w:anchor="page73">
              <w:r>
                <w:rPr>
                  <w:rFonts w:ascii="Arial" w:cs="Arial" w:eastAsia="Arial" w:hAnsi="Arial"/>
                  <w:sz w:val="18"/>
                  <w:szCs w:val="18"/>
                  <w:color w:val="0000EE"/>
                  <w:w w:val="81"/>
                </w:rPr>
                <w:t>F-9</w:t>
              </w:r>
            </w:hyperlink>
          </w:p>
        </w:tc>
      </w:tr>
      <w:tr>
        <w:trPr>
          <w:trHeight w:val="20"/>
        </w:trPr>
        <w:tc>
          <w:tcPr>
            <w:tcW w:w="314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50"/>
        </w:trPr>
        <w:tc>
          <w:tcPr>
            <w:tcW w:w="4940" w:type="dxa"/>
            <w:vAlign w:val="bottom"/>
            <w:gridSpan w:val="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Schedule II—Valuation and Qualifying Accounts</w:t>
              </w:r>
            </w:hyperlink>
          </w:p>
        </w:tc>
        <w:tc>
          <w:tcPr>
            <w:tcW w:w="5900" w:type="dxa"/>
            <w:vAlign w:val="bottom"/>
          </w:tcPr>
          <w:p>
            <w:pPr>
              <w:spacing w:after="0"/>
              <w:rPr>
                <w:sz w:val="21"/>
                <w:szCs w:val="21"/>
                <w:color w:val="auto"/>
              </w:rPr>
            </w:pPr>
          </w:p>
        </w:tc>
        <w:tc>
          <w:tcPr>
            <w:tcW w:w="240" w:type="dxa"/>
            <w:vAlign w:val="bottom"/>
          </w:tcPr>
          <w:p>
            <w:pPr>
              <w:spacing w:after="0"/>
              <w:rPr>
                <w:rFonts w:ascii="Arial" w:cs="Arial" w:eastAsia="Arial" w:hAnsi="Arial"/>
                <w:sz w:val="18"/>
                <w:szCs w:val="18"/>
                <w:color w:val="0000EE"/>
                <w:w w:val="78"/>
              </w:rPr>
            </w:pPr>
            <w:hyperlink w:anchor="page117">
              <w:r>
                <w:rPr>
                  <w:rFonts w:ascii="Arial" w:cs="Arial" w:eastAsia="Arial" w:hAnsi="Arial"/>
                  <w:sz w:val="18"/>
                  <w:szCs w:val="18"/>
                  <w:color w:val="0000EE"/>
                  <w:w w:val="78"/>
                </w:rPr>
                <w:t>S-1</w:t>
              </w:r>
            </w:hyperlink>
          </w:p>
        </w:tc>
      </w:tr>
      <w:tr>
        <w:trPr>
          <w:trHeight w:val="615"/>
        </w:trPr>
        <w:tc>
          <w:tcPr>
            <w:tcW w:w="20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00" w:type="dxa"/>
            <w:vAlign w:val="bottom"/>
          </w:tcPr>
          <w:p>
            <w:pPr>
              <w:jc w:val="right"/>
              <w:ind w:right="4990"/>
              <w:spacing w:after="0"/>
              <w:rPr>
                <w:sz w:val="20"/>
                <w:szCs w:val="20"/>
                <w:color w:val="auto"/>
              </w:rPr>
            </w:pPr>
            <w:r>
              <w:rPr>
                <w:rFonts w:ascii="Arial" w:cs="Arial" w:eastAsia="Arial" w:hAnsi="Arial"/>
                <w:sz w:val="18"/>
                <w:szCs w:val="18"/>
                <w:color w:val="auto"/>
              </w:rPr>
              <w:t>64</w:t>
            </w:r>
          </w:p>
        </w:tc>
        <w:tc>
          <w:tcPr>
            <w:tcW w:w="24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AMC Networks Inc. and subsidiaries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r>
        <w:rPr>
          <w:rFonts w:ascii="Arial" w:cs="Arial" w:eastAsia="Arial" w:hAnsi="Arial"/>
          <w:sz w:val="16"/>
          <w:szCs w:val="16"/>
          <w:color w:val="auto"/>
        </w:rPr>
        <w:t xml:space="preserve">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stockholders’ equity (deficiency), and cash flows for each of the years in the three-year period ended December 31, 2018, and the related notes, and the related financial statement schedule as listed in the index to Item 15 (collectively, the ”consolidated financial statements”), and our report dated February 28, 2019, expressed an unqualified opinion on those consolidated financial statements.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excluded Levity Entertainment Group LLC ("Levity") and RLJ Entertainment, Inc. ("RLJE"), both acquired during 2018, from its assessment of internal control over financial reporting as of December 31, 2018. Revenues, net and total assets of Levity and RLJE represented, in aggregate, approximately 5% and 9%, respectively, of the related consolidated financial statement amounts as of and for the year ended December 31, 2018. Our audit of internal control over financial reporting of the Company also excluded an evaluation of the internal control over financial reporting of Levity and RLJE.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526" w:right="2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assessed risk. Our audit also included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68"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audited the accompanying consolidated balance sheets of AMC Networks Inc. and subsidiaries (the “Company”) as of December 31, 2018 and 2017, the related consolidated statements of income, comprehensive income, stockholders’ equity (deficiency),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and the related notes, and the related financial statement schedule as listed in the index to Item 15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in conformity with U.S. generally accepted accounting principles.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2019,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revenue, effective January 1, 2018 due to the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2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386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558,783</w:t>
            </w:r>
          </w:p>
        </w:tc>
        <w:tc>
          <w:tcPr>
            <w:tcW w:w="0" w:type="dxa"/>
            <w:vAlign w:val="bottom"/>
          </w:tcPr>
          <w:p>
            <w:pPr>
              <w:spacing w:after="0"/>
              <w:rPr>
                <w:sz w:val="1"/>
                <w:szCs w:val="1"/>
                <w:color w:val="auto"/>
              </w:rPr>
            </w:pPr>
          </w:p>
        </w:tc>
      </w:tr>
      <w:tr>
        <w:trPr>
          <w:trHeight w:val="220"/>
        </w:trPr>
        <w:tc>
          <w:tcPr>
            <w:tcW w:w="8320" w:type="dxa"/>
            <w:vAlign w:val="bottom"/>
          </w:tcPr>
          <w:p>
            <w:pPr>
              <w:ind w:left="38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380"/>
              <w:spacing w:after="0"/>
              <w:rPr>
                <w:sz w:val="20"/>
                <w:szCs w:val="20"/>
                <w:color w:val="auto"/>
              </w:rPr>
            </w:pPr>
            <w:r>
              <w:rPr>
                <w:rFonts w:ascii="Arial" w:cs="Arial" w:eastAsia="Arial" w:hAnsi="Arial"/>
                <w:sz w:val="16"/>
                <w:szCs w:val="16"/>
                <w:color w:val="auto"/>
              </w:rPr>
              <w:t>less allowance for doubtful accounts of $10,788 and $9,691)</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835,977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775,891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program rights,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443,604</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131,809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91,726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1,963,411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1,870,004</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246,262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183,514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 rights,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1,214,051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1,329,125</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Deferred carriage fees,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16,831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29,924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457,242</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798,037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695,158</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20,081</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441,792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447,937</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5,278,563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40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107,066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102,197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263,076</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343,589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327,549</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46,433</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21,334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217"/>
        </w:trPr>
        <w:tc>
          <w:tcPr>
            <w:tcW w:w="8320" w:type="dxa"/>
            <w:vAlign w:val="bottom"/>
          </w:tcPr>
          <w:p>
            <w:pPr>
              <w:ind w:left="7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797,421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744,102</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 rights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534,980</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3,088,221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3,099,257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26,277</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Deferred tax liability,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145,443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109,698</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208,036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136,122</w:t>
            </w:r>
          </w:p>
        </w:tc>
        <w:tc>
          <w:tcPr>
            <w:tcW w:w="0" w:type="dxa"/>
            <w:vAlign w:val="bottom"/>
          </w:tcPr>
          <w:p>
            <w:pPr>
              <w:spacing w:after="0"/>
              <w:rPr>
                <w:sz w:val="1"/>
                <w:szCs w:val="1"/>
                <w:color w:val="auto"/>
              </w:rPr>
            </w:pPr>
          </w:p>
        </w:tc>
      </w:tr>
      <w:tr>
        <w:trPr>
          <w:trHeight w:val="217"/>
        </w:trPr>
        <w:tc>
          <w:tcPr>
            <w:tcW w:w="8320" w:type="dxa"/>
            <w:vAlign w:val="bottom"/>
          </w:tcPr>
          <w:p>
            <w:pPr>
              <w:ind w:left="70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4,633,797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4,650,436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Redeemable noncontrolling interests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299,558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218,604</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20" w:type="dxa"/>
            <w:vAlign w:val="bottom"/>
          </w:tcPr>
          <w:p>
            <w:pPr>
              <w:ind w:left="20"/>
              <w:spacing w:after="0"/>
              <w:rPr>
                <w:sz w:val="20"/>
                <w:szCs w:val="20"/>
                <w:color w:val="auto"/>
              </w:rPr>
            </w:pPr>
            <w:r>
              <w:rPr>
                <w:rFonts w:ascii="Arial" w:cs="Arial" w:eastAsia="Arial" w:hAnsi="Arial"/>
                <w:sz w:val="16"/>
                <w:szCs w:val="16"/>
                <w:color w:val="auto"/>
                <w:w w:val="91"/>
              </w:rPr>
              <w:t>Class A Common Stock, $0.01 par value, 360,000 shares authorized, 63,255 and 62,721 shares issued and 44,749 and 49,601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280"/>
              <w:spacing w:after="0"/>
              <w:rPr>
                <w:sz w:val="20"/>
                <w:szCs w:val="20"/>
                <w:color w:val="auto"/>
              </w:rPr>
            </w:pPr>
            <w:r>
              <w:rPr>
                <w:rFonts w:ascii="Arial" w:cs="Arial" w:eastAsia="Arial" w:hAnsi="Arial"/>
                <w:sz w:val="16"/>
                <w:szCs w:val="16"/>
                <w:color w:val="auto"/>
              </w:rPr>
              <w:t>shares outstanding, respectively</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191,303</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Accumulated earnings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1,228,942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766,725</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Treasury stock, at cost (18,507 and 13,120 shares Class A Common Stock,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(709,440)</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(160,194)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(114,386)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AMC Networks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316,680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134,944</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Non-redeemable noncontrolling interests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28,528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29,001</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163,945</w:t>
            </w:r>
          </w:p>
        </w:tc>
        <w:tc>
          <w:tcPr>
            <w:tcW w:w="0" w:type="dxa"/>
            <w:vAlign w:val="bottom"/>
          </w:tcPr>
          <w:p>
            <w:pPr>
              <w:spacing w:after="0"/>
              <w:rPr>
                <w:sz w:val="1"/>
                <w:szCs w:val="1"/>
                <w:color w:val="auto"/>
              </w:rPr>
            </w:pPr>
          </w:p>
        </w:tc>
      </w:tr>
      <w:tr>
        <w:trPr>
          <w:trHeight w:val="244"/>
        </w:trPr>
        <w:tc>
          <w:tcPr>
            <w:tcW w:w="8320" w:type="dxa"/>
            <w:vAlign w:val="bottom"/>
          </w:tcPr>
          <w:p>
            <w:pPr>
              <w:ind w:left="70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5,278,563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60" w:top="369"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Revenues, net (including revenues, net from related parties of $5,578, $6,168 and $15,873,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2,971,929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2,755,654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1,279,984</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w w:val="94"/>
              </w:rPr>
              <w:t>Selling, general and administrative (including charges from related parties of $1,647,</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680"/>
              <w:spacing w:after="0"/>
              <w:rPr>
                <w:sz w:val="20"/>
                <w:szCs w:val="20"/>
                <w:color w:val="auto"/>
              </w:rPr>
            </w:pPr>
            <w:r>
              <w:rPr>
                <w:rFonts w:ascii="Arial" w:cs="Arial" w:eastAsia="Arial" w:hAnsi="Arial"/>
                <w:sz w:val="18"/>
                <w:szCs w:val="18"/>
                <w:color w:val="auto"/>
              </w:rPr>
              <w:t>$1,524 and $3,086, respectively)</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657,457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613,342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636,028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84,778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67,805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29,503</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2,245,020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2,083,332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2,098,098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726,909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657,556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(123,632)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(33,524)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(202,731)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620,273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640,378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454,825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(164,862)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463,967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489,637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289,963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446,187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471,316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270,510</w:t>
            </w:r>
          </w:p>
        </w:tc>
      </w:tr>
      <w:tr>
        <w:trPr>
          <w:trHeight w:val="217"/>
        </w:trPr>
        <w:tc>
          <w:tcPr>
            <w:tcW w:w="6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72,410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9" w:right="239" w:bottom="1440" w:gutter="0" w:footer="0" w:header="0"/>
        </w:sectPr>
      </w:pPr>
    </w:p>
    <w:bookmarkStart w:id="69" w:name="page70"/>
    <w:bookmarkEnd w:id="69"/>
    <w:p>
      <w:pPr>
        <w:ind w:left="4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MC NETWORKS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463,967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289,963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(45,426)</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Unrealized (loss) gain on interest rate swaps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available for 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(45,404)</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(12,337)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(57,741)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421,570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569,049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232,222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405,526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547,619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215,731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8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5"/>
          <w:szCs w:val="15"/>
          <w:b w:val="1"/>
          <w:bCs w:val="1"/>
          <w:color w:val="auto"/>
        </w:rPr>
        <w:t>AMC NETWORKS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 (DEFICIENCY)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 AMC</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5"/>
                <w:szCs w:val="5"/>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Networks</w:t>
            </w:r>
          </w:p>
        </w:tc>
        <w:tc>
          <w:tcPr>
            <w:tcW w:w="100" w:type="dxa"/>
            <w:vAlign w:val="bottom"/>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5"/>
                <w:szCs w:val="5"/>
                <w:color w:val="auto"/>
              </w:rPr>
            </w:pPr>
          </w:p>
        </w:tc>
        <w:tc>
          <w:tcPr>
            <w:tcW w:w="6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Class B</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00" w:type="dxa"/>
            <w:vAlign w:val="bottom"/>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redeemable</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82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7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80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5"/>
                <w:szCs w:val="5"/>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Treasury</w:t>
            </w:r>
          </w:p>
        </w:tc>
        <w:tc>
          <w:tcPr>
            <w:tcW w:w="10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5"/>
                <w:szCs w:val="5"/>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Equity</w:t>
            </w:r>
          </w:p>
        </w:tc>
        <w:tc>
          <w:tcPr>
            <w:tcW w:w="100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Noncontrolling</w:t>
            </w: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8"/>
              </w:rPr>
              <w:t>(Deficiency)</w:t>
            </w: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8"/>
                <w:szCs w:val="8"/>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8"/>
                <w:szCs w:val="8"/>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8"/>
                <w:szCs w:val="8"/>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8"/>
                <w:szCs w:val="8"/>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(Deficiency)</w:t>
            </w:r>
          </w:p>
        </w:tc>
        <w:tc>
          <w:tcPr>
            <w:tcW w:w="100" w:type="dxa"/>
            <w:vAlign w:val="bottom"/>
          </w:tcPr>
          <w:p>
            <w:pPr>
              <w:spacing w:after="0"/>
              <w:rPr>
                <w:sz w:val="8"/>
                <w:szCs w:val="8"/>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$123,157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24,880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(51,993)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(136,057)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(39,277)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30,639</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w w:val="95"/>
              </w:rPr>
              <w:t>Net income attributable to AMC Networks' stockholders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270,510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270,510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270,510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 changes</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to noncontrolling member</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Treasury stock not yet settled and other</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(10,454)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(10,435)</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(60,703)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38,897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38,897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38,897</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0"/>
              </w:rPr>
              <w:t>(223,237)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(223,237)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(223,237)</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Excess tax benefits on share-based awards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142,798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(275,230)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(193,798)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28,438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w w:val="95"/>
              </w:rPr>
              <w:t>Net income attributable to AMC Networks' stockholders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471,316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471,316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471,316</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non-redeemable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Distribution to noncontrolling member</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not yet settled</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Settlement of treasury stock</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10,454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10,454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82,521</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53,545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53,545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53,545</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acquired</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(434,210)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(434,210)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(434,210)</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(14,499)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191,303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766,725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(709,440)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(114,386)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134,944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stockholders</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446,187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446,187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446,187</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Non-redeemable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(2,847)</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 acquired</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w w:val="96"/>
              </w:rPr>
              <w:t>Cumulative effects of adoption of accounting standards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16,030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12,619</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not yet settled</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Settlement of treasury stock</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60,979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60,979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60,979</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0"/>
              </w:rPr>
              <w:t>(283,143)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(283,143)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(283,143)</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$239,767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1,228,942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(992,583)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(160,194)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316,680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28,528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65" w:right="2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463,967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489,637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289,963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income from operations to net cash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91,281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94,638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84,778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and related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67,805</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60,979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53,545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38,897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Non-cash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961,134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954,238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862,302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16,990</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Unrealized foreign currency transaction (gain) loss</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37,770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77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Unrealized (gain) loss on derivative contracts, net</w:t>
            </w:r>
          </w:p>
        </w:tc>
        <w:tc>
          <w:tcPr>
            <w:tcW w:w="26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(43,476)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94"/>
        </w:trPr>
        <w:tc>
          <w:tcPr>
            <w:tcW w:w="77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Amortization and write-off of deferred financing costs and discounts on indebtedness</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7,715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8,436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9,341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50,639</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Bad debt expense</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7,399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11,642</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Excess tax benefits from share-based compensation arrangements</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(6,383)</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(26,496)</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(59,979)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Program rights and obligations,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(973,193)</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43,153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(9,836)</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Deferred carriage fees,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(10,396)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 accrued expenses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48,851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33,115</w:t>
            </w:r>
          </w:p>
        </w:tc>
        <w:tc>
          <w:tcPr>
            <w:tcW w:w="0" w:type="dxa"/>
            <w:vAlign w:val="bottom"/>
          </w:tcPr>
          <w:p>
            <w:pPr>
              <w:spacing w:after="0"/>
              <w:rPr>
                <w:sz w:val="1"/>
                <w:szCs w:val="1"/>
                <w:color w:val="auto"/>
              </w:rPr>
            </w:pPr>
          </w:p>
        </w:tc>
      </w:tr>
      <w:tr>
        <w:trPr>
          <w:trHeight w:val="217"/>
        </w:trPr>
        <w:tc>
          <w:tcPr>
            <w:tcW w:w="7760" w:type="dxa"/>
            <w:vAlign w:val="bottom"/>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606,547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385,729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514,325</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(89,802)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(79,220)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capital from investees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Payments for acquisitions, net of cash acquired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and loans to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217"/>
        </w:trPr>
        <w:tc>
          <w:tcPr>
            <w:tcW w:w="7760" w:type="dxa"/>
            <w:vAlign w:val="bottom"/>
          </w:tcPr>
          <w:p>
            <w:pPr>
              <w:ind w:left="10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(260,184)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(130,602)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(174,574)</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Proceeds from the issuance of long-term debt</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1,536,000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982,500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(848,000)</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Premium and fees paid on extinguishment of debt</w:t>
            </w:r>
          </w:p>
        </w:tc>
        <w:tc>
          <w:tcPr>
            <w:tcW w:w="2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(40,954)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Deemed repurchase of restricted stock units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(16,836)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(10,822)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(223,237)</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Proceeds from stock option exercises</w:t>
            </w:r>
          </w:p>
        </w:tc>
        <w:tc>
          <w:tcPr>
            <w:tcW w:w="2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4,317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share-based compensation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Principal payments on capital lease obligations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(9,010)</w:t>
            </w:r>
          </w:p>
        </w:tc>
        <w:tc>
          <w:tcPr>
            <w:tcW w:w="0" w:type="dxa"/>
            <w:vAlign w:val="bottom"/>
          </w:tcPr>
          <w:p>
            <w:pPr>
              <w:spacing w:after="0"/>
              <w:rPr>
                <w:sz w:val="1"/>
                <w:szCs w:val="1"/>
                <w:color w:val="auto"/>
              </w:rPr>
            </w:pPr>
          </w:p>
        </w:tc>
      </w:tr>
      <w:tr>
        <w:trPr>
          <w:trHeight w:val="217"/>
        </w:trPr>
        <w:tc>
          <w:tcPr>
            <w:tcW w:w="7760" w:type="dxa"/>
            <w:vAlign w:val="bottom"/>
          </w:tcPr>
          <w:p>
            <w:pPr>
              <w:ind w:left="10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(314,607)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(204,210)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(153,864)</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185,887</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(35,653)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26,477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(20,819)</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481,389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316,321</w:t>
            </w:r>
          </w:p>
        </w:tc>
        <w:tc>
          <w:tcPr>
            <w:tcW w:w="0" w:type="dxa"/>
            <w:vAlign w:val="bottom"/>
          </w:tcPr>
          <w:p>
            <w:pPr>
              <w:spacing w:after="0"/>
              <w:rPr>
                <w:sz w:val="1"/>
                <w:szCs w:val="1"/>
                <w:color w:val="auto"/>
              </w:rPr>
            </w:pPr>
          </w:p>
        </w:tc>
      </w:tr>
      <w:tr>
        <w:trPr>
          <w:trHeight w:val="244"/>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554,886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558,783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481,389</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60" w:top="369" w:right="239" w:bottom="975"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60" w:top="369" w:right="239" w:bottom="975"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640" w:hanging="321"/>
        <w:spacing w:after="0" w:line="302" w:lineRule="auto"/>
        <w:tabs>
          <w:tab w:leader="none" w:pos="64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 original programming for our programming networks and also license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1"/>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AMCNI, the Company's international programming businesses consisting of a portfolio of channels in</w:t>
      </w:r>
      <w:r>
        <w:rPr>
          <w:rFonts w:ascii="Arial" w:cs="Arial" w:eastAsia="Arial" w:hAnsi="Arial"/>
          <w:sz w:val="18"/>
          <w:szCs w:val="18"/>
          <w:i w:val="1"/>
          <w:iCs w:val="1"/>
          <w:color w:val="auto"/>
        </w:rPr>
        <w:t xml:space="preserve"> </w:t>
      </w:r>
      <w:r>
        <w:rPr>
          <w:rFonts w:ascii="Arial" w:cs="Arial" w:eastAsia="Arial" w:hAnsi="Arial"/>
          <w:sz w:val="18"/>
          <w:szCs w:val="18"/>
          <w:color w:val="auto"/>
        </w:rPr>
        <w:t>over 130 countries and territories around the world; IFC Films, the Company's independent film distribution business; Levity, acquired April 20, 2018, our production services and comedy venues company; RLJE, acquired October 1, 2018, a content distribution company that also includes the subscription streaming services Acorn TV and Urban Movie Channel ("UMC") and our wholly-owned subscription streaming services, Shudder and Sundance Now.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primarily earns revenue from the distribution of its programming services, including licensing of its programming and other content, and advertising.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The Company’s revenue recognition policies associated with each major source of revenue from contracts with customers are described in Note 3 Revenue Recognition.</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on January 1, 2018, using the modified retrospective method for all contracts not completed as of the date of adoption. The reported results as of and for the year ended December 31, 2018 reflect the application of the new standard, while the reported results for 2017 have not been adjusted to reflect the new standard and were prepared under prior revenue recognition accounting guidance.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adoption of the new standard did not result in significant changes in the way the Company records distribution and advertising revenues. However, as a result of applying the new standard, there are certain components of the Company’s distribution revenues where the new standard generally results in earlier recognition of revenue compared to its policies prior to adoption due to: (i) the requirement to estimate and recognize variable consideration prior to such amounts becoming fixed and determinable,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125"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8"/>
        <w:spacing w:after="0" w:line="264" w:lineRule="auto"/>
        <w:tabs>
          <w:tab w:leader="none" w:pos="2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recognition of royalties in the period of usage, and (iii) recognition of certain arrangements with minimum guarantees on a time-based (straight-line) basis. See Note 3 Revenue Recognition for more information. As a result of adopting Topic 606, the Company recorded an increase to opening retained earnings of approximately $12.8 million, net of tax, as of January 1, 2018.</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changes to the opening balances of current assets, total assets, current liabilities and total liabilities resulting from the adoption of the new guidance.</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Impact of</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0"/>
              </w:rPr>
              <w:t>December 31, 2017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Adoption</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3"/>
              </w:rPr>
              <w:t>January 1, 2018</w:t>
            </w: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1,883,508</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5,032,985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19,899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5,052,884</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744,937</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4,650,436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4,657,551</w:t>
            </w: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 by which each financial statement line item has been affected in the current reporting period by the application of Topic 606 compared to historical policies is not material, therefore, comparative disclosures have been omitted.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Operating Expenses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Costs of revenues, including but not limited to programming expense, primarily consisting of amortization or write-offs of programming rights, such as those for original programming, feature films and licensed series, participation and residual costs, distribution and production related costs and program delivery costs, such as transmission, encryption, hosting and formatting are classified as technical and operating expenses in the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Distribution Expenses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Advertising costs are charged to expense when incurred and are included in selling, general and administrative expenses in the consolidated statements of income. Advertising costs were $196.0 million, $200.4 million and $222.1 million for the years ended December 31, 2018, 2017 and 2016, respectively. Marketing, distribution and general and administrative costs related to the exploitation of owned original programming are expensed as incurred and is included in selling, general and administrative expenses in the consolidated statements of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an award of equity-based instruments based on the grant date fair value of the portion of awards that are ultimately expected to vest.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 is included in selling, general and administrative expenses in the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("OCI") in the consolidated statements of stockholders' equity (deficiency).</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foreign currency transaction gains (losses) (realized and unrealized) of $(6.8) million, $15.0 million and $(39.0) million for the years ended December 31, 2018, 2017 and 2016, respectively, which are included in miscellaneous, net in the consolidated statements of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cash investments are placed with money market funds and financial institutions that are investment grade as rated by Standard &amp; Poor's and Moody's Investors Service. The Company selects money market funds that predominantly invest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125"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marketable, direct obligations issued or guaranteed by the U.S. government or its agencies, commercial paper, fully collateralized repurchase agreements, certificates of deposit, and time deposits.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Trade</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periodically assesses the adequacy of valuation allowances for uncollectible accounts receivable by evaluating the collectability of outstanding receivables and general factors such as length of time individual receivables are past due, historical collection experience, and the economic and competitive environment. As of December 31, 2018 and 2017, the Company had $182.1 million and $150.2 million, respectively, of accounts receivable contractually due in excess of one-year, which are included in other assets in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Rights to programming, including feature films and episodic series, acquired under license agreements are stated at the lower of unamortized cost or net realizable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 on a straight-line or accelerated basis over a period not to exceed the respective license periods.</w:t>
      </w:r>
    </w:p>
    <w:p>
      <w:pPr>
        <w:spacing w:after="0" w:line="18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Company's owned original programming is primarily produced by production companies, with the remainder produced by the Company. 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(individual-film-forecast-computation method). Projected attributable revenue is based on previously generated revenues for similar content in established markets, primarily consisting of distribution and advertising revenues, and projected program usage. Projected program usage is based on the Company's current expectation of future exhibitions taking into 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also written off.</w:t>
      </w:r>
    </w:p>
    <w:p>
      <w:pPr>
        <w:spacing w:after="0" w:line="1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See Note 6 for further discussion regarding program rights write-offs.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Investments (excluding equity method investments) in equity securities with readily determinable fair values are accounted for at fair value. The Company applies the measurement alternative to fair value for equity securities without readily determinable far values, which is to record the investments at cost, less impairment, if any, and subsequently adjust for observable price changes of identical or similar investments of the same issuer. All gains and losses related to equity securities are recorded in earnings as a component of miscellaneous, net, in the consolidated statements of income.</w:t>
      </w:r>
    </w:p>
    <w:p>
      <w:pPr>
        <w:spacing w:after="0" w:line="15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loans and advances and expenses incurred on behalf of investees as well as payments from equity method investees such as dividends, distributions and repayments of loans and advances are recorded as adjustments to investment balances. The Company evaluates its equity method investments for impairment whenever events or changes in circumstances indicate that the carrying amounts of such investments may not be recoverable.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Amortizable Intangible Assets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and equipment are carried at cost. Equipment under capital leases is recorded at the present value of the total minimum lease payments. Depreciation is calculated on a straight-line basis over the estimated useful lives of the assets or, with respect to equipment under capital leases and leasehold improvements, amortized over the shorter of the lease term or the assets' useful lives and reported in depreciation and amortization in the consolidated statements of income.</w:t>
      </w:r>
    </w:p>
    <w:p>
      <w:pPr>
        <w:spacing w:after="0" w:line="18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Amortizable intangible assets established in connection with business combinations primarily consist of affiliate and customer relationships, advertiser relationships and tradenames. Amortizable intangible assets are amortized on a straight-line basis over their respective estimated useful lives.</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reviews its long-lived assets (property and equipment, and amortizable intangible assets) for impairment whenever events or circumstances indicate that the carrying amount of an asset may not be recoverable. If the sum of the expected cash flows, undiscounted and without interest, is less than the carrying amount of the asset, an impairment loss is recognized as the amount by which the carrying amount of the asset exceeds its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Indefinite-lived intangible assets established in connection with business combinations consist of trademarks. 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Carriage Fees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Deferred carriage fees represent amounts principally paid to multichannel video programming distributors to obtain additional subscribers and/or guarantee carriage of certain programming services and are amortized as a reduction of revenue over the period of the related affiliation arrangement (up to 10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Company's derivative financial instruments are recorded as either assets or liabilities in the consolidated balance sheet based on their fair values. The Company's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interest expense, for interest rate swap contracts and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14 for a further discussion of the Company's derivative financial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125"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its investment in partnerships. Interest and penalties, if any, associated with uncertain tax positions are included in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2018, two customers accounted for 13% and 12%, respectively, of the combined balances of consolidated accounts receivable, trade and receivables due in excess of one-year (included in other assets). As of December 31, 2017, one customer accounted for 20% of the combined balances of consolidated accounts receivable, trade and receivables due in excess of one-year.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(deficiency) in the Company's consolidated balance sheet at the greater of the initial carrying amount, increased or decreased for contributions, distributions and the noncontrolling interest's share of net income or loss, or its redemption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outstanding equity-based awards.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20" w:type="dxa"/>
            <w:vAlign w:val="bottom"/>
            <w:gridSpan w:val="5"/>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58,066</w:t>
            </w:r>
          </w:p>
        </w:tc>
        <w:tc>
          <w:tcPr>
            <w:tcW w:w="17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64,905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71,746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866</w:t>
            </w:r>
          </w:p>
        </w:tc>
        <w:tc>
          <w:tcPr>
            <w:tcW w:w="1780" w:type="dxa"/>
            <w:vAlign w:val="bottom"/>
            <w:gridSpan w:val="3"/>
          </w:tcPr>
          <w:p>
            <w:pPr>
              <w:jc w:val="right"/>
              <w:ind w:right="19"/>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651</w:t>
            </w:r>
          </w:p>
        </w:tc>
      </w:tr>
      <w:tr>
        <w:trPr>
          <w:trHeight w:val="27"/>
        </w:trPr>
        <w:tc>
          <w:tcPr>
            <w:tcW w:w="64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w:t>
            </w:r>
          </w:p>
        </w:tc>
        <w:tc>
          <w:tcPr>
            <w:tcW w:w="17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65,625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72,410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 AMC Networks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25% of the Company's Board of Directors. AMC Networks Class B stockholders have the right to elect the remaining members of the Company's Board of Directors. In addition, AMC Networks Class B stockholders are parties to an agreement which has the effect of causing the voting power of these AMC Networks Class B stockholders to be cast as a block.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year ended December 31, 2018, the Company repurchased 5.4 million shares of its Class A common stock at an average purchase price of $52.56 per share. As of December 31, 2018, the Company has $559.4 million available for repurchase under the Stock Repurchase Program.</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5"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300" w:type="dxa"/>
            <w:vAlign w:val="bottom"/>
            <w:gridSpan w:val="3"/>
          </w:tcPr>
          <w:p>
            <w:pPr>
              <w:jc w:val="right"/>
              <w:ind w:right="871"/>
              <w:spacing w:after="0"/>
              <w:rPr>
                <w:sz w:val="20"/>
                <w:szCs w:val="20"/>
                <w:color w:val="auto"/>
              </w:rPr>
            </w:pPr>
            <w:r>
              <w:rPr>
                <w:rFonts w:ascii="Arial" w:cs="Arial" w:eastAsia="Arial" w:hAnsi="Arial"/>
                <w:sz w:val="16"/>
                <w:szCs w:val="16"/>
                <w:b w:val="1"/>
                <w:bCs w:val="1"/>
                <w:color w:val="auto"/>
              </w:rPr>
              <w:t>Shares Outstanding</w:t>
            </w:r>
          </w:p>
        </w:tc>
      </w:tr>
      <w:tr>
        <w:trPr>
          <w:trHeight w:val="33"/>
        </w:trPr>
        <w:tc>
          <w:tcPr>
            <w:tcW w:w="8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Class A</w:t>
            </w:r>
          </w:p>
        </w:tc>
        <w:tc>
          <w:tcPr>
            <w:tcW w:w="1580" w:type="dxa"/>
            <w:vAlign w:val="bottom"/>
          </w:tcPr>
          <w:p>
            <w:pPr>
              <w:jc w:val="right"/>
              <w:ind w:right="471"/>
              <w:spacing w:after="0"/>
              <w:rPr>
                <w:sz w:val="20"/>
                <w:szCs w:val="20"/>
                <w:color w:val="auto"/>
              </w:rPr>
            </w:pPr>
            <w:r>
              <w:rPr>
                <w:rFonts w:ascii="Arial" w:cs="Arial" w:eastAsia="Arial" w:hAnsi="Arial"/>
                <w:sz w:val="16"/>
                <w:szCs w:val="16"/>
                <w:b w:val="1"/>
                <w:bCs w:val="1"/>
                <w:color w:val="auto"/>
              </w:rPr>
              <w:t>Class B</w:t>
            </w:r>
          </w:p>
        </w:tc>
      </w:tr>
      <w:tr>
        <w:trPr>
          <w:trHeight w:val="237"/>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Common Stock</w:t>
            </w: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rPr>
              <w:t>Common Stock</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Share repurchases</w:t>
            </w:r>
          </w:p>
        </w:tc>
        <w:tc>
          <w:tcPr>
            <w:tcW w:w="1600" w:type="dxa"/>
            <w:vAlign w:val="bottom"/>
          </w:tcPr>
          <w:p>
            <w:pPr>
              <w:jc w:val="right"/>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and non-employee director stock transactions*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57,079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11,484</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Employee and non-employee director stock transactions*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Share repurchases</w:t>
            </w:r>
          </w:p>
        </w:tc>
        <w:tc>
          <w:tcPr>
            <w:tcW w:w="1600" w:type="dxa"/>
            <w:vAlign w:val="bottom"/>
          </w:tcPr>
          <w:p>
            <w:pPr>
              <w:jc w:val="right"/>
              <w:spacing w:after="0"/>
              <w:rPr>
                <w:sz w:val="20"/>
                <w:szCs w:val="20"/>
                <w:color w:val="auto"/>
              </w:rPr>
            </w:pPr>
            <w:r>
              <w:rPr>
                <w:rFonts w:ascii="Arial" w:cs="Arial" w:eastAsia="Arial" w:hAnsi="Arial"/>
                <w:sz w:val="18"/>
                <w:szCs w:val="18"/>
                <w:color w:val="auto"/>
              </w:rPr>
              <w:t>(5,386)</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and non-employee director stock transactions*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44,749</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11,484</w:t>
            </w: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80" w:hanging="80"/>
        <w:spacing w:after="0" w:line="264" w:lineRule="auto"/>
        <w:rPr>
          <w:sz w:val="20"/>
          <w:szCs w:val="20"/>
          <w:color w:val="auto"/>
        </w:rPr>
      </w:pPr>
      <w:r>
        <w:rPr>
          <w:rFonts w:ascii="Arial" w:cs="Arial" w:eastAsia="Arial" w:hAnsi="Arial"/>
          <w:sz w:val="18"/>
          <w:szCs w:val="18"/>
          <w:color w:val="auto"/>
        </w:rPr>
        <w:t>*Reflects common stock activity in connection with restricted stock units and stock options granted to employees, as well as in connection with the fulfillment of employees' statutory tax withholding obligations for applicable income and other employment taxes and forfeited employee restricted stock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for the first quarter of 2019, with early adoption permitted. The adoption will include updates provided under ASU 2018-10, </w:t>
      </w:r>
      <w:r>
        <w:rPr>
          <w:rFonts w:ascii="Arial" w:cs="Arial" w:eastAsia="Arial" w:hAnsi="Arial"/>
          <w:sz w:val="17"/>
          <w:szCs w:val="17"/>
          <w:i w:val="1"/>
          <w:iCs w:val="1"/>
          <w:color w:val="auto"/>
        </w:rPr>
        <w:t>Codification Improvements to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842, Leases</w:t>
      </w:r>
      <w:r>
        <w:rPr>
          <w:rFonts w:ascii="Arial" w:cs="Arial" w:eastAsia="Arial" w:hAnsi="Arial"/>
          <w:sz w:val="17"/>
          <w:szCs w:val="17"/>
          <w:color w:val="auto"/>
        </w:rPr>
        <w:t>, as well as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The Company will adopt the standard as of January 1, 2019,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effect method of adoption. Accordingly, prior periods will not be restated. We expect to record a right-of-use asset and lease liability of approximately $235 million upon adoption, primarily related to real estate leases. The adoption will not have a material impact on the Company's consolidated financial statements.</w:t>
      </w:r>
    </w:p>
    <w:p>
      <w:pPr>
        <w:spacing w:after="0" w:line="18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ASU 2018-13 changes the disclosure requirements for fair value measurements and is effective for the first quarter of 2020, with early adoption permitted. ASU 2018-13 changes disclosure requirements related to transfers between Level I and II assets, as well as several aspects surrounding the valuation process and unrealized gains and losses related to Level III assets. The Company is currently evaluating the impact the adoption of the modified disclosure requirements will have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expedient in the new standard, the Company does not assess whether a significant financing component exists if the period between when the Company performs its obligations under the contract and when the customer pays is one year or less.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Contracts may be modified to account for changes in contract specifications and requirements. Contract modifications exist when the modification either creates new or changes existing enforceable rights and obligations. The effect of a contract modification on the transaction price and measure of progress for the performance obligation to which it relates, is recognized as an adjustment to revenue (either as an increase in or a reduction of revenue) on a cumulative catch-up basis.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primarily earns revenue from the distribution of its programming services, including licensing of its programming and other content, and advertising. The Company’s revenue recognition policies that summarize the nature, amount, timing and uncertainty associated with each major source of revenue from contracts with customers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on the later of (i) when the subsequent sale or usage occurs and (ii) when the performance obligation to which some or all of the sales-based or usage-based royalty has been allocated has been satisfied or partially satisfied. Occasionally, the Company incurs costs to obtain a distribution contract and these costs are amortized over the period of the related distribution contract as a reduction of revenue.</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Subscription revenue from the Company's direct-to-consumer subscription streaming services is recognized as the streaming service is provided to customers.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Content licensing revenue: The Company licenses its original programming content to certain distributors, including under subscription video on-demand ("SVOD"), pay-per-view ("PPV") and electronic sell-through ("EST") arrangements. Under these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when the content is delivered to the licensee and the license period has begun.The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125"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SVOD arrangements, the Company adjusts the transaction price for the time value of money in cases where license fees are paid over several years. SVOD licensing revenue is recognized at the later of the beginning of the license period, or when we provide the programming to the distributor. The Company recognizes a contract asset for the difference between the revenue recognized and the amount we are permitted to invoice.</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production services arrangements, the Company recognizes revenue based on the percentage of cost incurred to total estimated cost of the contract.</w:t>
      </w:r>
    </w:p>
    <w:p>
      <w:pPr>
        <w:spacing w:after="0" w:line="2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which is generally within one year. Generally, payment terms are 30 days after revenue is earned.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new standard requires disclosure of the aggregate amount of transaction price that is allocated to performance obligations that have not yet been satisfied as of December 31, 2018.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2018, other than contracts for which the Company has applied the practical expedients, the aggregate amount of transaction price allocated to remaining performance obligations was not material to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in the consolidated balance sheet.</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5"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ability to exhibit a program. Such payments are recorded as a contract liability and subsequently recognized when the program becomes available for exhibition.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7"/>
              </w:rPr>
              <w:t>December 31, 2018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1"/>
              </w:rPr>
              <w:t xml:space="preserve">December 31, 2017 </w:t>
            </w:r>
            <w:r>
              <w:rPr>
                <w:rFonts w:ascii="Arial" w:cs="Arial" w:eastAsia="Arial" w:hAnsi="Arial"/>
                <w:sz w:val="21"/>
                <w:szCs w:val="21"/>
                <w:b w:val="1"/>
                <w:bCs w:val="1"/>
                <w:color w:val="auto"/>
                <w:w w:val="91"/>
                <w:vertAlign w:val="superscript"/>
              </w:rPr>
              <w:t>(a)</w:t>
            </w: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from contracts with customers: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Accounts receivable (including long-term, included in 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1,018,105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926,089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26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55,424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46,433</w:t>
            </w: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As noted above, prior period amounts have not been adjusted under the modified retrospective method.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recognized for the twelve months ended December 31, 2018 relating to the contract liability at December 31, 2017 was $71.1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Related Charges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2018, AMCNI recognized a $4.5 million charge, primarily related to program rights, in connection with the disposition of a business.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2017, the Company completed the sale of AMCNI – DMC. In connection with the sale, the Company recognized a pre-tax loss of $11.0 million and an impairment charge of $17.1 million to reflect the AMCNI – DMC assets held for sale at fair value less estimated sale costs, which are included in impairment and related charges in the consolidated statement of income for the year ended December 31, 2017.</w:t>
      </w:r>
    </w:p>
    <w:p>
      <w:pPr>
        <w:spacing w:after="0" w:line="18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2016, management revised its outlook for the growth potential of the Amsterdam-based media logistics facility, AMCNI – DMC, resulting in lower expected future cash flows due to increased competition and evolving broadcast technologies. The Company performed a recoverability test of the long-lived asset group of the AMCNI – DMC business and determined that certain long-lived assets, primarily identifiable intangible assets and analog equipment, were not recoverable. In addition, the Company performed a goodwill impairment evaluation. The fair value of the AMCNI – DMC asset group was measured based on an income approach (discounted cash flow valuation methodology). Impairment and related charges included in the consolidated statement of income for the year ended December 31, 2016 reflect impairment charges of $22.9 million related to property and equipment, $17.7 million related to intangible assets and $27.2 million for the write-down of all AMCNI – DMC related goodwill.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third quarter of 2018, management commenced a restructuring initiative designed to reduce the cost structure of the Company. The restructuring is intended to improve the organizational design of the Company through the elimination of certain roles, a reduction in the grade of certain roles, an increase in the span of responsibilities of certain senior managers, and the re-alignment of certain senior leaders to new or additional responsibilities. This restructuring resulted in a $36.0 million charge for the year ended December 31, 2018 primarily related to severance. The Company expects the majority of the severance payments will be made in 2019.</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fourth quarter of 2018, AMCNI completed a portfolio rationalization review that resulted in the termination of distribution in certain territories, resulting in a $9.9 million charge.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charges recognized in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2018 Restructuring Charges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6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Restructuring</w:t>
            </w:r>
          </w:p>
        </w:tc>
        <w:tc>
          <w:tcPr>
            <w:tcW w:w="340" w:type="dxa"/>
            <w:vAlign w:val="bottom"/>
          </w:tcPr>
          <w:p>
            <w:pPr>
              <w:spacing w:after="0"/>
              <w:rPr>
                <w:sz w:val="13"/>
                <w:szCs w:val="13"/>
                <w:color w:val="auto"/>
              </w:rPr>
            </w:pPr>
          </w:p>
        </w:tc>
        <w:tc>
          <w:tcPr>
            <w:tcW w:w="16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6"/>
              </w:rPr>
              <w:t>Distribution</w:t>
            </w:r>
          </w:p>
        </w:tc>
        <w:tc>
          <w:tcPr>
            <w:tcW w:w="440" w:type="dxa"/>
            <w:vAlign w:val="bottom"/>
          </w:tcPr>
          <w:p>
            <w:pPr>
              <w:spacing w:after="0"/>
              <w:rPr>
                <w:sz w:val="13"/>
                <w:szCs w:val="13"/>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Plan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5"/>
              </w:rPr>
              <w:t>Exits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18,803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16,386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35,963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45,847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125"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2017, the Company incurred restructuring expense related to corporate headquarters severance costs and charges incurred at AMCNI related to costs associated with the termination of distribution in certain territories.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2016, the Company launched a restructuring initiative that involved modifications to the organizational structure which resulted in reduced employee costs and operating expenses primarily through a voluntary buyout program offered to certain employees. The year ended December 31, 2016 also included the impact of elimination of distribution of certain channels in certain territories.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expense (credit) recognized by operating segment: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w:t>
            </w:r>
          </w:p>
        </w:tc>
        <w:tc>
          <w:tcPr>
            <w:tcW w:w="1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w:t>
            </w:r>
          </w:p>
        </w:tc>
        <w:tc>
          <w:tcPr>
            <w:tcW w:w="120" w:type="dxa"/>
            <w:vAlign w:val="bottom"/>
          </w:tcPr>
          <w:p>
            <w:pPr>
              <w:spacing w:after="0"/>
              <w:rPr>
                <w:sz w:val="17"/>
                <w:szCs w:val="17"/>
                <w:color w:val="auto"/>
              </w:rPr>
            </w:pPr>
          </w:p>
        </w:tc>
        <w:tc>
          <w:tcPr>
            <w:tcW w:w="170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Year Ended December</w:t>
            </w:r>
          </w:p>
        </w:tc>
      </w:tr>
      <w:tr>
        <w:trPr>
          <w:trHeight w:val="23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31, 2018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31, 2017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31, 2016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8,516</w:t>
            </w:r>
          </w:p>
        </w:tc>
      </w:tr>
      <w:tr>
        <w:trPr>
          <w:trHeight w:val="270"/>
        </w:trPr>
        <w:tc>
          <w:tcPr>
            <w:tcW w:w="5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International &amp; Other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35,189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6,181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20,987</w:t>
            </w: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Total restructuring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45,847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6,128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29,503</w:t>
            </w: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right="1540" w:hanging="7"/>
        <w:spacing w:after="0" w:line="474" w:lineRule="auto"/>
        <w:tabs>
          <w:tab w:leader="none" w:pos="612"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Restructuring expense in the International and Other segment includes $9.4 million of corporate headquarters severance charges. The following table summarizes the accrued restructuring costs: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Severance and Employee-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Related Costs</w:t>
            </w:r>
          </w:p>
        </w:tc>
        <w:tc>
          <w:tcPr>
            <w:tcW w:w="22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Exit Costs</w:t>
            </w:r>
          </w:p>
        </w:tc>
        <w:tc>
          <w:tcPr>
            <w:tcW w:w="420" w:type="dxa"/>
            <w:vAlign w:val="bottom"/>
          </w:tcPr>
          <w:p>
            <w:pPr>
              <w:spacing w:after="0"/>
              <w:rPr>
                <w:sz w:val="20"/>
                <w:szCs w:val="20"/>
                <w:color w:val="auto"/>
              </w:rPr>
            </w:pPr>
          </w:p>
        </w:tc>
        <w:tc>
          <w:tcPr>
            <w:tcW w:w="140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6,128</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(3,583)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1,236</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45,847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(7,440)</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33,774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35,189</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Accrued restructuring costs of $29.1 million are included in accrued liabilities and $6.1 million are included in other liabilities (long-term) in the consolidated balance sheet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 and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Owned original program rights, net is comprised of $391.8 million of completed programming and $166.4 million of in-production programming at December 31, 2018 and is included as a component of long-term program rights, net in the consolidated balance sheet. The Company estimates that approximately 89% of unamortized owned original programming costs, as of December 31, 2018, will be amortized within the next three years. The Company expects to amortize approximately $225.2 million of unamortized owned original programming costs during the next twelve months. Program rights write-offs of $50.5 million, $49.4 million and $26.2 million were recorded for the years ended December 31, 2018, 2017 and 2016,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Amounts payable subsequent to December 31, 2018 related to program rights obligations included in the consolidated balance sheet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1"/>
        </w:trPr>
        <w:tc>
          <w:tcPr>
            <w:tcW w:w="924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7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343,589</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192,847</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93,604</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51,952</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18,586</w:t>
            </w:r>
          </w:p>
        </w:tc>
      </w:tr>
      <w:tr>
        <w:trPr>
          <w:trHeight w:val="243"/>
        </w:trPr>
        <w:tc>
          <w:tcPr>
            <w:tcW w:w="92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16,260</w:t>
            </w:r>
          </w:p>
        </w:tc>
      </w:tr>
      <w:tr>
        <w:trPr>
          <w:trHeight w:val="27"/>
        </w:trPr>
        <w:tc>
          <w:tcPr>
            <w:tcW w:w="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7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716,838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RLJ Entertainment</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29, 2018, the Company, Digital Entertainment Holdings LLC, a wholly-owned subsidiary of the Company ("DEH"), and River Merger Sub Inc., a wholly-owned subsidiary of DEH ("Merger Sub"), and RLJE entered into an Agreement and Plan of Merger (the "Merger Agreement") pursuant to which the Company agreed to acquire all of the outstanding shares of RLJE not owned by the Company or entities affiliated with Robert L. Johnson. The Merger Agreement provided, upon the terms and subject to the conditions set forth therein, for the merger of Merger Sub with and into RLJE, with RLJE continuing as the surviving corporation and a subsidiary of DEH (the "Merger").</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DEH and RLJE were parties to a Credit and Guaranty Agreement entered into on October 14, 2016 pursuant to which DEH provided term loans to RLJE (the "RLJE Term Loans"). In connection with the RLJE Credit and Guaranty Agreement, DEH received Class A, Class B and Class C warrants to purchase at least 20 million shares of RLJE’s common stock, at a price of $3.00 per share (the "RLJE Warrants").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20, 2017, DEH exercised a portion of its RLJE Class A warrants at $3.00 per share and was issued 1.7 million shares of RLJE common stock in exchange for the cancellation of $5 million of the RLJE Term Loans. As of December 31, 2017, the balance of the RLJE Term Loans was $68 million, consisting of a $13 million Tranche A term loan and a $55 million Tranche B term loan.</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2018, DEH fully exercised the remainder of its Class A warrants at $3.00 per share and was issued 3.3 million shares of RLJE common stock in exchange for the cancellation of $10.0 million of Tranche B of the RLJE Term Loans. On October 1, 2018, DEH also partially exercised its Class B warrant at $3.00 per share and was issued 3.4 million shares of RLJE common stock in exchange for the cancellation of $10.1 million of Tranche B of the RLJE Term Loans. As a result of the warrant exercises, the Company obtained a 51% controlling interest in RLJE and recognized a net gain of $2.6 million relating to the step-up to fair value of the Company's previously held equity interest in RLJE, which is included in miscellaneous, net in the consolidated statement of income for the year ended December 31, 2018.</w:t>
      </w:r>
    </w:p>
    <w:p>
      <w:pPr>
        <w:spacing w:after="0" w:line="19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30, 2018, DEH fully exercised the remainder of its Class B warrants at $3.00 per share and was issued 6.6 million shares of RLJE common stock in exchange for the cancellation of $19.9 million of Tranche B of the RLJE Term Loans. On October 30, 2018, DEH also fully exercised its Class C warrants at $3.00 per share and was issued 5.0 million shares of RLJE common stock in exchange for the cancellation of $15.0 million of Tranche B of the RLJE Term Loans. As a result of the warrant exercises, the full amount of Tranche B of the RLJE Term Loans was canceled.</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31, 2018, the Company completed the acquisition of RLJE pursuant to the terms of the Merger Agreement. At the Effective Time, Merger Sub merged with and into RLJE, with RLJE continuing as the surviving corporation and a wholly owned subsidiary of DEH. The Merger Agreement was approved by the common stockholders of RLJE at a special meeting held earlier on October 31, 2018. The total cash purchase price paid by the Company to acquire the RLJE securities not previously owned by the Company or entities affiliated with Mr. Johnson was $52.2 million.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Effective Time, DEH was renamed "RLJ Entertainment Holdings LLC" ("RLJE Holdings"). RLJE Holdings is a majority owned subsidiary of the Company, with a minority stake of 17% held by affiliates of Mr. Johnson. The Company has entered into arrangements with Mr. Johnson related to the governance of RLJE Holdings and RLJE following the Merger.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RLJE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RLJE acquisition is generally not deductible for tax purposes.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connection with the acquisition of RLJE, the terms of the operating agreement provide the noncontrolling member with a right to put all of its noncontrolling interest to a subsidiary of the Company at the greater of the then fair value or the fair value of the initial equity interest at the closing date of the acquisition. The put option is exercisable following the seventh anniversary of the agreement, or earlier upon a change of control.</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acquisition accounting for RLJE as reflected in these consolidated financial statements is preliminary and based on current estimates and currently available information, and is subject to revision based on final determinations of fair value and final allocations of purchase price to the identifiable assets and liabilities acquired. The primary estimated fair values that are not yet finalized relate to the valuation of intangible assets, other assets, current and noncurrent liabilities, and redeemable noncontrolling interests.</w:t>
      </w:r>
    </w:p>
    <w:p>
      <w:pPr>
        <w:spacing w:after="0" w:line="18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following table summarizes the preliminary valuation of the tangible and identifiable intangible assets acquired and liabilities assumed as of October 1, 2018, the date the Company obtained a controlling interest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41,513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Fair value of previously held interest</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118,978</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redeemable noncontrolling interest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115,619</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276,110</w:t>
            </w:r>
          </w:p>
        </w:tc>
      </w:tr>
      <w:tr>
        <w:trPr>
          <w:trHeight w:val="67"/>
        </w:trPr>
        <w:tc>
          <w:tcPr>
            <w:tcW w:w="96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Allocation to net assets acquired:</w:t>
            </w: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Programming rights</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69,775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2,841</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(equity method investments)</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125,100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(41,401)</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176,459</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99,651</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276,110</w:t>
            </w:r>
          </w:p>
        </w:tc>
      </w:tr>
      <w:tr>
        <w:trPr>
          <w:trHeight w:val="27"/>
        </w:trPr>
        <w:tc>
          <w:tcPr>
            <w:tcW w:w="9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Levity Entertainment Group LLC</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20, 2018, the Company acquired a 57% controlling interest in Levity Entertainment Group LLC ("Levity"), a production services and comedy venues company, for a total purchase price of $48.4 million. The purchase price consisted of a $35.0 million payment for the outstanding Class B Common Units of Levity and the acquisition of Series L Preferred Units for $13.4 million. The Company has entered into arrangements with the noncontrolling members related to the governance of Levity following the Merger. The Company views this acquisition as complementary to its business and programming content strategy.</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Levity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Levity acquisition is generally deductible for tax purposes.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acquisition of Levity, the terms of the operating agreement provide the noncontrolling interest holders with a right to put 50% of their interests to a subsidiary of the Company on the four year anniversary of the agreement and a right to put all of their interests to the Company on the six year anniversary of the agreement. The put rights are at fair market value.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5"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acquisition accounting for Levity as reflected in these consolidated financial statements is preliminary and based on current estimates and currently available information, and is subject to revision based on final determinations of fair value and final allocations of purchase price to the identifiable assets and liabilities acquired. The primary estimated fair values that are not yet finalized relate to the valuation of property and equipment, intangible assets, other assets, current and noncurrent liabilities, and redeemable noncontrolling interests.</w:t>
      </w:r>
    </w:p>
    <w:p>
      <w:pPr>
        <w:spacing w:after="0" w:line="18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following table summarizes the preliminary valuation of the tangible and identifiable intangible assets acquired and liabilities assumed (in thousands).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controlling interest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Allocation to net assets acquired: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Noncontrolling interests acquired</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net assets acquired</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54,709</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unaudited pro forma financial information is based on (i) the historical financial statements of AMC Networks, (ii) the historical financial statements of RLJE and (iii) the historical financial statements of Levity and is intended to provide information about how the acquisitions may have affected the Company's historical consolidated financial statements if they had occurred as of January 1, 2017. The unaudited pro forma information has been prepared for comparative purposes only and includes adjustments for estimated additional depreciation and amortization expense as a result of tangible and identifiable intangible assets acquired. The pro forma information is not necessarily indicative of the results of operations that would have been achieved had the acquisition taken place on the date indicated or that may result in the future.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318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rPr>
              <w:t>Pro Forma Financial Information</w:t>
            </w:r>
          </w:p>
        </w:tc>
        <w:tc>
          <w:tcPr>
            <w:tcW w:w="58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318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5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from operations, net of income taxes</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basic</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per share, diluted</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6.99</w:t>
            </w:r>
          </w:p>
        </w:tc>
      </w:tr>
    </w:tbl>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Revenues, net and operating loss attributable to business acquisitions of $134.9 million and $2.8 million, respectively are included in the consolidated statement of income from their respective acquisition dates to December 31, 2018. For the year ended December 31, 2018, the Company incurred acquisition related costs of $7.3 million which are included in selling, general and administrative expense in the consolidated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holds several investments and loans in non-consolidated entities. Equity method investments were $90.9 million and $61.3 million at December 31, 2018 and 2017, respectively, and are included in Other assets in the consolidated balance sheets. In September 2018, the Company recognized an impairment charge of $3.5 million related to the partial write-down of an equity method investment, which is included in Miscellaneous, net in the consolidated statement of income.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5"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consolidated statements of income.</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Investments in marketable equity securities were $1.2 million at December 31, 2018 and $10.7 million at December 31, 2017 and are included in Other assets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consolidated statements of income.</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5, 2018, the Company made an investment in fuboTV Inc. of $25.0 million, and on April 6, 2018, the Company provided a senior secured term loan to fuboTV Inc. of $25.0 million with a maturity date of April 6, 2023.</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June 2018, the Company recognized an impairment charge of $10.0 million related to the partial write-down of certain non-marketable equity securities.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Investments in non-marketable equity securities were $71.8 million at December 31, 2018 and $46.8 million at December 31, 2017 and are included in Other assets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(including equipment under capital leases) consists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 service and test equipment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212,357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5 years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Satellite equipment</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46,368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46,315</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8 years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Transmission equipment</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58,710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56,035</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107,659</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540,180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443,433</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(293,918)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(259,919)</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246,262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183,514</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on property and equipment (including capital leases) amounted to $48.3 million, $47.6 million and $46.2 million, for the years ended December 31, 2018, 2017 and 2016,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2018 and 2017, the gross amount of equipment and related accumulated amortization recorded under capital leases were as follows: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 equipment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(22,783)</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23,532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125" w:right="2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8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International</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National Networks</w:t>
            </w:r>
          </w:p>
        </w:tc>
        <w:tc>
          <w:tcPr>
            <w:tcW w:w="24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38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50"/>
        </w:trPr>
        <w:tc>
          <w:tcPr>
            <w:tcW w:w="5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657,708</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(2,544)</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39,994</w:t>
            </w: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239,759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455,399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695,158</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123,865</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(1,328)</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(19,658)</w:t>
            </w:r>
          </w:p>
        </w:tc>
      </w:tr>
      <w:tr>
        <w:trPr>
          <w:trHeight w:val="257"/>
        </w:trPr>
        <w:tc>
          <w:tcPr>
            <w:tcW w:w="598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238,431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559,606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798,037</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the carrying amount of goodwill for the International and Other segment relates to the acquisitions of RLJE and Levity (see Note 7).</w:t>
      </w:r>
    </w:p>
    <w:p>
      <w:pPr>
        <w:spacing w:after="0" w:line="1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reduction of $1.3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Impairment Test of Goodwill</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Based on the Company's annual impairment test for goodwill as of December 1, 2018, no impairment charge was required for any of the reporting units. The Company performed a qualitative assessment for all reporting units, with the exception of the International Programming Networks reporting unit. The qualitative assessments included, but were not limited to, consideration of the historical significant excesses of the estimated fair value of the reporting unit over its carrying value (including allocated goodwill), macroeconomic conditions, industry and market considerations, cost factors and historical and projected cash flows. The Company performed a quantitative assessment for the International Programming Networks reporting unit. Based on the quantitative assessment, if the fair value of the International Programming Networks reporting unit decreased by 6%, the Company would be required to record an impairment of goodwill.</w:t>
      </w:r>
    </w:p>
    <w:p>
      <w:pPr>
        <w:spacing w:after="0" w:line="8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assessing the recoverability of goodwill for our International Programming Networks reporting unit, the Company must make assumptions regarding estimated future cash flows and other factors to determine the fair value of the reporting unit. Fair value estimates are made at a specific point in time, based on relevant information. These estimates are subjective in nature and involve uncertainties and matters of significant judgment. Estimates of fair value for goodwill impairment testing are primarily determined using discounted cash flows and comparable market transactions methods. The discounted cash flow method is based on estimates and assumptions of future revenue and expense and an appropriate discount rate. Projected future cash flows primarily include assumptions about renewals of affiliation agreements, the projected number of subscribers and the projected average rates per basic and viewing subscribers, trends in fixed price arrangements, the number of advertising spots and average rate per spot and the cost of program rights, among other assumptions. If these estimates or related assumptions change in the future, the Company may be required to record impairment charges related to goodwill. For example, if future revenue growth is lower than expected, or if programming costs exceed amounts currently expected, and the Company is unable to mitigate the impact of these factors, or if the discount rate used to estimate fair value increases 100 basis points or more, an impairment charge related to the goodwill associated with its International Programming Networks reporting unit may be required.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relating to the Company's identifiable intangible assets:</w:t>
      </w:r>
    </w:p>
    <w:p>
      <w:pPr>
        <w:spacing w:after="0" w:line="34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2018</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353"/>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420" w:type="dxa"/>
            <w:vAlign w:val="bottom"/>
          </w:tcPr>
          <w:p>
            <w:pPr>
              <w:spacing w:after="0"/>
              <w:rPr>
                <w:sz w:val="20"/>
                <w:szCs w:val="20"/>
                <w:color w:val="auto"/>
              </w:rPr>
            </w:pPr>
          </w:p>
        </w:tc>
        <w:tc>
          <w:tcPr>
            <w:tcW w:w="1280" w:type="dxa"/>
            <w:vAlign w:val="bottom"/>
          </w:tcPr>
          <w:p>
            <w:pPr>
              <w:jc w:val="right"/>
              <w:ind w:right="6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580" w:type="dxa"/>
            <w:vAlign w:val="bottom"/>
          </w:tcPr>
          <w:p>
            <w:pPr>
              <w:jc w:val="right"/>
              <w:ind w:right="273"/>
              <w:spacing w:after="0"/>
              <w:rPr>
                <w:sz w:val="20"/>
                <w:szCs w:val="20"/>
                <w:color w:val="auto"/>
              </w:rPr>
            </w:pPr>
            <w:r>
              <w:rPr>
                <w:rFonts w:ascii="Arial" w:cs="Arial" w:eastAsia="Arial" w:hAnsi="Arial"/>
                <w:sz w:val="16"/>
                <w:szCs w:val="16"/>
                <w:b w:val="1"/>
                <w:bCs w:val="1"/>
                <w:color w:val="auto"/>
              </w:rPr>
              <w:t>Useful Lives</w:t>
            </w:r>
          </w:p>
        </w:tc>
      </w:tr>
      <w:tr>
        <w:trPr>
          <w:trHeight w:val="25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620,771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(198,500)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422,271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28,669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118,772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100,801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 to 20 years</w:t>
            </w: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amortizable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799,468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559,007</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819,368</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(240,461)</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578,907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1"/>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2017</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420" w:type="dxa"/>
            <w:vAlign w:val="bottom"/>
          </w:tcPr>
          <w:p>
            <w:pPr>
              <w:spacing w:after="0"/>
              <w:rPr>
                <w:sz w:val="20"/>
                <w:szCs w:val="20"/>
                <w:color w:val="auto"/>
              </w:rPr>
            </w:pPr>
          </w:p>
        </w:tc>
        <w:tc>
          <w:tcPr>
            <w:tcW w:w="1280" w:type="dxa"/>
            <w:vAlign w:val="bottom"/>
          </w:tcPr>
          <w:p>
            <w:pPr>
              <w:jc w:val="right"/>
              <w:ind w:right="6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527,713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(167,911)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359,802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53,761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amortizable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639,157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437,342</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659,057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457,242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amortizable intangible assets relates to the acquisitions of RLJE and Levity (see Note 7).</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Aggregate amortization expense for amortizable intangible assets for the years ended December 31, 2018, 2017 and 2016 was $43.0 million, $47.1 million and $38.6 million, respectively. Amortization expense in 2017 includes a $9.0 million charge from the accelerated amortization of certain identifiable intangible assets at AMCNI. Estimated aggregate amortization expense for intangible assets subject to amortization for each of the following five years 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8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1"/>
        </w:trPr>
        <w:tc>
          <w:tcPr>
            <w:tcW w:w="194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Years Ending December 31,</w:t>
            </w:r>
          </w:p>
        </w:tc>
        <w:tc>
          <w:tcPr>
            <w:tcW w:w="8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8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1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48,341</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48,184</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48,181</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47,558</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47,110</w:t>
            </w:r>
          </w:p>
        </w:tc>
      </w:tr>
      <w:tr>
        <w:trPr>
          <w:trHeight w:val="27"/>
        </w:trPr>
        <w:tc>
          <w:tcPr>
            <w:tcW w:w="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Identifiable Indefinite-Lived Intangible Assets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Based on the Company's 2018 annual impairment test for identifiable indefinite-lived intangible assets, no impairment charge was required. The Company's indefinite-lived intangible assets relate to SundanceTV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15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Significant judgments inherent in estimating the fair value of indefinite-lived intangible assets include the selection of appropriate discount and royalty rates, estimating the amount and timing of estimated future cash flows and identification of</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appropriate continuing growth rate assumptions. The discount rates used in the analysis are intended to reflect the risk inherent in the projected future cash flows generated by the respective intangible assets.</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Liabilities</w:t>
      </w:r>
    </w:p>
    <w:p>
      <w:pPr>
        <w:spacing w:after="0" w:line="229"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Accrued liabilities consist of the following:</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related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accrued expenses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accrued liabilities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long-term debt consists of:</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37465</wp:posOffset>
            </wp:positionV>
            <wp:extent cx="72294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66" w:lineRule="exact"/>
        <w:rPr>
          <w:sz w:val="20"/>
          <w:szCs w:val="20"/>
          <w:color w:val="auto"/>
        </w:rPr>
      </w:pPr>
    </w:p>
    <w:p>
      <w:pPr>
        <w:ind w:left="1320" w:hanging="1311"/>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30,018</w:t>
      </w:r>
    </w:p>
    <w:p>
      <w:pPr>
        <w:spacing w:after="0" w:line="63"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100,729</w:t>
      </w:r>
    </w:p>
    <w:p>
      <w:pPr>
        <w:spacing w:after="0" w:line="6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1,527</w:t>
      </w:r>
    </w:p>
    <w:p>
      <w:pPr>
        <w:spacing w:after="0" w:line="63"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132,644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-310515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31750</wp:posOffset>
            </wp:positionV>
            <wp:extent cx="72294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57" w:lineRule="exact"/>
        <w:rPr>
          <w:sz w:val="20"/>
          <w:szCs w:val="20"/>
          <w:color w:val="auto"/>
        </w:rPr>
      </w:pPr>
    </w:p>
    <w:p>
      <w:pPr>
        <w:ind w:left="1240" w:hanging="1231"/>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264,918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1235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37465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8"/>
        <w:spacing w:after="0"/>
        <w:rPr>
          <w:sz w:val="20"/>
          <w:szCs w:val="20"/>
          <w:color w:val="auto"/>
        </w:rPr>
      </w:pPr>
      <w:r>
        <w:rPr>
          <w:rFonts w:ascii="Arial" w:cs="Arial" w:eastAsia="Arial" w:hAnsi="Arial"/>
          <w:sz w:val="16"/>
          <w:szCs w:val="16"/>
          <w:b w:val="1"/>
          <w:bCs w:val="1"/>
          <w:color w:val="auto"/>
        </w:rPr>
        <w:t>December 31, 2017</w:t>
      </w:r>
    </w:p>
    <w:p>
      <w:pPr>
        <w:spacing w:after="0" w:line="86" w:lineRule="exact"/>
        <w:rPr>
          <w:sz w:val="20"/>
          <w:szCs w:val="20"/>
          <w:color w:val="auto"/>
        </w:rPr>
      </w:pPr>
    </w:p>
    <w:p>
      <w:pPr>
        <w:ind w:left="1298" w:hanging="1298"/>
        <w:spacing w:after="0"/>
        <w:tabs>
          <w:tab w:leader="none" w:pos="1298" w:val="left"/>
        </w:tabs>
        <w:numPr>
          <w:ilvl w:val="0"/>
          <w:numId w:val="30"/>
        </w:numPr>
        <w:rPr>
          <w:rFonts w:ascii="Arial" w:cs="Arial" w:eastAsia="Arial" w:hAnsi="Arial"/>
          <w:sz w:val="16"/>
          <w:szCs w:val="16"/>
          <w:color w:val="auto"/>
        </w:rPr>
      </w:pPr>
      <w:r>
        <w:rPr>
          <w:rFonts w:ascii="Arial" w:cs="Arial" w:eastAsia="Arial" w:hAnsi="Arial"/>
          <w:sz w:val="16"/>
          <w:szCs w:val="16"/>
          <w:color w:val="auto"/>
        </w:rPr>
        <w:t>30,262</w:t>
      </w:r>
    </w:p>
    <w:p>
      <w:pPr>
        <w:spacing w:after="0" w:line="86" w:lineRule="exact"/>
        <w:rPr>
          <w:rFonts w:ascii="Arial" w:cs="Arial" w:eastAsia="Arial" w:hAnsi="Arial"/>
          <w:sz w:val="16"/>
          <w:szCs w:val="16"/>
          <w:color w:val="auto"/>
        </w:rPr>
      </w:pPr>
    </w:p>
    <w:p>
      <w:pPr>
        <w:ind w:left="1218"/>
        <w:spacing w:after="0"/>
        <w:rPr>
          <w:rFonts w:ascii="Arial" w:cs="Arial" w:eastAsia="Arial" w:hAnsi="Arial"/>
          <w:sz w:val="16"/>
          <w:szCs w:val="16"/>
          <w:color w:val="auto"/>
        </w:rPr>
      </w:pPr>
      <w:r>
        <w:rPr>
          <w:rFonts w:ascii="Arial" w:cs="Arial" w:eastAsia="Arial" w:hAnsi="Arial"/>
          <w:sz w:val="16"/>
          <w:szCs w:val="16"/>
          <w:color w:val="auto"/>
        </w:rPr>
        <w:t>117,850</w:t>
      </w:r>
    </w:p>
    <w:p>
      <w:pPr>
        <w:spacing w:after="0" w:line="86" w:lineRule="exact"/>
        <w:rPr>
          <w:rFonts w:ascii="Arial" w:cs="Arial" w:eastAsia="Arial" w:hAnsi="Arial"/>
          <w:sz w:val="16"/>
          <w:szCs w:val="16"/>
          <w:color w:val="auto"/>
        </w:rPr>
      </w:pPr>
    </w:p>
    <w:p>
      <w:pPr>
        <w:ind w:left="1298"/>
        <w:spacing w:after="0"/>
        <w:rPr>
          <w:rFonts w:ascii="Arial" w:cs="Arial" w:eastAsia="Arial" w:hAnsi="Arial"/>
          <w:sz w:val="16"/>
          <w:szCs w:val="16"/>
          <w:color w:val="auto"/>
        </w:rPr>
      </w:pPr>
      <w:r>
        <w:rPr>
          <w:rFonts w:ascii="Arial" w:cs="Arial" w:eastAsia="Arial" w:hAnsi="Arial"/>
          <w:sz w:val="16"/>
          <w:szCs w:val="16"/>
          <w:color w:val="auto"/>
        </w:rPr>
        <w:t>19,558</w:t>
      </w:r>
    </w:p>
    <w:p>
      <w:pPr>
        <w:spacing w:after="0" w:line="86" w:lineRule="exact"/>
        <w:rPr>
          <w:rFonts w:ascii="Arial" w:cs="Arial" w:eastAsia="Arial" w:hAnsi="Arial"/>
          <w:sz w:val="16"/>
          <w:szCs w:val="16"/>
          <w:color w:val="auto"/>
        </w:rPr>
      </w:pPr>
    </w:p>
    <w:p>
      <w:pPr>
        <w:ind w:left="1298"/>
        <w:spacing w:after="0"/>
        <w:rPr>
          <w:rFonts w:ascii="Arial" w:cs="Arial" w:eastAsia="Arial" w:hAnsi="Arial"/>
          <w:sz w:val="16"/>
          <w:szCs w:val="16"/>
          <w:color w:val="auto"/>
        </w:rPr>
      </w:pPr>
      <w:r>
        <w:rPr>
          <w:rFonts w:ascii="Arial" w:cs="Arial" w:eastAsia="Arial" w:hAnsi="Arial"/>
          <w:sz w:val="16"/>
          <w:szCs w:val="16"/>
          <w:color w:val="auto"/>
        </w:rPr>
        <w:t>95,406</w:t>
      </w:r>
    </w:p>
    <w:p>
      <w:pPr>
        <w:spacing w:after="0" w:line="100" w:lineRule="exact"/>
        <w:rPr>
          <w:sz w:val="20"/>
          <w:szCs w:val="20"/>
          <w:color w:val="auto"/>
        </w:rPr>
      </w:pPr>
    </w:p>
    <w:p>
      <w:pPr>
        <w:ind w:left="1218" w:hanging="1218"/>
        <w:spacing w:after="0"/>
        <w:tabs>
          <w:tab w:leader="none" w:pos="1218" w:val="left"/>
        </w:tabs>
        <w:numPr>
          <w:ilvl w:val="0"/>
          <w:numId w:val="31"/>
        </w:numPr>
        <w:rPr>
          <w:rFonts w:ascii="Arial" w:cs="Arial" w:eastAsia="Arial" w:hAnsi="Arial"/>
          <w:sz w:val="16"/>
          <w:szCs w:val="16"/>
          <w:color w:val="auto"/>
        </w:rPr>
      </w:pPr>
      <w:r>
        <w:rPr>
          <w:rFonts w:ascii="Arial" w:cs="Arial" w:eastAsia="Arial" w:hAnsi="Arial"/>
          <w:sz w:val="16"/>
          <w:szCs w:val="16"/>
          <w:color w:val="auto"/>
        </w:rPr>
        <w:t>263,076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226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8"/>
        <w:spacing w:after="0"/>
        <w:rPr>
          <w:sz w:val="20"/>
          <w:szCs w:val="20"/>
          <w:color w:val="auto"/>
        </w:rPr>
      </w:pPr>
      <w:r>
        <w:rPr>
          <w:rFonts w:ascii="Arial" w:cs="Arial" w:eastAsia="Arial" w:hAnsi="Arial"/>
          <w:sz w:val="15"/>
          <w:szCs w:val="15"/>
          <w:b w:val="1"/>
          <w:bCs w:val="1"/>
          <w:color w:val="auto"/>
        </w:rPr>
        <w:t>December 31, 2017</w:t>
      </w:r>
    </w:p>
    <w:p>
      <w:pPr>
        <w:spacing w:after="0" w:line="96" w:lineRule="exact"/>
        <w:rPr>
          <w:sz w:val="20"/>
          <w:szCs w:val="20"/>
          <w:color w:val="auto"/>
        </w:rPr>
      </w:pPr>
    </w:p>
    <w:p>
      <w:pPr>
        <w:sectPr>
          <w:pgSz w:w="11900" w:h="16838" w:orient="portrait"/>
          <w:cols w:equalWidth="0" w:num="3">
            <w:col w:w="6720" w:space="720"/>
            <w:col w:w="1900" w:space="162"/>
            <w:col w:w="1918"/>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Senior Secured Credit Facility: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750,000</w:t>
            </w:r>
          </w:p>
        </w:tc>
      </w:tr>
      <w:tr>
        <w:trPr>
          <w:trHeight w:val="27"/>
        </w:trPr>
        <w:tc>
          <w:tcPr>
            <w:tcW w:w="7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90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5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800,000</w:t>
            </w:r>
          </w:p>
        </w:tc>
      </w:tr>
      <w:tr>
        <w:trPr>
          <w:trHeight w:val="27"/>
        </w:trPr>
        <w:tc>
          <w:tcPr>
            <w:tcW w:w="8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90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5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600,000</w:t>
            </w:r>
          </w:p>
        </w:tc>
      </w:tr>
      <w:tr>
        <w:trPr>
          <w:trHeight w:val="27"/>
        </w:trPr>
        <w:tc>
          <w:tcPr>
            <w:tcW w:w="8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Other debt</w:t>
            </w:r>
          </w:p>
        </w:tc>
        <w:tc>
          <w:tcPr>
            <w:tcW w:w="6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5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3,152,584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3,150,000</w:t>
            </w:r>
          </w:p>
        </w:tc>
      </w:tr>
      <w:tr>
        <w:trPr>
          <w:trHeight w:val="27"/>
        </w:trPr>
        <w:tc>
          <w:tcPr>
            <w:tcW w:w="7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discount</w:t>
            </w: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(33,776)</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Unamortized deferred financing costs</w:t>
            </w:r>
          </w:p>
        </w:tc>
        <w:tc>
          <w:tcPr>
            <w:tcW w:w="5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(16,967)</w:t>
            </w:r>
          </w:p>
        </w:tc>
      </w:tr>
      <w:tr>
        <w:trPr>
          <w:trHeight w:val="27"/>
        </w:trPr>
        <w:tc>
          <w:tcPr>
            <w:tcW w:w="77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5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3,109,555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3,099,257</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21,334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portion of long-term debt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3,088,221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3,099,257</w:t>
            </w:r>
          </w:p>
        </w:tc>
      </w:tr>
      <w:tr>
        <w:trPr>
          <w:trHeight w:val="20"/>
        </w:trPr>
        <w:tc>
          <w:tcPr>
            <w:tcW w:w="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Amended and Restated Senior Secured Credit Facility</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Bank of America, as an L/C Issuer, and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below and (b) a $500 million revolving credit facility (the "Revolving Facility") that was not drawn upon initially. Under the Credit Agreement, the maturity date of the Term Loan A Facility was extended to July 28, 2023 and the maturity date of the Revolving Facility was extended to July 28, 2022.</w:t>
      </w:r>
    </w:p>
    <w:p>
      <w:pPr>
        <w:spacing w:after="0" w:line="1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Eurodollar rate plus an additional rate ranging from 1.25% to 2.25% per annum (determined based on a cash flow ratio) (the "Eurodollar Rate"), provided that for the six month period following the closing date, the additional rate used in calculating both floating rates was (i) 0.50% per annum for borrowings bearing the Base Rate, and (ii) 1.50% per annum for borrowings bearing the Eurodollar Rate.</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w:t>
      </w:r>
    </w:p>
    <w:p>
      <w:pPr>
        <w:sectPr>
          <w:pgSz w:w="11900" w:h="16838" w:orient="portrait"/>
          <w:cols w:equalWidth="0" w:num="1">
            <w:col w:w="11420"/>
          </w:cols>
          <w:pgMar w:left="240" w:top="125"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5"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also are required to pay customary letter of credit fees, as well as fronting fees, to banks that issue letters of credit pursuant to the Credit Agreement.</w:t>
      </w:r>
    </w:p>
    <w:p>
      <w:pPr>
        <w:spacing w:after="0" w:line="2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6.00:1 initially and decreasing in steps down to 5.00:1 on and after January 1, 2022, subject to increase if AMC Networks consummates any leveraging acquisition; and (ii) a minimum ratio of annual operating cash flow to annual total interest expense (as defined in the Credit Agreement) of 2.50:1.</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credit facility was not drawn upon at December 31, 2018. The total undrawn revolver commitment is available to be drawn for our general corporate purposes.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AMC Networks was in compliance with all of its financial covenants under the Credit Facility as of December 31, 2018.</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year ended December 31, 2017, in connection with the issuance of the 4.75% Notes due 2025 and the amendment to the Credit Agreement, AMC Networks incurred a loss on extinguishment of debt of $3.0 million for the write-off of a portion of unamortized deferred financing costs, and incurred financing costs of $10.4 million, of which $9.4 million were deferred and are being amortized, using the effective interest method, to interest expense over the term of the related borrowing, and $1.0 million were expensed when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Notes due 2025</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July 28, 2017, AMC Networks issued, and certain of AMC Networks' subsidiaries (hereinafter,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4.75% Notes due 2025 bear interest at a rate of 4.75% per annum and mature on August 1, 2025. Interest is payable semiannually on February 1 and August 1 of each year, commencing on February 1, 2018. The 4.75% Notes due 2025 are AMC Networks' general senior unsecured obligations and rank equally with all of AMC Networks' and the Guarantors' existing and future unsecured and unsubordinated indebtedness, but are effectively subordinated to all of AMC Networks' and the guarantors' existing and future secured indebtedness, including all borrowings and guarantees under the Credit Agreement referred to above, to the extent of the assets securing that indebtedness. The 4.75% Notes due 2025 are subject to redemption on the terms set forth in the Second Supplemental Indenture.</w:t>
      </w:r>
    </w:p>
    <w:p>
      <w:pPr>
        <w:spacing w:after="0" w:line="19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4.75% Notes due 2025 may be redeemed, at AMC Networks' option, in whole or in part, at any time on or after August 1, 2021,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August 1, 2023.</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optional redemption of the 4.75% Notes due 2025 described above, at any time prior to August 1, 2020, AMC Networks may redeem up to 35% of the aggregate principal amount of the 4.75% Notes due 2025 at a redemption price equal to 104.750% of the principal amount thereof, plus accrued and unpaid interest and additional interest, if any, using the net proceeds of certain equity offerings.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Finally, at any time prior to August 1, 2021, AMC Networks may redeem the 4.75% Notes due 2025, at its option in whole or in part, at any time and from time to time, at a redemption price equal to 100% of the principal amount thereof to be redeemed plus the "Applicable Premium" calculated as described in the Second Supplemental Indenture at the rate of T+50 basis points, and accrued and unpaid interest thereon, if any, to, but excluding, the redemption date.</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indenture governing the 4.75% Notes due 2025 contains certain affirmative and negative covenants applicable to AMC Networks and its restricted subsidiaries including restrictions on their ability to incur additional indebtedness, consummate certain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5.00% Notes due 2024</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30, 2016, the Company issued $1.0 billion in aggregate principal amount of 5.00% senior notes due 2024 (the "5.00% Notes due 2024"), net of an issuance discount of $17.5 million. AMC Networks used $703 million of the net proceeds of this offering to make a cash tender ("Tender Offer") for its outstanding 7.75% Notes due 2021 (the "7.75% Notes"). In addition, $45.6 million of the proceeds from the issuance of the 5.00% Notes due 2024 was used for the redemption of the 7.75% Notes not tendered. The remaining proceeds are for general corporate purposes. The 5.00% Notes due 2024 were issued pursuant to an indenture dated as of March 30, 2016.</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issuance of the 5.00% Notes due 2024, AMC Networks incurred deferred financing costs of $2.1 million, which are being amortized, using the effective interest method, to interest expense over the term of the 5.00% Notes due 2024.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on the 5.00% Notes due 2024 is payable semi-annually in arrears on April 1 and October 1 of each year.</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5.00% Notes due 2024 may be redeemed, in whole or in part, at any time on or after April 1, 2020, at a redemption price equal to 102.5% of the principal amount thereof (plus accrued and unpaid interest thereon, if any, to the date of such redemption), declining annually to 100% of the principal amount thereof (plus accrued and unpaid interest thereon, if any, to the date of such redemption) beginning on April 1, 2022.</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5.00% Notes due 2024 are guaranteed on a senior unsecured basis by the Guarantors, in accordance with the indenture governing the 5.00% Notes due 2024. The guarantees under the 5.00% Notes due 2024 are full and unconditional and joint and several.</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indenture governing the 5.00% Notes due 2024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Senior Notes due 2022</w:t>
      </w:r>
    </w:p>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17, 2012, AMC Networks issued $600 million in aggregate principal amount of its 4.75% senior notes, net of an issuance discount of $10.5 million, due December 15, 2022 (the "4.75% Notes due 2022"). AMC Networks used the net proceeds of this offering to repay the outstanding amount under its term loan B facility of approximately $587.6 million, with the remaining proceeds used for general corporate purposes. The 4.75% Notes due 2022 were issued pursuant to an indenture, and first supplemental indenture, each dated as of December 17, 2012.</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issuance of the 4.75% Notes due 2022, AMC Networks incurred deferred financing costs of $1.5 million, which are being amortized, using the effective interest method, to interest expense over the term of the 4.75% Notes due 2022.</w:t>
      </w:r>
    </w:p>
    <w:p>
      <w:pPr>
        <w:spacing w:after="0" w:line="1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on the 4.75% Notes due 2022 accrues at the rate of 4.75% per annum and is payable semi-annually in arrears on June 15 and December 15 of each year.</w:t>
      </w:r>
    </w:p>
    <w:p>
      <w:pPr>
        <w:spacing w:after="0" w:line="1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4.75% Notes due 2022 may be redeemed, in whole or in part,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December 15, 2020.</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4.75% Notes due 2022 are guaranteed on a senior unsecured basis by the Guarantors, in accordance with the indenture governing the 4.75% Notes due 2022. The guarantees under the 4.75% Notes due 2022 are full and unconditional and joint and several.</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indenture governing the 4.75% Notes due 2022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Debt</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a result of the acquisition of RLJE, the Company, through one of its subsidiaries, maintains a loan facility with a U.K. bank to partially fund certain productions. The maximum principal amount of borrowings under the facility is £2.4 million or approximately $3.1 million. The loan matures on June 30, 2019. Interest is payable quarterly on the outstanding principal amount of the loan at an annual rate that is 2.1% above the bank’s cost of funding rate or other mutually agreed upon rate. The loan is secured against intercompany distribution agreements and a third-party licensee distribution agreement.</w:t>
      </w:r>
    </w:p>
    <w:p>
      <w:pPr>
        <w:spacing w:after="0" w:line="154" w:lineRule="exact"/>
        <w:rPr>
          <w:sz w:val="20"/>
          <w:szCs w:val="20"/>
          <w:color w:val="auto"/>
        </w:rPr>
      </w:pPr>
    </w:p>
    <w:p>
      <w:pPr>
        <w:ind w:left="60" w:firstLine="405"/>
        <w:spacing w:after="0" w:line="308" w:lineRule="auto"/>
        <w:rPr>
          <w:sz w:val="20"/>
          <w:szCs w:val="20"/>
          <w:color w:val="auto"/>
        </w:rPr>
      </w:pPr>
      <w:r>
        <w:rPr>
          <w:rFonts w:ascii="Arial" w:cs="Arial" w:eastAsia="Arial" w:hAnsi="Arial"/>
          <w:sz w:val="17"/>
          <w:szCs w:val="17"/>
          <w:color w:val="auto"/>
        </w:rPr>
        <w:t>As a result of the acquisition of Levity, the Company has two lines of credit totaling $5 million. The lines of credit bear interest at the greater of 3.5% or the prime rate and mature on August 25, 2019. There were no outstanding borrowings on either line of credit as of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Total amounts payable by the Company under its various debt obligations (excluding capital leases) outstanding as of December 31, 2018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8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1"/>
        </w:trPr>
        <w:tc>
          <w:tcPr>
            <w:tcW w:w="194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Years Ending December 31,</w:t>
            </w:r>
          </w:p>
        </w:tc>
        <w:tc>
          <w:tcPr>
            <w:tcW w:w="8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82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21,334</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56,250</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775,000</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1,225,000</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8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I—Quoted prices for identical instruments in active markets.</w:t>
      </w:r>
    </w:p>
    <w:p>
      <w:pPr>
        <w:spacing w:after="0" w:line="22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III—Instruments whose significant value drivers are unobservable.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December 31, 2018 and December 31,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20" w:type="dxa"/>
            <w:vAlign w:val="bottom"/>
            <w:tcBorders>
              <w:top w:val="single" w:sz="8" w:color="CCEEFF"/>
              <w:bottom w:val="single" w:sz="8" w:color="CCEEFF"/>
            </w:tcBorders>
            <w:shd w:val="clear" w:color="auto" w:fill="CCEEFF"/>
          </w:tcPr>
          <w:p>
            <w:pPr>
              <w:ind w:left="1720"/>
              <w:spacing w:after="0"/>
              <w:rPr>
                <w:sz w:val="20"/>
                <w:szCs w:val="20"/>
                <w:color w:val="auto"/>
              </w:rPr>
            </w:pPr>
            <w:r>
              <w:rPr>
                <w:rFonts w:ascii="Arial" w:cs="Arial" w:eastAsia="Arial" w:hAnsi="Arial"/>
                <w:sz w:val="16"/>
                <w:szCs w:val="16"/>
                <w:b w:val="1"/>
                <w:bCs w:val="1"/>
                <w:color w:val="auto"/>
              </w:rPr>
              <w:t>At December 31, 2018: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68,498</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1,173</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3,121</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6"/>
                <w:szCs w:val="16"/>
                <w:b w:val="1"/>
                <w:bCs w:val="1"/>
                <w:color w:val="auto"/>
              </w:rPr>
              <w:t>At December 31, 2017: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100,615</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10,709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10,709</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9,948</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1,444</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37,065</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4,475</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17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Company's interest rate swap contracts, foreign currency derivatives and the embedded derivative for the interest on the RLJE Term Loans to be paid in shares of RLJE common stock (see Note 14) are classified within Level II of the fair value hierarchy and their fair values are determined based on a market approach valuation technique that uses readily observable market parameters and the consideration of counterparty risk.</w:t>
      </w:r>
    </w:p>
    <w:p>
      <w:pPr>
        <w:spacing w:after="0" w:line="16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On October 14, 2016, DEH and RLJE entered into a Credit and Guaranty Agreement pursuant to which DEH provided to RLJE the RLJE Term Loans and received the RLJE Warrants. During 2018, the RLJE Warrants were fully exercised (See Note 7). As of December 31, 2017, the RLJE Warrants held by the Company were classified within Level III of the fair value hierarchy. The Company determined the value of the RLJE Warrants using a Black Scholes option pricing model. Inputs to the model were stock price volatility, contractual warrant terms (remaining life of the warrants), exercise price, risk-free interest rate, and the RLJE stock price. The equity volatility used was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w:t>
      </w:r>
    </w:p>
    <w:p>
      <w:pPr>
        <w:spacing w:after="0" w:line="1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years ended December 31, 2018 and 2017, the Company recorded a gain of $30.2 million and $20.2 million, respectively, related to the RLJE Warrants which is included in Miscellaneous, net in the consolidated statement of income.</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31, 2018, the Company does not have any other assets or liabilities measured at fair value on a recurring basis that would be considered Level III.</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consolidated balance sheets are summarized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 2018</w:t>
            </w:r>
          </w:p>
        </w:tc>
        <w:tc>
          <w:tcPr>
            <w:tcW w:w="14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7"/>
              </w:rPr>
              <w:t>Carrying</w:t>
            </w:r>
          </w:p>
        </w:tc>
        <w:tc>
          <w:tcPr>
            <w:tcW w:w="64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0"/>
                <w:szCs w:val="20"/>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Amount</w:t>
            </w: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Term Loan A Facility</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739,710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738,750</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4.75% Notes due August 2025</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786,458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720,000</w:t>
            </w:r>
          </w:p>
        </w:tc>
      </w:tr>
      <w:tr>
        <w:trPr>
          <w:trHeight w:val="243"/>
        </w:trPr>
        <w:tc>
          <w:tcPr>
            <w:tcW w:w="20" w:type="dxa"/>
            <w:vAlign w:val="bottom"/>
          </w:tcPr>
          <w:p>
            <w:pPr>
              <w:spacing w:after="0"/>
              <w:rPr>
                <w:sz w:val="21"/>
                <w:szCs w:val="21"/>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5.00% Notes due April 2024</w:t>
            </w:r>
          </w:p>
        </w:tc>
        <w:tc>
          <w:tcPr>
            <w:tcW w:w="4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986,275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947,500</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4.75% Notes due December 2022</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594,528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580,500</w:t>
            </w:r>
          </w:p>
        </w:tc>
      </w:tr>
      <w:tr>
        <w:trPr>
          <w:trHeight w:val="243"/>
        </w:trPr>
        <w:tc>
          <w:tcPr>
            <w:tcW w:w="20" w:type="dxa"/>
            <w:vAlign w:val="bottom"/>
          </w:tcPr>
          <w:p>
            <w:pPr>
              <w:spacing w:after="0"/>
              <w:rPr>
                <w:sz w:val="21"/>
                <w:szCs w:val="21"/>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Other debt</w:t>
            </w:r>
          </w:p>
        </w:tc>
        <w:tc>
          <w:tcPr>
            <w:tcW w:w="4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2,584</w:t>
            </w:r>
          </w:p>
        </w:tc>
      </w:tr>
      <w:tr>
        <w:trPr>
          <w:trHeight w:val="27"/>
        </w:trPr>
        <w:tc>
          <w:tcPr>
            <w:tcW w:w="2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3,109,555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2,989,334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 2017</w:t>
            </w:r>
          </w:p>
        </w:tc>
        <w:tc>
          <w:tcPr>
            <w:tcW w:w="140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7"/>
              </w:rPr>
              <w:t>Carrying</w:t>
            </w:r>
          </w:p>
        </w:tc>
        <w:tc>
          <w:tcPr>
            <w:tcW w:w="640" w:type="dxa"/>
            <w:vAlign w:val="bottom"/>
          </w:tcPr>
          <w:p>
            <w:pPr>
              <w:spacing w:after="0"/>
              <w:rPr>
                <w:sz w:val="18"/>
                <w:szCs w:val="18"/>
                <w:color w:val="auto"/>
              </w:rPr>
            </w:pPr>
          </w:p>
        </w:tc>
        <w:tc>
          <w:tcPr>
            <w:tcW w:w="1400" w:type="dxa"/>
            <w:vAlign w:val="bottom"/>
          </w:tcPr>
          <w:p>
            <w:pPr>
              <w:ind w:left="40"/>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0"/>
                <w:szCs w:val="20"/>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5"/>
              </w:rPr>
              <w:t>Amount</w:t>
            </w:r>
          </w:p>
        </w:tc>
        <w:tc>
          <w:tcPr>
            <w:tcW w:w="64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20" w:type="dxa"/>
            <w:vAlign w:val="bottom"/>
          </w:tcPr>
          <w:p>
            <w:pPr>
              <w:spacing w:after="0"/>
              <w:rPr>
                <w:sz w:val="21"/>
                <w:szCs w:val="21"/>
                <w:color w:val="auto"/>
              </w:rPr>
            </w:pPr>
          </w:p>
        </w:tc>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tcPr>
          <w:p>
            <w:pPr>
              <w:ind w:left="380"/>
              <w:spacing w:after="0"/>
              <w:rPr>
                <w:sz w:val="20"/>
                <w:szCs w:val="20"/>
                <w:color w:val="auto"/>
              </w:rPr>
            </w:pPr>
            <w:r>
              <w:rPr>
                <w:rFonts w:ascii="Arial" w:cs="Arial" w:eastAsia="Arial" w:hAnsi="Arial"/>
                <w:sz w:val="18"/>
                <w:szCs w:val="18"/>
                <w:color w:val="auto"/>
              </w:rPr>
              <w:t>Term Loan A facility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737,140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748,125</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 Notes due August 2025</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793,000</w:t>
            </w:r>
          </w:p>
        </w:tc>
      </w:tr>
      <w:tr>
        <w:trPr>
          <w:trHeight w:val="243"/>
        </w:trPr>
        <w:tc>
          <w:tcPr>
            <w:tcW w:w="20" w:type="dxa"/>
            <w:vAlign w:val="bottom"/>
          </w:tcPr>
          <w:p>
            <w:pPr>
              <w:spacing w:after="0"/>
              <w:rPr>
                <w:sz w:val="21"/>
                <w:szCs w:val="21"/>
                <w:color w:val="auto"/>
              </w:rPr>
            </w:pPr>
          </w:p>
        </w:tc>
        <w:tc>
          <w:tcPr>
            <w:tcW w:w="7180" w:type="dxa"/>
            <w:vAlign w:val="bottom"/>
          </w:tcPr>
          <w:p>
            <w:pPr>
              <w:ind w:left="380"/>
              <w:spacing w:after="0"/>
              <w:rPr>
                <w:sz w:val="20"/>
                <w:szCs w:val="20"/>
                <w:color w:val="auto"/>
              </w:rPr>
            </w:pPr>
            <w:r>
              <w:rPr>
                <w:rFonts w:ascii="Arial" w:cs="Arial" w:eastAsia="Arial" w:hAnsi="Arial"/>
                <w:sz w:val="18"/>
                <w:szCs w:val="18"/>
                <w:color w:val="auto"/>
              </w:rPr>
              <w:t>5.00% Notes due April 2024</w:t>
            </w: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984,056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1,012,500</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 Notes due December 2022</w:t>
            </w: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612,750</w:t>
            </w: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3,099,257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3,166,375</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LIBOR index rate, the designated benchmark interest rate being hedged (the "hedged risk"), on an amount of the Company's debt principal equal to the then-outstanding swap notional. The forecasted interest payments are deemed to be probable of occurring.</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an interest rate swap contract which is designated as a hedging instrument is recorded in current-period earnings. Changes in fair value of interest rate swap contracts not designated as hedging instruments are also recognized in earnings and included in interest expense.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2018, the Company had interest rate swap contracts outstanding with notional amounts aggregating $100.0 million that are designated as cash flow hedges. The Company's outstanding interest rate swap contracts mature in December 2021.</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144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RLJE Warrants held by the Company meet the definition of a derivative. During 2018, the RLJE Warrants were fully exercised (See Note 7). The RLJE Warrants are included in other assets in the consolidated balance sheet as of December 31, 2017. In addition, the interest on the RLJE Term Loans to be paid in shares of RLJE common stock is an embedded derivative. Both the RLJE Warrants and the embedded derivative for the future interest to be paid in shares of RLJE common stock were remeasured at the end of each period with changes in fair value recorded in the consolidated statement of income. For the years ended December 31, 2018 and 2017, the Company recorded a gain of $42.1 million and $24.2 million, respectively, related to these derivatives, which is included in miscellaneous, net in the consolidated statements of income.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financial instruments included in the consolidated balance sheets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340" w:type="dxa"/>
            <w:vAlign w:val="bottom"/>
            <w:gridSpan w:val="2"/>
          </w:tcPr>
          <w:p>
            <w:pPr>
              <w:ind w:left="1300"/>
              <w:spacing w:after="0"/>
              <w:rPr>
                <w:sz w:val="20"/>
                <w:szCs w:val="20"/>
                <w:color w:val="auto"/>
              </w:rPr>
            </w:pPr>
            <w:r>
              <w:rPr>
                <w:rFonts w:ascii="Arial" w:cs="Arial" w:eastAsia="Arial" w:hAnsi="Arial"/>
                <w:sz w:val="16"/>
                <w:szCs w:val="16"/>
                <w:b w:val="1"/>
                <w:bCs w:val="1"/>
                <w:color w:val="auto"/>
              </w:rPr>
              <w:t>Balance Sheet Location</w:t>
            </w:r>
          </w:p>
        </w:tc>
        <w:tc>
          <w:tcPr>
            <w:tcW w:w="2080" w:type="dxa"/>
            <w:vAlign w:val="bottom"/>
            <w:gridSpan w:val="3"/>
          </w:tcPr>
          <w:p>
            <w:pPr>
              <w:ind w:left="1060"/>
              <w:spacing w:after="0"/>
              <w:rPr>
                <w:sz w:val="20"/>
                <w:szCs w:val="20"/>
                <w:color w:val="auto"/>
              </w:rPr>
            </w:pPr>
            <w:r>
              <w:rPr>
                <w:rFonts w:ascii="Arial" w:cs="Arial" w:eastAsia="Arial" w:hAnsi="Arial"/>
                <w:sz w:val="16"/>
                <w:szCs w:val="16"/>
                <w:b w:val="1"/>
                <w:bCs w:val="1"/>
                <w:color w:val="auto"/>
                <w:w w:val="96"/>
              </w:rPr>
              <w:t>December 31,</w:t>
            </w:r>
          </w:p>
        </w:tc>
        <w:tc>
          <w:tcPr>
            <w:tcW w:w="9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39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4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6"/>
              </w:rPr>
              <w:t>Derivatives designated as hedging instruments:</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3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1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w w:val="89"/>
              </w:rPr>
              <w:t>Derivatives not designated as hedging instruments:</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943</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2,858</w:t>
            </w:r>
          </w:p>
        </w:tc>
      </w:tr>
      <w:tr>
        <w:trPr>
          <w:trHeight w:val="243"/>
        </w:trPr>
        <w:tc>
          <w:tcPr>
            <w:tcW w:w="20" w:type="dxa"/>
            <w:vAlign w:val="bottom"/>
          </w:tcPr>
          <w:p>
            <w:pPr>
              <w:spacing w:after="0"/>
              <w:rPr>
                <w:sz w:val="21"/>
                <w:szCs w:val="21"/>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Interest rate swap contracts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derivatives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w:t>
            </w:r>
          </w:p>
        </w:tc>
      </w:tr>
      <w:tr>
        <w:trPr>
          <w:trHeight w:val="203"/>
        </w:trPr>
        <w:tc>
          <w:tcPr>
            <w:tcW w:w="20" w:type="dxa"/>
            <w:vAlign w:val="bottom"/>
          </w:tcPr>
          <w:p>
            <w:pPr>
              <w:spacing w:after="0"/>
              <w:rPr>
                <w:sz w:val="17"/>
                <w:szCs w:val="17"/>
                <w:color w:val="auto"/>
              </w:rPr>
            </w:pPr>
          </w:p>
        </w:tc>
        <w:tc>
          <w:tcPr>
            <w:tcW w:w="3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1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r>
      <w:tr>
        <w:trPr>
          <w:trHeight w:val="243"/>
        </w:trPr>
        <w:tc>
          <w:tcPr>
            <w:tcW w:w="20" w:type="dxa"/>
            <w:vAlign w:val="bottom"/>
          </w:tcPr>
          <w:p>
            <w:pPr>
              <w:spacing w:after="0"/>
              <w:rPr>
                <w:sz w:val="21"/>
                <w:szCs w:val="21"/>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3,252</w:t>
            </w:r>
          </w:p>
        </w:tc>
      </w:tr>
      <w:tr>
        <w:trPr>
          <w:trHeight w:val="59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340" w:type="dxa"/>
            <w:vAlign w:val="bottom"/>
            <w:gridSpan w:val="2"/>
          </w:tcPr>
          <w:p>
            <w:pPr>
              <w:ind w:left="1520"/>
              <w:spacing w:after="0"/>
              <w:rPr>
                <w:sz w:val="20"/>
                <w:szCs w:val="20"/>
                <w:color w:val="auto"/>
              </w:rPr>
            </w:pPr>
            <w:r>
              <w:rPr>
                <w:rFonts w:ascii="Arial" w:cs="Arial" w:eastAsia="Arial" w:hAnsi="Arial"/>
                <w:sz w:val="18"/>
                <w:szCs w:val="18"/>
                <w:color w:val="auto"/>
              </w:rPr>
              <w:t>F-31</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amount of the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(Loss) in Earnings</w:t>
            </w:r>
          </w:p>
        </w:tc>
        <w:tc>
          <w:tcPr>
            <w:tcW w:w="1020" w:type="dxa"/>
            <w:vAlign w:val="bottom"/>
          </w:tcPr>
          <w:p>
            <w:pPr>
              <w:spacing w:after="0"/>
              <w:rPr>
                <w:sz w:val="18"/>
                <w:szCs w:val="18"/>
                <w:color w:val="auto"/>
              </w:rPr>
            </w:pPr>
          </w:p>
        </w:tc>
        <w:tc>
          <w:tcPr>
            <w:tcW w:w="2280" w:type="dxa"/>
            <w:vAlign w:val="bottom"/>
            <w:gridSpan w:val="3"/>
          </w:tcPr>
          <w:p>
            <w:pPr>
              <w:jc w:val="right"/>
              <w:ind w:right="1040"/>
              <w:spacing w:after="0"/>
              <w:rPr>
                <w:sz w:val="20"/>
                <w:szCs w:val="20"/>
                <w:color w:val="auto"/>
              </w:rPr>
            </w:pPr>
            <w:r>
              <w:rPr>
                <w:rFonts w:ascii="Arial" w:cs="Arial" w:eastAsia="Arial" w:hAnsi="Arial"/>
                <w:sz w:val="16"/>
                <w:szCs w:val="16"/>
                <w:b w:val="1"/>
                <w:bCs w:val="1"/>
                <w:color w:val="auto"/>
                <w:w w:val="96"/>
              </w:rPr>
              <w:t>into Earnings (a)</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3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2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2017</w:t>
            </w:r>
          </w:p>
        </w:tc>
      </w:tr>
      <w:tr>
        <w:trPr>
          <w:trHeight w:val="33"/>
        </w:trPr>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-8255</wp:posOffset>
            </wp:positionV>
            <wp:extent cx="722947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20" w:space="100"/>
            <w:col w:w="8800"/>
          </w:cols>
          <w:pgMar w:left="240" w:top="125" w:right="239" w:bottom="1440" w:gutter="0" w:footer="0" w:header="0"/>
          <w:type w:val="continuous"/>
        </w:sectPr>
      </w:pPr>
    </w:p>
    <w:p>
      <w:pPr>
        <w:ind w:left="40"/>
        <w:spacing w:after="0"/>
        <w:tabs>
          <w:tab w:leader="none" w:pos="2640" w:val="left"/>
          <w:tab w:leader="none" w:pos="3800" w:val="left"/>
          <w:tab w:leader="none" w:pos="4360" w:val="left"/>
          <w:tab w:leader="none" w:pos="5560" w:val="left"/>
          <w:tab w:leader="none" w:pos="6420" w:val="left"/>
          <w:tab w:leader="none" w:pos="8100" w:val="left"/>
          <w:tab w:leader="none" w:pos="9380" w:val="left"/>
          <w:tab w:leader="none" w:pos="9800" w:val="left"/>
          <w:tab w:leader="none" w:pos="1100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(356)</w:t>
        <w:tab/>
        <w:t>$</w:t>
      </w:r>
      <w:r>
        <w:rPr>
          <w:sz w:val="20"/>
          <w:szCs w:val="20"/>
          <w:color w:val="auto"/>
        </w:rPr>
        <w:tab/>
      </w:r>
      <w:r>
        <w:rPr>
          <w:rFonts w:ascii="Arial" w:cs="Arial" w:eastAsia="Arial" w:hAnsi="Arial"/>
          <w:sz w:val="18"/>
          <w:szCs w:val="18"/>
          <w:color w:val="auto"/>
        </w:rPr>
        <w:t>565</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31750</wp:posOffset>
            </wp:positionV>
            <wp:extent cx="209232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extLst>
                    </a:blip>
                    <a:srcRect/>
                    <a:stretch>
                      <a:fillRect/>
                    </a:stretch>
                  </pic:blipFill>
                  <pic:spPr bwMode="auto">
                    <a:xfrm>
                      <a:off x="0" y="0"/>
                      <a:ext cx="2092325" cy="2603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31750</wp:posOffset>
            </wp:positionV>
            <wp:extent cx="21094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2109470" cy="26035"/>
                    </a:xfrm>
                    <a:prstGeom prst="rect">
                      <a:avLst/>
                    </a:prstGeom>
                    <a:noFill/>
                  </pic:spPr>
                </pic:pic>
              </a:graphicData>
            </a:graphic>
          </wp:anchor>
        </w:drawing>
      </w:r>
    </w:p>
    <w:p>
      <w:pPr>
        <w:spacing w:after="0" w:line="219" w:lineRule="exact"/>
        <w:rPr>
          <w:sz w:val="20"/>
          <w:szCs w:val="20"/>
          <w:color w:val="auto"/>
        </w:rPr>
      </w:pPr>
    </w:p>
    <w:p>
      <w:pPr>
        <w:ind w:left="540" w:hanging="316"/>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years ended December 31, 2018 and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amount of the gains and losses related to the Company's derivative financial instruments not designated as hedging instruments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Location of Gain (Loss) Recognized</w:t>
            </w:r>
          </w:p>
        </w:tc>
        <w:tc>
          <w:tcPr>
            <w:tcW w:w="3300" w:type="dxa"/>
            <w:vAlign w:val="bottom"/>
            <w:gridSpan w:val="5"/>
          </w:tcPr>
          <w:p>
            <w:pPr>
              <w:ind w:left="40"/>
              <w:spacing w:after="0"/>
              <w:rPr>
                <w:sz w:val="20"/>
                <w:szCs w:val="20"/>
                <w:color w:val="auto"/>
              </w:rPr>
            </w:pPr>
            <w:r>
              <w:rPr>
                <w:rFonts w:ascii="Arial" w:cs="Arial" w:eastAsia="Arial" w:hAnsi="Arial"/>
                <w:sz w:val="16"/>
                <w:szCs w:val="16"/>
                <w:b w:val="1"/>
                <w:bCs w:val="1"/>
                <w:color w:val="auto"/>
                <w:w w:val="90"/>
              </w:rPr>
              <w:t>Amount of Gain (Loss) Recognized in Earnings</w:t>
            </w:r>
          </w:p>
        </w:tc>
      </w:tr>
      <w:tr>
        <w:trPr>
          <w:trHeight w:val="210"/>
        </w:trPr>
        <w:tc>
          <w:tcPr>
            <w:tcW w:w="538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 Earnings on Derivatives</w:t>
            </w:r>
          </w:p>
        </w:tc>
        <w:tc>
          <w:tcPr>
            <w:tcW w:w="380" w:type="dxa"/>
            <w:vAlign w:val="bottom"/>
          </w:tcPr>
          <w:p>
            <w:pPr>
              <w:spacing w:after="0"/>
              <w:rPr>
                <w:sz w:val="18"/>
                <w:szCs w:val="18"/>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on Derivatives</w:t>
            </w:r>
          </w:p>
        </w:tc>
        <w:tc>
          <w:tcPr>
            <w:tcW w:w="10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53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relationships:</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Interest expense</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3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2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42,092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24,223</w:t>
            </w:r>
          </w:p>
        </w:tc>
      </w:tr>
      <w:tr>
        <w:trPr>
          <w:trHeight w:val="27"/>
        </w:trPr>
        <w:tc>
          <w:tcPr>
            <w:tcW w:w="53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41,927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21,268</w:t>
            </w:r>
          </w:p>
        </w:tc>
      </w:tr>
      <w:tr>
        <w:trPr>
          <w:trHeight w:val="20"/>
        </w:trPr>
        <w:tc>
          <w:tcPr>
            <w:tcW w:w="5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subsidiaries of the Company lease office space and equipment under long-term non-cancelable operating lease agreements which expire at various dates through 2033. The leases generally provide for fixed annual rentals plus certain other costs or credits. Costs associated with such operating leases are recognized on a straight-line basis over the initial lease term. The difference between rent expense and rent paid is recorded as deferred rent. Rent expense for the years ended December 31, 2018, 2017 and 2016 amounted to $38.0 million, $31.7 million and $29.4 million, respectively.</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future minimum annual payments for the Company's operating leases (with initial or remaining terms in excess of one year) during the next five years and thereafter, at rates now in force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67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39,576</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2020</w:t>
            </w:r>
          </w:p>
        </w:tc>
        <w:tc>
          <w:tcPr>
            <w:tcW w:w="6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35,484</w:t>
            </w:r>
          </w:p>
        </w:tc>
      </w:tr>
      <w:tr>
        <w:trPr>
          <w:trHeight w:val="27"/>
        </w:trPr>
        <w:tc>
          <w:tcPr>
            <w:tcW w:w="32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31,720</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2022</w:t>
            </w:r>
          </w:p>
        </w:tc>
        <w:tc>
          <w:tcPr>
            <w:tcW w:w="6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32,432</w:t>
            </w:r>
          </w:p>
        </w:tc>
      </w:tr>
      <w:tr>
        <w:trPr>
          <w:trHeight w:val="27"/>
        </w:trPr>
        <w:tc>
          <w:tcPr>
            <w:tcW w:w="32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32,979</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116,673</w:t>
            </w:r>
          </w:p>
        </w:tc>
      </w:tr>
      <w:tr>
        <w:trPr>
          <w:trHeight w:val="594"/>
        </w:trPr>
        <w:tc>
          <w:tcPr>
            <w:tcW w:w="3240" w:type="dxa"/>
            <w:vAlign w:val="bottom"/>
          </w:tcPr>
          <w:p>
            <w:pPr>
              <w:spacing w:after="0"/>
              <w:rPr>
                <w:sz w:val="24"/>
                <w:szCs w:val="24"/>
                <w:color w:val="auto"/>
              </w:rPr>
            </w:pPr>
          </w:p>
        </w:tc>
        <w:tc>
          <w:tcPr>
            <w:tcW w:w="6780" w:type="dxa"/>
            <w:vAlign w:val="bottom"/>
          </w:tcPr>
          <w:p>
            <w:pPr>
              <w:jc w:val="right"/>
              <w:ind w:right="4050"/>
              <w:spacing w:after="0"/>
              <w:rPr>
                <w:sz w:val="20"/>
                <w:szCs w:val="20"/>
                <w:color w:val="auto"/>
              </w:rPr>
            </w:pPr>
            <w:r>
              <w:rPr>
                <w:rFonts w:ascii="Arial" w:cs="Arial" w:eastAsia="Arial" w:hAnsi="Arial"/>
                <w:sz w:val="18"/>
                <w:szCs w:val="18"/>
                <w:color w:val="auto"/>
              </w:rPr>
              <w:t>F-32</w:t>
            </w: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tcPr>
          <w:p>
            <w:pPr>
              <w:ind w:left="3940"/>
              <w:spacing w:after="0"/>
              <w:rPr>
                <w:sz w:val="20"/>
                <w:szCs w:val="20"/>
                <w:color w:val="auto"/>
              </w:rPr>
            </w:pPr>
            <w:r>
              <w:rPr>
                <w:rFonts w:ascii="Arial" w:cs="Arial" w:eastAsia="Arial" w:hAnsi="Arial"/>
                <w:sz w:val="18"/>
                <w:szCs w:val="18"/>
                <w:color w:val="auto"/>
              </w:rPr>
              <w:t>AMC NETWORKS INC. AND SUBSIDIARIES</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9240" w:type="dxa"/>
            <w:vAlign w:val="bottom"/>
          </w:tcPr>
          <w:p>
            <w:pPr>
              <w:ind w:left="3020"/>
              <w:spacing w:after="0"/>
              <w:rPr>
                <w:sz w:val="20"/>
                <w:szCs w:val="20"/>
                <w:color w:val="auto"/>
              </w:rPr>
            </w:pPr>
            <w:r>
              <w:rPr>
                <w:rFonts w:ascii="Arial" w:cs="Arial" w:eastAsia="Arial" w:hAnsi="Arial"/>
                <w:sz w:val="18"/>
                <w:szCs w:val="18"/>
                <w:color w:val="auto"/>
              </w:rPr>
              <w:t>NOTES TO CONSOLIDATED FINANCIAL STATEMENTS (Continued)</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67"/>
        </w:trPr>
        <w:tc>
          <w:tcPr>
            <w:tcW w:w="9240" w:type="dxa"/>
            <w:vAlign w:val="bottom"/>
          </w:tcPr>
          <w:p>
            <w:pPr>
              <w:spacing w:after="0"/>
              <w:rPr>
                <w:sz w:val="20"/>
                <w:szCs w:val="20"/>
                <w:color w:val="auto"/>
              </w:rPr>
            </w:pPr>
            <w:r>
              <w:rPr>
                <w:rFonts w:ascii="Arial" w:cs="Arial" w:eastAsia="Arial" w:hAnsi="Arial"/>
                <w:sz w:val="18"/>
                <w:szCs w:val="18"/>
                <w:b w:val="1"/>
                <w:bCs w:val="1"/>
                <w:color w:val="auto"/>
              </w:rPr>
              <w:t>Capital Leases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9240" w:type="dxa"/>
            <w:vAlign w:val="bottom"/>
          </w:tcPr>
          <w:p>
            <w:pPr>
              <w:ind w:left="440"/>
              <w:spacing w:after="0"/>
              <w:rPr>
                <w:sz w:val="20"/>
                <w:szCs w:val="20"/>
                <w:color w:val="auto"/>
              </w:rPr>
            </w:pPr>
            <w:r>
              <w:rPr>
                <w:rFonts w:ascii="Arial" w:cs="Arial" w:eastAsia="Arial" w:hAnsi="Arial"/>
                <w:sz w:val="18"/>
                <w:szCs w:val="18"/>
                <w:color w:val="auto"/>
              </w:rPr>
              <w:t>Future minimum capital lease payments as of December 31, 2018 are as follows: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15"/>
        </w:trPr>
        <w:tc>
          <w:tcPr>
            <w:tcW w:w="9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7,665</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5,924</w:t>
            </w:r>
          </w:p>
        </w:tc>
      </w:tr>
      <w:tr>
        <w:trPr>
          <w:trHeight w:val="27"/>
        </w:trPr>
        <w:tc>
          <w:tcPr>
            <w:tcW w:w="9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4,429</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4,451</w:t>
            </w:r>
          </w:p>
        </w:tc>
      </w:tr>
      <w:tr>
        <w:trPr>
          <w:trHeight w:val="27"/>
        </w:trPr>
        <w:tc>
          <w:tcPr>
            <w:tcW w:w="9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4,477</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9,697</w:t>
            </w:r>
          </w:p>
        </w:tc>
      </w:tr>
      <w:tr>
        <w:trPr>
          <w:trHeight w:val="27"/>
        </w:trPr>
        <w:tc>
          <w:tcPr>
            <w:tcW w:w="9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36,643</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Less amount representing interest (at 9%-10%)</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(10,126)</w:t>
            </w:r>
          </w:p>
        </w:tc>
      </w:tr>
      <w:tr>
        <w:trPr>
          <w:trHeight w:val="27"/>
        </w:trPr>
        <w:tc>
          <w:tcPr>
            <w:tcW w:w="9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net minimum future capital lease payments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26,517</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Less principal portion of current installments</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(5,090)</w:t>
            </w:r>
          </w:p>
        </w:tc>
      </w:tr>
      <w:tr>
        <w:trPr>
          <w:trHeight w:val="27"/>
        </w:trPr>
        <w:tc>
          <w:tcPr>
            <w:tcW w:w="9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obligations under capital leases</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21,427</w:t>
            </w:r>
          </w:p>
        </w:tc>
      </w:tr>
      <w:tr>
        <w:trPr>
          <w:trHeight w:val="20"/>
        </w:trPr>
        <w:tc>
          <w:tcPr>
            <w:tcW w:w="9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Tax Cuts and Jobs Act ("TCJA") was enacted on December 22, 2017. The TCJA introduces significant changes in tax law, with certain provisions being effective for the year ended December 31, 2017, however most are effective for tax years beginning after December 31, 2017. Companies are required to recognize the effect of tax law changes in the period of enactment, however, due to the complexities involved in accounting for the enactment of TCJA, SEC Staff Accounting Bulletin ("SAB") 118 allows us to record provisional amounts to reflect the impacts of the TCJA during a one year "measurement period". The Company recorded certain provisional amounts based upon reasonable estimates and completed the analysis of the impacts of the TCJA in order to finalize the measurement period adjustments.</w:t>
      </w:r>
    </w:p>
    <w:p>
      <w:pPr>
        <w:spacing w:after="0" w:line="193"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The Company recorded a tax benefit of $67.9 million which represents the one-time impact of the change in the corporate tax rate on deferred tax assets and liabilities in the year ended December 31, 2017. Although the accounting related to the rate change was complete, as a result of return to provision adjustments and refining our calculations, the Company recognized an additional benefit of $5.8 million in the year ended December 31, 2018.</w:t>
      </w:r>
    </w:p>
    <w:p>
      <w:pPr>
        <w:spacing w:after="0" w:line="166"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The one-time transition tax is based on total post-1986 earnings and profits ("E&amp;P") which the Company has previously deferred from U.S. income taxes. An estimated amount was recorded in the year ended December 31, 2017 for the one-time transition tax liability, net of the foreign taxes deemed paid, resulting in an increase in income tax expense of $11.0 million. On the basis of revised E&amp;P computations that were completed during the reporting period, the Company recognized an additional measurement period adjustment of $3.3 million resulting in an additional increase in tax expense. The Company has sufficient foreign tax credits to offset the transition tax.</w:t>
      </w:r>
    </w:p>
    <w:p>
      <w:pPr>
        <w:spacing w:after="0" w:line="18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In continuing the analysis of the impact of the TCJA on deferred tax amounts, the Company recorded a discrete tax expense of $15.6 million in the period ended March 31, 2018, resulting from an updated assessment in response to guidance contained in a recently issued IRS notice. This expense relates to a valuation allowance against foreign tax credit carry forwards. There has been no change to this measurement period adjustment and it is determined to be complete.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intends to maintain its indefinite reinvestment assertion.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final policy election is to treat the global intangible low taxed income ("GILTI") tax as a period expense.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taxes consists of the following components: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2016</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587,346</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618,955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500,757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32,927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21,423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(45,932)</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620,273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640,378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454,825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125" w:right="239" w:bottom="144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attributable to continuing operations consists of the following components: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10"/>
          </w:tcPr>
          <w:p>
            <w:pPr>
              <w:jc w:val="right"/>
              <w:ind w:right="200"/>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80,360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162,639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120,634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25,001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17,382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22,946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119,024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194,322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State</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33,367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(48,665)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 (benefit) relating to uncertain tax positions, including accrued interest</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156,306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150,741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164,862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20" w:type="dxa"/>
            <w:vAlign w:val="bottom"/>
            <w:gridSpan w:val="3"/>
          </w:tcPr>
          <w:p>
            <w:pPr>
              <w:spacing w:after="0"/>
              <w:rPr>
                <w:sz w:val="20"/>
                <w:szCs w:val="20"/>
                <w:color w:val="auto"/>
              </w:rPr>
            </w:pPr>
            <w:r>
              <w:rPr>
                <w:rFonts w:ascii="Arial" w:cs="Arial" w:eastAsia="Arial" w:hAnsi="Arial"/>
                <w:sz w:val="18"/>
                <w:szCs w:val="18"/>
                <w:color w:val="auto"/>
                <w:w w:val="93"/>
              </w:rPr>
              <w:t>A reconciliation of the federal statutory income tax rate to the effective income tax rate is as follows: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10"/>
          </w:tcPr>
          <w:p>
            <w:pPr>
              <w:jc w:val="right"/>
              <w:ind w:right="160"/>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federal statutory income tax rate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State and local income taxes, net of federal benefit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operations</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Effect of rate changes on deferred taxes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Transition tax, net of foreign taxes deemed paid</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Nontaxable income attributable to noncontrolling interests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the valuation allowance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Domestic production activity deduction</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Tax expense relating to uncertain tax positions, including accrued interest, net of deferred tax</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8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25 %</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24 %</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5540"/>
              <w:spacing w:after="0"/>
              <w:rPr>
                <w:sz w:val="20"/>
                <w:szCs w:val="20"/>
                <w:color w:val="auto"/>
              </w:rPr>
            </w:pPr>
            <w:r>
              <w:rPr>
                <w:rFonts w:ascii="Arial" w:cs="Arial" w:eastAsia="Arial" w:hAnsi="Arial"/>
                <w:sz w:val="18"/>
                <w:szCs w:val="18"/>
                <w:color w:val="auto"/>
              </w:rPr>
              <w:t>F-34</w:t>
            </w: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significant components of deferred tax assets or liabilities at December 31, 2018 and 2017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764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2017</w:t>
            </w:r>
          </w:p>
        </w:tc>
      </w:tr>
      <w:tr>
        <w:trPr>
          <w:trHeight w:val="250"/>
        </w:trPr>
        <w:tc>
          <w:tcPr>
            <w:tcW w:w="76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Deferred Tax Asset (Liability)</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i w:val="1"/>
                <w:iCs w:val="1"/>
                <w:color w:val="auto"/>
              </w:rPr>
              <w:t>Noncurrent</w:t>
            </w:r>
          </w:p>
        </w:tc>
        <w:tc>
          <w:tcPr>
            <w:tcW w:w="54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NOLs and tax credit carry forwards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123,487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69,771</w:t>
            </w: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Compensation and benefit plans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29,294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30,880</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Fixed assets and intangible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24,150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24,737</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w:t>
            </w: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Accrued interest expense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8,832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13,049</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24,594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12,562</w:t>
            </w: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60" w:type="dxa"/>
            <w:vAlign w:val="bottom"/>
            <w:gridSpan w:val="3"/>
          </w:tcPr>
          <w:p>
            <w:pPr>
              <w:ind w:left="340"/>
              <w:spacing w:after="0"/>
              <w:rPr>
                <w:sz w:val="20"/>
                <w:szCs w:val="20"/>
                <w:color w:val="auto"/>
              </w:rPr>
            </w:pPr>
            <w:r>
              <w:rPr>
                <w:rFonts w:ascii="Arial" w:cs="Arial" w:eastAsia="Arial" w:hAnsi="Arial"/>
                <w:sz w:val="18"/>
                <w:szCs w:val="18"/>
                <w:color w:val="auto"/>
              </w:rPr>
              <w:t>Deferred tax asset</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211,338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153,262</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(95,185)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(57,121)</w:t>
            </w: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60" w:type="dxa"/>
            <w:vAlign w:val="bottom"/>
            <w:gridSpan w:val="3"/>
          </w:tcPr>
          <w:p>
            <w:pPr>
              <w:ind w:left="340"/>
              <w:spacing w:after="0"/>
              <w:rPr>
                <w:sz w:val="20"/>
                <w:szCs w:val="20"/>
                <w:color w:val="auto"/>
              </w:rPr>
            </w:pPr>
            <w:r>
              <w:rPr>
                <w:rFonts w:ascii="Arial" w:cs="Arial" w:eastAsia="Arial" w:hAnsi="Arial"/>
                <w:sz w:val="18"/>
                <w:szCs w:val="18"/>
                <w:color w:val="auto"/>
              </w:rPr>
              <w:t>Net deferred tax asset, noncurrent</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116,153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96,141</w:t>
            </w: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Prepaid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Fixed assets and intangible assets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(90,960)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(61,127)</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Investments in partnerships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(103,474)</w:t>
            </w: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(20,657)</w:t>
            </w: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Deferred tax liability, noncurrent</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(242,324)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(185,759)</w:t>
            </w:r>
          </w:p>
        </w:tc>
      </w:tr>
      <w:tr>
        <w:trPr>
          <w:trHeight w:val="257"/>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Total net deferred tax liability</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(126,171)</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(89,618)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At December 31, 2018, the Company had foreign tax credit carry forwards of approximately $24.1 million, expiring on various dates from 2019 through 2028, which have been reduced by a valuation allowance of $24.1 million as it is more likely than not that these carry forwards will not be realized. The Company had net operating loss carry forwards of approximately $552.2 million, related primarily to federal net operating losses acquired as a result of the purchase of the outstanding shares of RLJE of approximately $124.6 million and to net operating loss carryforwards of our foreign subsidiaries. The deferred tax asset related to the federal net operating loss carryforward of approximately $25.8 million has expiration dates ranging from 2024 through 2036 and has been reduced by a valuation allowance of approximately $4.6 million that was recorded through goodwill as part of purchase accounting. Although the foreign net operating loss carry forward periods range from 5 years to unlimited, the related deferred tax assets of approximately $67.1 million for these carry forwards have been reduced by a valuation allowance of approximately $62.5 million as it is more likely than not that these carry forwards will not be realized. The remainder of the valuation allowance at December 31, 2018 relates primarily to deferred tax assets attributable to temporary differences of certain foreign subsidiaries for which it is more likely than not that these deferred tax assets will not be realized.</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2018, $1.3 million relating to amortization of tax deductible second component goodwill was realized as a reduction in tax liability (as determined on a 'with-and-without' approach).</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At December 31, 2018, the liability for uncertain tax positions was $23.2 million, excluding the related accrued interest liability of $6.1 million and deferred tax assets of $6.0 million. All of such unrecognized tax benefits, if recognized, would reduce the Company's income tax expense and effective tax rate.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beginning to ending amount of the liability for uncertain tax positions (excluding related accrued interest and deferred tax benefit)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6"/>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21,797</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8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4,038</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8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due to settlements/payments</w:t>
            </w:r>
          </w:p>
        </w:tc>
        <w:tc>
          <w:tcPr>
            <w:tcW w:w="8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57"/>
        </w:trPr>
        <w:tc>
          <w:tcPr>
            <w:tcW w:w="92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23,169</w:t>
            </w: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(net of the related deferred tax benefit) of $1.3 million was recognized during the year ended December 31, 2018 and is included in income tax expense in the consolidated statement of income. At December 31, 2018 and 2017, the liability for uncertain tax positions and related accrued interest noted above are included in other liabilities in the consolidated balance sheets.</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Under the Company's Tax Disaffiliation Agreement with Cablevision, Cablevision is liable for all income taxes of the Company for periods prior to the spin-off from Cablevision except for New York City Unincorporated Business Tax. The Company is currently being audited by the State and City of New York and various other states or jurisdictions, with most of the periods under examination relating to tax years 2011 and forward.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6"/>
          </w:tcPr>
          <w:p>
            <w:pPr>
              <w:jc w:val="center"/>
              <w:ind w:left="574"/>
              <w:spacing w:after="0"/>
              <w:rPr>
                <w:sz w:val="20"/>
                <w:szCs w:val="20"/>
                <w:color w:val="auto"/>
              </w:rPr>
            </w:pPr>
            <w:r>
              <w:rPr>
                <w:rFonts w:ascii="Arial" w:cs="Arial" w:eastAsia="Arial" w:hAnsi="Arial"/>
                <w:sz w:val="16"/>
                <w:szCs w:val="16"/>
                <w:b w:val="1"/>
                <w:bCs w:val="1"/>
                <w:color w:val="auto"/>
                <w:w w:val="89"/>
              </w:rPr>
              <w:t>Payments due by period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Years</w:t>
            </w:r>
          </w:p>
        </w:tc>
        <w:tc>
          <w:tcPr>
            <w:tcW w:w="28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Years</w:t>
            </w:r>
          </w:p>
        </w:tc>
        <w:tc>
          <w:tcPr>
            <w:tcW w:w="20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6"/>
                <w:szCs w:val="16"/>
                <w:b w:val="1"/>
                <w:bCs w:val="1"/>
                <w:color w:val="auto"/>
              </w:rPr>
              <w:t>More than</w:t>
            </w:r>
          </w:p>
        </w:tc>
      </w:tr>
      <w:tr>
        <w:trPr>
          <w:trHeight w:val="237"/>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1</w:t>
            </w:r>
          </w:p>
        </w:tc>
        <w:tc>
          <w:tcPr>
            <w:tcW w:w="280" w:type="dxa"/>
            <w:vAlign w:val="bottom"/>
          </w:tcPr>
          <w:p>
            <w:pPr>
              <w:spacing w:after="0"/>
              <w:rPr>
                <w:sz w:val="20"/>
                <w:szCs w:val="20"/>
                <w:color w:val="auto"/>
              </w:rPr>
            </w:pPr>
          </w:p>
        </w:tc>
        <w:tc>
          <w:tcPr>
            <w:tcW w:w="98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2 - 3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Arial" w:cs="Arial" w:eastAsia="Arial" w:hAnsi="Arial"/>
                <w:sz w:val="16"/>
                <w:szCs w:val="16"/>
                <w:b w:val="1"/>
                <w:bCs w:val="1"/>
                <w:color w:val="auto"/>
              </w:rPr>
              <w:t>4 - 5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94"/>
              <w:spacing w:after="0"/>
              <w:rPr>
                <w:sz w:val="20"/>
                <w:szCs w:val="20"/>
                <w:color w:val="auto"/>
              </w:rPr>
            </w:pPr>
            <w:r>
              <w:rPr>
                <w:rFonts w:ascii="Arial" w:cs="Arial" w:eastAsia="Arial" w:hAnsi="Arial"/>
                <w:sz w:val="16"/>
                <w:szCs w:val="16"/>
                <w:b w:val="1"/>
                <w:bCs w:val="1"/>
                <w:color w:val="auto"/>
              </w:rPr>
              <w:t>5 years</w:t>
            </w:r>
          </w:p>
        </w:tc>
      </w:tr>
      <w:tr>
        <w:trPr>
          <w:trHeight w:val="270"/>
        </w:trPr>
        <w:tc>
          <w:tcPr>
            <w:tcW w:w="4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 obligations (1)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1,752,139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648,203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531,366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122,747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449,823</w:t>
            </w:r>
          </w:p>
        </w:tc>
      </w:tr>
      <w:tr>
        <w:trPr>
          <w:trHeight w:val="257"/>
        </w:trPr>
        <w:tc>
          <w:tcPr>
            <w:tcW w:w="466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1,752,139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648,203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531,366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122,747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449,823</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firstLine="216"/>
        <w:spacing w:after="0" w:line="465" w:lineRule="auto"/>
        <w:rPr>
          <w:sz w:val="20"/>
          <w:szCs w:val="20"/>
          <w:color w:val="auto"/>
        </w:rPr>
      </w:pPr>
      <w:r>
        <w:rPr>
          <w:rFonts w:ascii="Arial" w:cs="Arial" w:eastAsia="Arial" w:hAnsi="Arial"/>
          <w:sz w:val="18"/>
          <w:szCs w:val="18"/>
          <w:color w:val="auto"/>
        </w:rPr>
        <w:t xml:space="preserve">(1) Purchase obligations consist primarily of program rights obligations, participations, residuals, and transmission and marketing commitments. </w:t>
      </w:r>
      <w:r>
        <w:rPr>
          <w:rFonts w:ascii="Arial" w:cs="Arial" w:eastAsia="Arial" w:hAnsi="Arial"/>
          <w:sz w:val="18"/>
          <w:szCs w:val="18"/>
          <w:b w:val="1"/>
          <w:bCs w:val="1"/>
          <w:color w:val="auto"/>
        </w:rPr>
        <w:t>Legal Matters</w:t>
      </w:r>
    </w:p>
    <w:p>
      <w:pPr>
        <w:spacing w:after="0" w:line="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On January 18, 2018, the 2013 Plaintiffs filed a second action in New York Supreme Court in connection with Darabont’s services on </w:t>
      </w:r>
      <w:r>
        <w:rPr>
          <w:rFonts w:ascii="Arial" w:cs="Arial" w:eastAsia="Arial" w:hAnsi="Arial"/>
          <w:sz w:val="16"/>
          <w:szCs w:val="16"/>
          <w:i w:val="1"/>
          <w:iCs w:val="1"/>
          <w:color w:val="auto"/>
        </w:rPr>
        <w:t>The Walking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Dead </w:t>
      </w:r>
      <w:r>
        <w:rPr>
          <w:rFonts w:ascii="Arial" w:cs="Arial" w:eastAsia="Arial" w:hAnsi="Arial"/>
          <w:sz w:val="16"/>
          <w:szCs w:val="16"/>
          <w:color w:val="auto"/>
        </w:rPr>
        <w:t>television series and agreements between the parties related thereto. The claims in the action allegedly arise from Plaintiffs' audit of their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statements covering the accounting period from inception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have agreed to consolidate this action for a joint trial with the action Plaintiffs filed in the New York Supreme Court on December 17, 2013. The trial is scheduled to begin on May 4, 2020.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The parties are presently engaged in fact discovery. At this time, no determination can be made as to the ultimate outcome of this litigation or the potential liability, if any, on the part of the Company.</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Redeemable Noncontrolling Interests</w:t>
      </w:r>
    </w:p>
    <w:p>
      <w:pPr>
        <w:spacing w:after="0" w:line="229"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In connection with the 2018 acquisition of RLJE, the terms of the operating agreement provide the noncontrolling member with a right to put all of its noncontrolling interest to a subsidiary of the Company at the greater of the then fair market value or enterprise value of RLJE, in each case pursuant to the operating agreement and applied to the equity interest. The put option is exercisable following the seventh anniversary of the agreement, or earlier upon a change of control.</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2018 acquisition of Levity, the terms of the operating agreement provide the noncontrolling interest holders with a right to put 50% of their interests to a subsidiary of the Company on the fourth anniversary of the agreement and a right to put all of their interests to the Company on the sixth anniversary of the agreement. The put rights are at fair market value.</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2014, the Company, through a wholly-owned subsidiary, acquired 49.9% of the limited liability company interests of New Video Channel America L.L.C, that owns the cable channel BBC AMERICA. In connection with acquisition, the terms of the agreement provide the BBC with a right to put all of its 50.1% noncontrolling interest to a subsidiary of the Company at the greater of the then fair value or the fair value of the initial equity interest at the closing date of the agreement. The put option is exercisable on the fifteenth and twenty-fifth anniversary of the joint venture agreement.</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connection with the creation of another joint venture entity in 2013, the terms of the agreement provide the noncontrolling member with a right to put all of its interest to a subsidiary of the Company at the then fair value.</w:t>
      </w:r>
    </w:p>
    <w:p>
      <w:pPr>
        <w:spacing w:after="0" w:line="1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exercise of these put rights is outside the Company's control, the noncontrolling interest in each entity is presented as redeemable noncontrolling interest outside of stockholders' equity on the Company's consolidated balance sheet. The activity reflected within redeemable noncontrolling interest for the year ended December 31, 2018 and 2017 is presented below.</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6580" w:type="dxa"/>
            <w:vAlign w:val="bottom"/>
            <w:gridSpan w:val="2"/>
          </w:tcPr>
          <w:p>
            <w:pPr>
              <w:jc w:val="right"/>
              <w:ind w:right="1780"/>
              <w:spacing w:after="0"/>
              <w:rPr>
                <w:sz w:val="20"/>
                <w:szCs w:val="20"/>
                <w:color w:val="auto"/>
              </w:rPr>
            </w:pPr>
            <w:r>
              <w:rPr>
                <w:rFonts w:ascii="Arial" w:cs="Arial" w:eastAsia="Arial" w:hAnsi="Arial"/>
                <w:sz w:val="18"/>
                <w:szCs w:val="18"/>
                <w:color w:val="auto"/>
              </w:rPr>
              <w:t>AMC NETWORKS INC. AND SUBSIDIARIES</w:t>
            </w:r>
          </w:p>
        </w:tc>
        <w:tc>
          <w:tcPr>
            <w:tcW w:w="214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6580" w:type="dxa"/>
            <w:vAlign w:val="bottom"/>
            <w:gridSpan w:val="2"/>
          </w:tcPr>
          <w:p>
            <w:pPr>
              <w:jc w:val="right"/>
              <w:ind w:right="880"/>
              <w:spacing w:after="0"/>
              <w:rPr>
                <w:sz w:val="20"/>
                <w:szCs w:val="20"/>
                <w:color w:val="auto"/>
              </w:rPr>
            </w:pPr>
            <w:r>
              <w:rPr>
                <w:rFonts w:ascii="Arial" w:cs="Arial" w:eastAsia="Arial" w:hAnsi="Arial"/>
                <w:sz w:val="18"/>
                <w:szCs w:val="18"/>
                <w:color w:val="auto"/>
              </w:rPr>
              <w:t>NOTES TO CONSOLIDATED FINANCIAL STATEMENTS (Continued)</w:t>
            </w:r>
          </w:p>
        </w:tc>
        <w:tc>
          <w:tcPr>
            <w:tcW w:w="2140" w:type="dxa"/>
            <w:vAlign w:val="bottom"/>
          </w:tcPr>
          <w:p>
            <w:pPr>
              <w:spacing w:after="0"/>
              <w:rPr>
                <w:sz w:val="20"/>
                <w:szCs w:val="20"/>
                <w:color w:val="auto"/>
              </w:rPr>
            </w:pPr>
          </w:p>
        </w:tc>
      </w:tr>
      <w:tr>
        <w:trPr>
          <w:trHeight w:val="702"/>
        </w:trPr>
        <w:tc>
          <w:tcPr>
            <w:tcW w:w="27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Redeemable Noncontrolling</w:t>
            </w:r>
          </w:p>
        </w:tc>
      </w:tr>
      <w:tr>
        <w:trPr>
          <w:trHeight w:val="237"/>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6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792"/>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6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219,331</w:t>
            </w:r>
          </w:p>
        </w:tc>
      </w:tr>
      <w:tr>
        <w:trPr>
          <w:trHeight w:val="243"/>
        </w:trPr>
        <w:tc>
          <w:tcPr>
            <w:tcW w:w="270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6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17,797</w:t>
            </w:r>
          </w:p>
        </w:tc>
      </w:tr>
      <w:tr>
        <w:trPr>
          <w:trHeight w:val="27"/>
        </w:trPr>
        <w:tc>
          <w:tcPr>
            <w:tcW w:w="27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6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(18,561)</w:t>
            </w:r>
          </w:p>
        </w:tc>
      </w:tr>
      <w:tr>
        <w:trPr>
          <w:trHeight w:val="243"/>
        </w:trPr>
        <w:tc>
          <w:tcPr>
            <w:tcW w:w="2700" w:type="dxa"/>
            <w:vAlign w:val="bottom"/>
          </w:tcPr>
          <w:p>
            <w:pPr>
              <w:ind w:left="380"/>
              <w:spacing w:after="0"/>
              <w:rPr>
                <w:sz w:val="20"/>
                <w:szCs w:val="20"/>
                <w:color w:val="auto"/>
              </w:rPr>
            </w:pPr>
            <w:r>
              <w:rPr>
                <w:rFonts w:ascii="Arial" w:cs="Arial" w:eastAsia="Arial" w:hAnsi="Arial"/>
                <w:sz w:val="18"/>
                <w:szCs w:val="18"/>
                <w:color w:val="auto"/>
              </w:rPr>
              <w:t>Other</w:t>
            </w:r>
          </w:p>
        </w:tc>
        <w:tc>
          <w:tcPr>
            <w:tcW w:w="6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27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6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218,604</w:t>
            </w:r>
          </w:p>
        </w:tc>
      </w:tr>
      <w:tr>
        <w:trPr>
          <w:trHeight w:val="243"/>
        </w:trPr>
        <w:tc>
          <w:tcPr>
            <w:tcW w:w="270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6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15,026</w:t>
            </w:r>
          </w:p>
        </w:tc>
      </w:tr>
      <w:tr>
        <w:trPr>
          <w:trHeight w:val="27"/>
        </w:trPr>
        <w:tc>
          <w:tcPr>
            <w:tcW w:w="27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6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(11,450)</w:t>
            </w:r>
          </w:p>
        </w:tc>
      </w:tr>
      <w:tr>
        <w:trPr>
          <w:trHeight w:val="243"/>
        </w:trPr>
        <w:tc>
          <w:tcPr>
            <w:tcW w:w="2700" w:type="dxa"/>
            <w:vAlign w:val="bottom"/>
          </w:tcPr>
          <w:p>
            <w:pPr>
              <w:ind w:left="380"/>
              <w:spacing w:after="0"/>
              <w:rPr>
                <w:sz w:val="20"/>
                <w:szCs w:val="20"/>
                <w:color w:val="auto"/>
              </w:rPr>
            </w:pPr>
            <w:r>
              <w:rPr>
                <w:rFonts w:ascii="Arial" w:cs="Arial" w:eastAsia="Arial" w:hAnsi="Arial"/>
                <w:sz w:val="18"/>
                <w:szCs w:val="18"/>
                <w:color w:val="auto"/>
              </w:rPr>
              <w:t>Additions from acquisitions</w:t>
            </w:r>
          </w:p>
        </w:tc>
        <w:tc>
          <w:tcPr>
            <w:tcW w:w="6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77,378</w:t>
            </w:r>
          </w:p>
        </w:tc>
      </w:tr>
      <w:tr>
        <w:trPr>
          <w:trHeight w:val="27"/>
        </w:trPr>
        <w:tc>
          <w:tcPr>
            <w:tcW w:w="270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6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299,558</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Equity and Long-Term Incentive Plans</w:t>
      </w:r>
    </w:p>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8, 2016, the Company's shareholders approved the AMC Networks Inc. 2016 Employee Stock Plan (the "2016 Employee Stock Plan") and the AMC Networks Inc. 2016 Executive Cash Incentive Plan (the "2016 Cash Incentive Plan"). On June 5, 2012, the Company's shareholders approved the AMC Networks Inc. 2011 Stock Plan for Non-Employee Directors (the "2011 Non-Employee Director Plan").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Plans</w:t>
      </w:r>
    </w:p>
    <w:p>
      <w:pPr>
        <w:spacing w:after="0" w:line="19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6,000,000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17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Awards issued to employees under the 2016 Employee Stock Plan will settle in shares of the Company's Class A Common Stock (either from treasury or with newly issued shares), or, at the option of the Compensation Committee, in cash. As of December 31, 2018, there are 2,515,761 share awards available for future grant under the 2016 Employee Stock Plan. For the purpose of calculating the remaining shares available for issuance under the 2016 Employee Stock Plan, awards containing performance criteria are excluded based on the maximum potential performance target that can be achieved.</w:t>
      </w:r>
    </w:p>
    <w:p>
      <w:pPr>
        <w:spacing w:after="0" w:line="15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Under the 2011 Non-Employee Director Plan, the Company is authorized to grant non-qualified stock options, restricted stock units, restricted shares, stock appreciation rights and other equity-based awards. The Company may grant awards for up to 465,000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2018, there are 156,023 shares available for future grant under the 2011 Non-Employee Director Plan.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Restricted Stock Unit Activity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relating to Company employees who held AMC Networks restricted stock units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57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Performance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Fair Value Per</w:t>
            </w:r>
          </w:p>
        </w:tc>
      </w:tr>
      <w:tr>
        <w:trPr>
          <w:trHeight w:val="203"/>
        </w:trPr>
        <w:tc>
          <w:tcPr>
            <w:tcW w:w="57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Stock Unit at Date of</w:t>
            </w:r>
          </w:p>
        </w:tc>
      </w:tr>
      <w:tr>
        <w:trPr>
          <w:trHeight w:val="210"/>
        </w:trPr>
        <w:tc>
          <w:tcPr>
            <w:tcW w:w="57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Units</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rPr>
              <w:t>Grant</w:t>
            </w:r>
          </w:p>
        </w:tc>
      </w:tr>
      <w:tr>
        <w:trPr>
          <w:trHeight w:val="33"/>
        </w:trPr>
        <w:tc>
          <w:tcPr>
            <w:tcW w:w="5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award balance, December 31, 2016</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982,298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1,354,461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66.23</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586,600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642,139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59.78</w:t>
            </w:r>
          </w:p>
        </w:tc>
      </w:tr>
      <w:tr>
        <w:trPr>
          <w:trHeight w:val="27"/>
        </w:trPr>
        <w:tc>
          <w:tcPr>
            <w:tcW w:w="5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Released/Vested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(392,892)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71.48</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Canceled/Forfeited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(55,965)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(15,527)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68.15</w:t>
            </w:r>
          </w:p>
        </w:tc>
      </w:tr>
      <w:tr>
        <w:trPr>
          <w:trHeight w:val="27"/>
        </w:trPr>
        <w:tc>
          <w:tcPr>
            <w:tcW w:w="5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award balance, December 31, 2017</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1,120,041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1,816,147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62.53</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587,471</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887,807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52.76</w:t>
            </w:r>
          </w:p>
        </w:tc>
      </w:tr>
      <w:tr>
        <w:trPr>
          <w:trHeight w:val="27"/>
        </w:trPr>
        <w:tc>
          <w:tcPr>
            <w:tcW w:w="5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Released/Vested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(531,655)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66.58</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Canceled/Forfeited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(294,380)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(91,335)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59.80</w:t>
            </w:r>
          </w:p>
        </w:tc>
      </w:tr>
      <w:tr>
        <w:trPr>
          <w:trHeight w:val="27"/>
        </w:trPr>
        <w:tc>
          <w:tcPr>
            <w:tcW w:w="5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award balance, December 31, 2018</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881,477</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2,384,767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57.49</w:t>
            </w:r>
          </w:p>
        </w:tc>
      </w:tr>
      <w:tr>
        <w:trPr>
          <w:trHeight w:val="20"/>
        </w:trPr>
        <w:tc>
          <w:tcPr>
            <w:tcW w:w="57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restricted stock units granted vest ratably over a three or four year period.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 year period. The number of shares issuable at the end of the applicable measurement period ranges from 0% to 200% of the target PRSU award.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activity relating to Non-employee Directors who held AMC Networks restricted stock units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73"/>
              <w:spacing w:after="0"/>
              <w:rPr>
                <w:sz w:val="20"/>
                <w:szCs w:val="20"/>
                <w:color w:val="auto"/>
              </w:rPr>
            </w:pPr>
            <w:r>
              <w:rPr>
                <w:rFonts w:ascii="Arial" w:cs="Arial" w:eastAsia="Arial" w:hAnsi="Arial"/>
                <w:sz w:val="16"/>
                <w:szCs w:val="16"/>
                <w:b w:val="1"/>
                <w:bCs w:val="1"/>
                <w:color w:val="auto"/>
                <w:w w:val="95"/>
              </w:rPr>
              <w:t>Fair Value Per</w:t>
            </w:r>
          </w:p>
        </w:tc>
      </w:tr>
      <w:tr>
        <w:trPr>
          <w:trHeight w:val="203"/>
        </w:trPr>
        <w:tc>
          <w:tcPr>
            <w:tcW w:w="4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Stock Unit at Date of</w:t>
            </w:r>
          </w:p>
        </w:tc>
      </w:tr>
      <w:tr>
        <w:trPr>
          <w:trHeight w:val="210"/>
        </w:trPr>
        <w:tc>
          <w:tcPr>
            <w:tcW w:w="4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73"/>
              <w:spacing w:after="0"/>
              <w:rPr>
                <w:sz w:val="20"/>
                <w:szCs w:val="20"/>
                <w:color w:val="auto"/>
              </w:rPr>
            </w:pPr>
            <w:r>
              <w:rPr>
                <w:rFonts w:ascii="Arial" w:cs="Arial" w:eastAsia="Arial" w:hAnsi="Arial"/>
                <w:sz w:val="16"/>
                <w:szCs w:val="16"/>
                <w:b w:val="1"/>
                <w:bCs w:val="1"/>
                <w:color w:val="auto"/>
                <w:w w:val="98"/>
              </w:rPr>
              <w:t>Grant</w:t>
            </w:r>
          </w:p>
        </w:tc>
      </w:tr>
      <w:tr>
        <w:trPr>
          <w:trHeight w:val="33"/>
        </w:trPr>
        <w:tc>
          <w:tcPr>
            <w:tcW w:w="43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2016</w:t>
            </w:r>
          </w:p>
        </w:tc>
        <w:tc>
          <w:tcPr>
            <w:tcW w:w="51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154,621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53.15</w:t>
            </w:r>
          </w:p>
        </w:tc>
      </w:tr>
      <w:tr>
        <w:trPr>
          <w:trHeight w:val="243"/>
        </w:trPr>
        <w:tc>
          <w:tcPr>
            <w:tcW w:w="4300" w:type="dxa"/>
            <w:vAlign w:val="bottom"/>
          </w:tcPr>
          <w:p>
            <w:pPr>
              <w:ind w:left="380"/>
              <w:spacing w:after="0"/>
              <w:rPr>
                <w:sz w:val="20"/>
                <w:szCs w:val="20"/>
                <w:color w:val="auto"/>
              </w:rPr>
            </w:pPr>
            <w:r>
              <w:rPr>
                <w:rFonts w:ascii="Arial" w:cs="Arial" w:eastAsia="Arial" w:hAnsi="Arial"/>
                <w:sz w:val="18"/>
                <w:szCs w:val="18"/>
                <w:color w:val="auto"/>
              </w:rPr>
              <w:t>Granted</w:t>
            </w:r>
          </w:p>
        </w:tc>
        <w:tc>
          <w:tcPr>
            <w:tcW w:w="5160" w:type="dxa"/>
            <w:vAlign w:val="bottom"/>
            <w:gridSpan w:val="2"/>
          </w:tcPr>
          <w:p>
            <w:pPr>
              <w:jc w:val="right"/>
              <w:ind w:right="34"/>
              <w:spacing w:after="0"/>
              <w:rPr>
                <w:sz w:val="20"/>
                <w:szCs w:val="20"/>
                <w:color w:val="auto"/>
              </w:rPr>
            </w:pPr>
            <w:r>
              <w:rPr>
                <w:rFonts w:ascii="Arial" w:cs="Arial" w:eastAsia="Arial" w:hAnsi="Arial"/>
                <w:sz w:val="18"/>
                <w:szCs w:val="18"/>
                <w:color w:val="auto"/>
              </w:rPr>
              <w:t>32,825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53.48</w:t>
            </w:r>
          </w:p>
        </w:tc>
      </w:tr>
      <w:tr>
        <w:trPr>
          <w:trHeight w:val="27"/>
        </w:trPr>
        <w:tc>
          <w:tcPr>
            <w:tcW w:w="4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Released/Vested</w:t>
            </w:r>
          </w:p>
        </w:tc>
        <w:tc>
          <w:tcPr>
            <w:tcW w:w="3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Vested award balance, December 31, 2017</w:t>
            </w:r>
          </w:p>
        </w:tc>
        <w:tc>
          <w:tcPr>
            <w:tcW w:w="3340" w:type="dxa"/>
            <w:vAlign w:val="bottom"/>
          </w:tcPr>
          <w:p>
            <w:pPr>
              <w:spacing w:after="0"/>
              <w:rPr>
                <w:sz w:val="20"/>
                <w:szCs w:val="20"/>
                <w:color w:val="auto"/>
              </w:rPr>
            </w:pPr>
          </w:p>
        </w:tc>
        <w:tc>
          <w:tcPr>
            <w:tcW w:w="1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187,446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53.20</w:t>
            </w:r>
          </w:p>
        </w:tc>
      </w:tr>
      <w:tr>
        <w:trPr>
          <w:trHeight w:val="27"/>
        </w:trPr>
        <w:tc>
          <w:tcPr>
            <w:tcW w:w="4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51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32,210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61.38</w:t>
            </w:r>
          </w:p>
        </w:tc>
      </w:tr>
      <w:tr>
        <w:trPr>
          <w:trHeight w:val="243"/>
        </w:trPr>
        <w:tc>
          <w:tcPr>
            <w:tcW w:w="4300" w:type="dxa"/>
            <w:vAlign w:val="bottom"/>
          </w:tcPr>
          <w:p>
            <w:pPr>
              <w:ind w:left="380"/>
              <w:spacing w:after="0"/>
              <w:rPr>
                <w:sz w:val="20"/>
                <w:szCs w:val="20"/>
                <w:color w:val="auto"/>
              </w:rPr>
            </w:pPr>
            <w:r>
              <w:rPr>
                <w:rFonts w:ascii="Arial" w:cs="Arial" w:eastAsia="Arial" w:hAnsi="Arial"/>
                <w:sz w:val="18"/>
                <w:szCs w:val="18"/>
                <w:color w:val="auto"/>
              </w:rPr>
              <w:t>Released/Vested</w:t>
            </w:r>
          </w:p>
        </w:tc>
        <w:tc>
          <w:tcPr>
            <w:tcW w:w="3340" w:type="dxa"/>
            <w:vAlign w:val="bottom"/>
          </w:tcPr>
          <w:p>
            <w:pPr>
              <w:spacing w:after="0"/>
              <w:rPr>
                <w:sz w:val="21"/>
                <w:szCs w:val="21"/>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2018</w:t>
            </w:r>
          </w:p>
        </w:tc>
        <w:tc>
          <w:tcPr>
            <w:tcW w:w="3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219,656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54.40</w:t>
            </w:r>
          </w:p>
        </w:tc>
      </w:tr>
      <w:tr>
        <w:trPr>
          <w:trHeight w:val="20"/>
        </w:trPr>
        <w:tc>
          <w:tcPr>
            <w:tcW w:w="4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554"/>
        </w:trPr>
        <w:tc>
          <w:tcPr>
            <w:tcW w:w="4300" w:type="dxa"/>
            <w:vAlign w:val="bottom"/>
          </w:tcPr>
          <w:p>
            <w:pPr>
              <w:spacing w:after="0"/>
              <w:rPr>
                <w:sz w:val="24"/>
                <w:szCs w:val="24"/>
                <w:color w:val="auto"/>
              </w:rPr>
            </w:pPr>
          </w:p>
        </w:tc>
        <w:tc>
          <w:tcPr>
            <w:tcW w:w="5160" w:type="dxa"/>
            <w:vAlign w:val="bottom"/>
            <w:gridSpan w:val="2"/>
          </w:tcPr>
          <w:p>
            <w:pPr>
              <w:jc w:val="right"/>
              <w:ind w:right="3514"/>
              <w:spacing w:after="0"/>
              <w:rPr>
                <w:sz w:val="20"/>
                <w:szCs w:val="20"/>
                <w:color w:val="auto"/>
              </w:rPr>
            </w:pPr>
            <w:r>
              <w:rPr>
                <w:rFonts w:ascii="Arial" w:cs="Arial" w:eastAsia="Arial" w:hAnsi="Arial"/>
                <w:sz w:val="18"/>
                <w:szCs w:val="18"/>
                <w:color w:val="auto"/>
              </w:rPr>
              <w:t>F-39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 Option Award Activity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activity relating to employees of the Company who held unvested AMC Networks stock options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Shares Under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Option</w:t>
            </w: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260"/>
              <w:spacing w:after="0" w:line="176" w:lineRule="exact"/>
              <w:rPr>
                <w:sz w:val="20"/>
                <w:szCs w:val="20"/>
                <w:color w:val="auto"/>
              </w:rPr>
            </w:pPr>
            <w:r>
              <w:rPr>
                <w:rFonts w:ascii="Arial" w:cs="Arial" w:eastAsia="Arial" w:hAnsi="Arial"/>
                <w:sz w:val="16"/>
                <w:szCs w:val="16"/>
                <w:b w:val="1"/>
                <w:bCs w:val="1"/>
                <w:color w:val="auto"/>
                <w:w w:val="91"/>
              </w:rPr>
              <w:t>Weighted</w:t>
            </w:r>
          </w:p>
        </w:tc>
        <w:tc>
          <w:tcPr>
            <w:tcW w:w="1460" w:type="dxa"/>
            <w:vAlign w:val="bottom"/>
            <w:gridSpan w:val="2"/>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Time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8"/>
                <w:szCs w:val="18"/>
                <w:color w:val="auto"/>
              </w:rPr>
            </w:pPr>
          </w:p>
        </w:tc>
        <w:tc>
          <w:tcPr>
            <w:tcW w:w="1140" w:type="dxa"/>
            <w:vAlign w:val="bottom"/>
          </w:tcPr>
          <w:p>
            <w:pPr>
              <w:jc w:val="center"/>
              <w:ind w:right="153"/>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Vesting</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40" w:type="dxa"/>
            <w:vAlign w:val="bottom"/>
          </w:tcPr>
          <w:p>
            <w:pPr>
              <w:spacing w:after="0"/>
              <w:rPr>
                <w:sz w:val="17"/>
                <w:szCs w:val="17"/>
                <w:color w:val="auto"/>
              </w:rPr>
            </w:pPr>
          </w:p>
        </w:tc>
        <w:tc>
          <w:tcPr>
            <w:tcW w:w="1140" w:type="dxa"/>
            <w:vAlign w:val="bottom"/>
          </w:tcPr>
          <w:p>
            <w:pPr>
              <w:jc w:val="center"/>
              <w:ind w:right="153"/>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140" w:type="dxa"/>
            <w:vAlign w:val="bottom"/>
          </w:tcPr>
          <w:p>
            <w:pPr>
              <w:jc w:val="center"/>
              <w:ind w:right="153"/>
              <w:spacing w:after="0"/>
              <w:rPr>
                <w:sz w:val="20"/>
                <w:szCs w:val="20"/>
                <w:color w:val="auto"/>
              </w:rPr>
            </w:pPr>
            <w:r>
              <w:rPr>
                <w:rFonts w:ascii="Arial" w:cs="Arial" w:eastAsia="Arial" w:hAnsi="Arial"/>
                <w:sz w:val="16"/>
                <w:szCs w:val="16"/>
                <w:b w:val="1"/>
                <w:bCs w:val="1"/>
                <w:color w:val="auto"/>
                <w:w w:val="93"/>
              </w:rPr>
              <w:t>Value(a)</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(89,462)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298,923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exercisable at December 31, 2018</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169,462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expected to vest in the future</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(i) the exercise price of the underlying award and (ii) the quoted price of AMC Networks Class A Common Stock on the reporting date, as indicated.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Share-based Compensation Expense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recorded share-based compensation expense of $61.0 million, $53.5 million and $38.9 million, reduced for forfeitures, for the years ended December 31, 2018, 2017 and 2016, respectively. Forfeitures are estimated based on historical experience. To the extent actual results of forfeitures differ from those estimates, such amounts are recorded as an adjustment in the period the estimates are revised.</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Share-based compensation expense is recognized in the consolidated statements of income as part of selling, general and administrative expenses. As of December 31, 2018, there was $88.9 million of total unrecognized share-based compensation costs related to Company employees who held unvested AMC Networks restricted stock units and options. The unrecognized compensation cost is expected to be recognized over a weighted-average remaining period of approximately 2.25 years. There were no costs related to share-based compensation that were capitalized.</w:t>
      </w:r>
    </w:p>
    <w:p>
      <w:pPr>
        <w:spacing w:after="0" w:line="17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receives income tax deductions related to restricted stock units, stock options or other equity awards granted to its employees by the Company. The Company uses the 'with-and-without' approach to determine the recognition and measurement of excess tax benefits and deficiencies.</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Cash flows resulting from excess tax benefits and deficiencies are classified along with other income tax cash flows as an operating activity for the year ended December 31, 2018 and as cash flows from financing activities for the years ended December 31, 2017 and 2016.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 of $2.0 million and $2.2 million, and $0.8 million of a tax benefit were recorded for the years ended December 31, 2018, 2017 and 2016, respectively.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terms of the 2016 Cash Incentive Plan, the Company is authorized to grant a cash or equity based award to certain employees. The terms and conditions of such awards are determined by the Compensation Committee of the Company's Board of Directors, may include the achievement of certain performance criteria and may extend for a period not to exceed ten years. Beginning in 2016, the Company has granted long-term incentive awards in the form of PRSUs whereas cash awards were issued in prior years.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connection with the long-term incentive awards outstanding, the Company recorded expense of $1.3 million, $7.5 million and $15.1 million for the years ended December 31, 2018,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Benefit Plans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their eligible pay on a before-tax basis as well as a percentage of their eligible pay on an after-tax basis. The Company makes matching contributions on behalf of participating employees in accordance with the terms of the 401(k) Plan. In addition to the matching contribution, the Company may make a discretionary year-end contribution to employee 401(k) Plan and Excess Savings Plan accounts, subject to certain conditions.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expense related to all benefit plans was $5.9 million, $9.1 million and $10.9 million for the years ended December 31, 2018, 2017 and 2016, respectively. The Company does not provide postretirement benefits for any of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Related Party Transactions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3% of the Company's outstanding Class A Common Stock. Such shares of the Company's Class A Common Stock and Class B Common Stock, collectively, represent approximately 73% of the aggregate voting power of the Company's outstanding common stock. Members of the Dolan Family are also the controlling stockholders of The Madison Square Garden Company ("MSG") and MSG Networks Inc. ("MSG Networks"). Prior to June 21, 2016, members of the Dolan Family were also the controlling stockholders of Cablevision.</w:t>
      </w:r>
    </w:p>
    <w:p>
      <w:pPr>
        <w:spacing w:after="0" w:line="8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June 21, 2016, Cablevision was acquired by a subsidiary of Altice N.V. and a change in control occurred which resulted in members of the Dolan Family no longer being controlling stockholders of the surviving company, Altice USA. Accordingly, Altice USA is not a related party of AMC Networks.</w:t>
      </w:r>
    </w:p>
    <w:p>
      <w:pPr>
        <w:spacing w:after="0" w:line="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the Distribution, the Company entered into various agreements with Cablevision that govern certain of the Company's relationships with Cablevision subsequent to the Distribution. These agreements include arrangements with respect to transition services and a number of on-going commercial relationships. The distribution agreement includes an agreement that the Company and Cablevision agree to provide each other with indemnities with respect to liabilities arising out of the businesses Cablevision transferred to the Company. In addition, the Company provides services to and receives services from MSG and MSG Networks.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 net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recorded affiliation fee revenues earned under affiliation agreements with subsidiaries of Cablevision. In addition, AMC Networks Broadcasting &amp; Technology has entered into agreements with MSG Networks to provide various transponder, technical and support services through 2020. Revenues, net from related parties amounted to $5.6 million, $6.2 million and $15.9 million for the years ended December 31, 2018, 2017 and 2016,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Amounts charged to the Company, included in selling, general and administrative expenses, pursuant to a transition services agreement and for other transactions with its related parties amounted to $1.6 million, $1.5 million and $3.1 million for the years ended December 31, 2018, 2017 and 2016, respectively.</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Distribution, Cablevision and AMC Networks entered into a transition services agreement under which, in exchange for the fees specified in such agreement, Cablevision agreed to provide transition services with regard to such areas as accounting, information systems, risk management and employee services, compensation and benefits. Under the transition services agreement, AMC Networks also provides certain services to Cablevision and MSG on behalf of Cablevision. This agreement was terminated effective June 21, 2016.</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initial set-up costs and office expenses is not material.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Cash Flows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2018, 2017 and 2016, the Company's non-cash investing and financing activities and other supplemental data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70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Continuing Operations: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capital lease obligations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Treasury stock not yet settled</w:t>
            </w:r>
          </w:p>
        </w:tc>
        <w:tc>
          <w:tcPr>
            <w:tcW w:w="1380" w:type="dxa"/>
            <w:vAlign w:val="bottom"/>
          </w:tcPr>
          <w:p>
            <w:pPr>
              <w:jc w:val="right"/>
              <w:spacing w:after="0"/>
              <w:rPr>
                <w:sz w:val="20"/>
                <w:szCs w:val="20"/>
                <w:color w:val="auto"/>
              </w:rPr>
            </w:pPr>
            <w:r>
              <w:rPr>
                <w:rFonts w:ascii="Arial" w:cs="Arial" w:eastAsia="Arial" w:hAnsi="Arial"/>
                <w:sz w:val="18"/>
                <w:szCs w:val="18"/>
                <w:color w:val="auto"/>
              </w:rPr>
              <w:t>985</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10,454</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RLJE Warrants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17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1380" w:type="dxa"/>
            <w:vAlign w:val="bottom"/>
          </w:tcPr>
          <w:p>
            <w:pPr>
              <w:jc w:val="right"/>
              <w:spacing w:after="0"/>
              <w:rPr>
                <w:sz w:val="20"/>
                <w:szCs w:val="20"/>
                <w:color w:val="auto"/>
              </w:rPr>
            </w:pPr>
            <w:r>
              <w:rPr>
                <w:rFonts w:ascii="Arial" w:cs="Arial" w:eastAsia="Arial" w:hAnsi="Arial"/>
                <w:sz w:val="18"/>
                <w:szCs w:val="18"/>
                <w:color w:val="auto"/>
              </w:rPr>
              <w:t>5,081</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6,988</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Data: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interest paid—continuing operations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147,710</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110,650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128,319</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 net—continuing operations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138,433</w:t>
            </w:r>
          </w:p>
        </w:tc>
        <w:tc>
          <w:tcPr>
            <w:tcW w:w="17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219,425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106,476</w:t>
            </w:r>
          </w:p>
        </w:tc>
      </w:tr>
      <w:tr>
        <w:trPr>
          <w:trHeight w:val="27"/>
        </w:trPr>
        <w:tc>
          <w:tcPr>
            <w:tcW w:w="67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accumulated other comprehensive loss: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 December 31, 2018</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Currency Translation</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Gains (Losses) on</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16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8"/>
              </w:rPr>
              <w:t>Accumulated Other</w:t>
            </w: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Adjustment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Cash Flow Hedges</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Comprehensive Loss</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(114,386)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(42,072)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loss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4"/>
              </w:rPr>
              <w:t>Net current-period other comprehensive (loss), before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(42,442)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5"/>
              </w:rPr>
              <w:t>Net current-period other comprehensive (loss), net of income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(42,397)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Cumulative effect of adoption of accounting standard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(159,920)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(160,194)</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F-42</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 December 31, 2017</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720" w:type="dxa"/>
            <w:vAlign w:val="bottom"/>
            <w:gridSpan w:val="3"/>
          </w:tcPr>
          <w:p>
            <w:pPr>
              <w:ind w:left="60"/>
              <w:spacing w:after="0"/>
              <w:rPr>
                <w:sz w:val="20"/>
                <w:szCs w:val="20"/>
                <w:color w:val="auto"/>
              </w:rPr>
            </w:pPr>
            <w:r>
              <w:rPr>
                <w:rFonts w:ascii="Arial" w:cs="Arial" w:eastAsia="Arial" w:hAnsi="Arial"/>
                <w:sz w:val="16"/>
                <w:szCs w:val="16"/>
                <w:b w:val="1"/>
                <w:bCs w:val="1"/>
                <w:color w:val="auto"/>
              </w:rPr>
              <w:t>Currency Translation</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 (Losses) on</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16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8"/>
              </w:rPr>
              <w:t>Accumulated Other</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Adjustment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9"/>
              </w:rPr>
              <w:t>Cash Flow Hedges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Comprehensive Loss</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76,023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81,986</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4"/>
              </w:rPr>
              <w:t>Net current-period other comprehensive income (loss), before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76,023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5,398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81,386</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5"/>
              </w:rPr>
              <w:t>Net current-period other comprehensive income (loss), net of</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76,023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79,412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32"/>
        <w:spacing w:after="0" w:line="262" w:lineRule="auto"/>
        <w:tabs>
          <w:tab w:leader="none" w:pos="512"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Effective January 1, 2018, upon adoption of ASU 2016-01, unrealized gains and losses on equity investments with readily determinable fair values are recorded in miscellaneous expense, net. The Company recorded a transition adjustment to reclassify prior period amounts in other comprehensive income to retained earnings.</w:t>
      </w:r>
    </w:p>
    <w:p>
      <w:pPr>
        <w:spacing w:after="0" w:line="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share-based compensation expense or benefit, impairment and related charges (including gains or losses on sales or dispositions of businesses), restructuring expense or credit and the Company’s proportionate share of adjusted operating income (loss) from greater than 50% 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 2018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944,675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91,404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1,036,079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1,468,650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506,902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1,935,850</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2,413,325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598,306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2,971,929</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825,770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726,909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48,621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12,358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60,979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 (credit)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45,847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4,486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91,281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Equity investees (&gt;50% interest) AOI</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3,043</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925,279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932,545</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16,316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73,486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89,802</w:t>
            </w:r>
          </w:p>
        </w:tc>
      </w:tr>
      <w:tr>
        <w:trPr>
          <w:trHeight w:val="602"/>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959,551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89,894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1,049,445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1,408,064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367,288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1,756,246</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2,367,615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457,182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2,805,691</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722,359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43,697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9,848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53,545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 (credit)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28,148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94,638</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894,912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904,818</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80,049</w:t>
            </w:r>
          </w:p>
        </w:tc>
      </w:tr>
      <w:tr>
        <w:trPr>
          <w:trHeight w:val="575"/>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 2016</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990,508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94,467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1,083,975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1,320,532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365,529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1,671,679</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2,311,040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459,996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2,755,654</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784,027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657,556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8,328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38,897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67,805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67,805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84,778</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855,488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28,608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878,539</w:t>
            </w:r>
          </w:p>
        </w:tc>
      </w:tr>
      <w:tr>
        <w:trPr>
          <w:trHeight w:val="23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63,273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79,220</w:t>
            </w:r>
          </w:p>
        </w:tc>
      </w:tr>
      <w:tr>
        <w:trPr>
          <w:trHeight w:val="27"/>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00"/>
          </w:cols>
          <w:pgMar w:left="240" w:top="125" w:right="25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2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(33,600)</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(17,634)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(14,963)</w:t>
            </w:r>
          </w:p>
        </w:tc>
      </w:tr>
      <w:tr>
        <w:trPr>
          <w:trHeight w:val="27"/>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7"/>
        </w:trPr>
        <w:tc>
          <w:tcPr>
            <w:tcW w:w="63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(15,382)</w:t>
            </w:r>
          </w:p>
        </w:tc>
      </w:tr>
      <w:tr>
        <w:trPr>
          <w:trHeight w:val="27"/>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One customer primarily within the National Networks segment accounted for approximately 10% revenues, net for the year ended December 31, 2018 and 11% of consolidated revenues, net for the years ended December 31, 2017 and 2016,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 based on customer location: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 December</w:t>
            </w:r>
          </w:p>
        </w:tc>
        <w:tc>
          <w:tcPr>
            <w:tcW w:w="140" w:type="dxa"/>
            <w:vAlign w:val="bottom"/>
          </w:tcPr>
          <w:p>
            <w:pPr>
              <w:spacing w:after="0"/>
              <w:rPr>
                <w:sz w:val="17"/>
                <w:szCs w:val="17"/>
                <w:color w:val="auto"/>
              </w:rPr>
            </w:pPr>
          </w:p>
        </w:tc>
        <w:tc>
          <w:tcPr>
            <w:tcW w:w="17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3"/>
              </w:rPr>
              <w:t>31, 2018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31, 2017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2,389,624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2,244,057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369,815</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188,070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191,819</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2,971,929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2,805,691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6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2018</w:t>
            </w:r>
          </w:p>
        </w:tc>
        <w:tc>
          <w:tcPr>
            <w:tcW w:w="140" w:type="dxa"/>
            <w:vAlign w:val="bottom"/>
          </w:tcPr>
          <w:p>
            <w:pPr>
              <w:spacing w:after="0"/>
              <w:rPr>
                <w:sz w:val="24"/>
                <w:szCs w:val="24"/>
                <w:color w:val="auto"/>
              </w:rPr>
            </w:pPr>
          </w:p>
        </w:tc>
        <w:tc>
          <w:tcPr>
            <w:tcW w:w="17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December 31, 2017</w:t>
            </w:r>
          </w:p>
        </w:tc>
        <w:tc>
          <w:tcPr>
            <w:tcW w:w="0" w:type="dxa"/>
            <w:vAlign w:val="bottom"/>
          </w:tcPr>
          <w:p>
            <w:pPr>
              <w:spacing w:after="0"/>
              <w:rPr>
                <w:sz w:val="1"/>
                <w:szCs w:val="1"/>
                <w:color w:val="auto"/>
              </w:rPr>
            </w:pPr>
          </w:p>
        </w:tc>
      </w:tr>
      <w:tr>
        <w:trPr>
          <w:trHeight w:val="250"/>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202,833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136,203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16,211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246,262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183,514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Condensed Consolidating Financial Statements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Debt of AMC Networks includes $600.0 million of 4.75% Notes due December 2022 and $1.0 billion of 5.00% Notes due April 2024 and $800.0 million of 4.75% Notes due August 2025. All outstanding senior notes issued by AMC Networks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368,151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rPr>
              <w:t>Accounts receivable, trade (including amounts due from</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380"/>
              <w:spacing w:after="0" w:line="149" w:lineRule="exact"/>
              <w:rPr>
                <w:sz w:val="20"/>
                <w:szCs w:val="20"/>
                <w:color w:val="auto"/>
              </w:rPr>
            </w:pPr>
            <w:r>
              <w:rPr>
                <w:rFonts w:ascii="Arial" w:cs="Arial" w:eastAsia="Arial" w:hAnsi="Arial"/>
                <w:sz w:val="14"/>
                <w:szCs w:val="14"/>
                <w:color w:val="auto"/>
              </w:rPr>
              <w:t>related parties, 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38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600,121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835,977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292,002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440,739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158,936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131,809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1,419,210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594,958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1,963,411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175,040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71,222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246,262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3,656,003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1,655,083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969,802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245,862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1,214,051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16,831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161,417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417,490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578,907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65,282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732,755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798,037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149,724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292,068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441,792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3,662,683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72,436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107,066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173,836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264,918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259,414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84,175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343,589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55,424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18,750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21,334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53,939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505,429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297,103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(59,050)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797,421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373,249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3,088,221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3,088,221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140,474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145,443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98,885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208,036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3,346,003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955,548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391,486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(59,240)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4,633,797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299,558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299,558</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316,680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3,656,003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1,655,083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316,680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28,528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316,680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3,656,003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1,683,611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3,662,683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rPr>
              <w:t>Accounts receivable, trade (including amounts due from</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380"/>
              <w:spacing w:after="0" w:line="149" w:lineRule="exact"/>
              <w:rPr>
                <w:sz w:val="20"/>
                <w:szCs w:val="20"/>
                <w:color w:val="auto"/>
              </w:rPr>
            </w:pPr>
            <w:r>
              <w:rPr>
                <w:rFonts w:ascii="Arial" w:cs="Arial" w:eastAsia="Arial" w:hAnsi="Arial"/>
                <w:sz w:val="14"/>
                <w:szCs w:val="14"/>
                <w:color w:val="auto"/>
              </w:rPr>
              <w:t>related parties, 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38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581,270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775,891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294,303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443,604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183,815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91,726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1,450,636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519,677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1,870,004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47,482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183,514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3,443,013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934,612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1,137,867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191,258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1,329,125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29,924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457,242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628,549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695,158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305,822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447,937</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100" w:type="dxa"/>
            <w:vAlign w:val="bottom"/>
            <w:gridSpan w:val="4"/>
          </w:tcPr>
          <w:p>
            <w:pPr>
              <w:ind w:left="920"/>
              <w:spacing w:after="0"/>
              <w:rPr>
                <w:sz w:val="20"/>
                <w:szCs w:val="20"/>
                <w:color w:val="auto"/>
              </w:rPr>
            </w:pPr>
            <w:r>
              <w:rPr>
                <w:rFonts w:ascii="Arial" w:cs="Arial" w:eastAsia="Arial" w:hAnsi="Arial"/>
                <w:sz w:val="14"/>
                <w:szCs w:val="14"/>
                <w:b w:val="1"/>
                <w:bCs w:val="1"/>
                <w:color w:val="auto"/>
              </w:rPr>
              <w:t>LIABILITIES AND STOCKHOLDERS' (DEFICIENCY)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102,197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136,770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263,076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327,549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52,042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521,758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274,691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744,102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511,996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534,980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3,099,257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3,099,257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114,717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109,698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503,166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136,122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3,312,149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1,114,697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818,354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4,650,436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deficiency: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AMC Networks stockholders' (deficiency)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934,612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134,944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(deficiency)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963,613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2,166,686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820,532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2,971,929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956,272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493,751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1,445,949</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450,880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216,608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657,457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91,281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29,277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16,570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45,847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1,481,633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777,492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2,245,020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685,053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726,909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(151,751)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(135,813)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734,472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32,874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(767,346)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29,177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582,570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59,458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(766,162)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(106,636)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582,570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744,511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(767,346)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620,273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(136,383)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(156,306)</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446,187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(767,346)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463,967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(17,780)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(17,780)</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446,187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446,187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2,182,867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637,823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2,805,691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991,476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352,788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1,341,076</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447,118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178,332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613,342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94,638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28,148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28,148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1,482,083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616,545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2,083,332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700,784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722,359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(129,971)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(119,297)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748,430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40,320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613,925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57,778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(762,087)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(81,981)</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613,925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758,562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640,378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(142,609)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(150,741)</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471,316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31,681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489,637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471,316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13,360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471,316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446,187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(767,346)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463,967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(41,716)</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7"/>
              </w:rPr>
              <w:t>Amounts reclassified from accumulated other comprehensive loss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(loss) income, before income taxes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(42,442)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41,716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(42,442)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(42,397)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41,716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(42,397)</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403,790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734,472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(725,630)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421,570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(16,044)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(16,044)</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403,790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405,526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471,316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31,681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489,637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76,023</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5,398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81,386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81,386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79,412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79,412</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550,728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107,704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(837,813)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569,049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(21,430)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(21,430)</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547,619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503,796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1,351,256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(476,129)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(772,376)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606,547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(74,710)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(89,802)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Payments for acquisitions, net of cash acquired</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(83,714)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(84,389)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 in and loans to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(90,081)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(215,862)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(2,646,335)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1,813,007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1,049,190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(215,862)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(2,721,720)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1,628,208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1,049,190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(260,184)</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(16,836)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(16,836)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(283,143)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(283,143)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4,317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(295,373)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(314,607)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(7,439)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(1,373,464)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1,135,845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276,814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31,756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7,240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1,350,367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(1,116,446)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(276,814)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(35,653)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368,151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2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454,539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662,123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31,157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(762,090)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385,729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(63,925)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(80,049)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Investments in and loans to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(53,000)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(282,424)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(2,234,682)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2,082,401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434,705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(282,424)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(2,296,739)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2,013,856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434,705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(130,602)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1,536,000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1,536,000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(1,257,965)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(1,257,965)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(10,405)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(10,405)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(434,210)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(434,210)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(181,076)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(204,210)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(8,961)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(1,637,341)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2,024,604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(327,385)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50,917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8,716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1,707,639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(2,017,263)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327,385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26,477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Interim Financial Information (Unaudited)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selected quarterly financial data for the years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3"/>
                <w:szCs w:val="13"/>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4"/>
              <w:spacing w:after="0" w:line="158"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761,385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2,971,929</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(635,722)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(2,245,020)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233,655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191,531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137,124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726,909</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160,536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110,332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116,660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76,439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463,967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446,187</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561"/>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3"/>
                <w:szCs w:val="13"/>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4"/>
              <w:spacing w:after="0" w:line="158"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4"/>
              <w:spacing w:after="0" w:line="158"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710,545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2,805,691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(494,669)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(565,390)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(2,083,332)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231,671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153,354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722,359</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142,631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107,626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90,836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148,544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489,637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102,598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145,499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471,316</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results for the fourth quarter of 2017 were impacted by the enactment of the Tax Cuts and Jobs Act. Specifically, the Company recorded a tax benefit of $56.9 million which represents the one-time impact of the change in the corporate tax rate on deferred tax assets and liabilities, partially offset by the one-time transition tax liability, net of foreign taxes deemed paid.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25" w:right="2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2018</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doubtful accounts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2017</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doubtful accounts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2016</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doubtful accounts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8"/>
          <w:szCs w:val="18"/>
          <w:b w:val="1"/>
          <w:bCs w:val="1"/>
          <w:color w:val="auto"/>
        </w:rPr>
        <w:t>AMC NETWORKS INC. AND SUBSIDIARIES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3760"/>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3760"/>
        <w:spacing w:after="0"/>
        <w:rPr>
          <w:sz w:val="20"/>
          <w:szCs w:val="20"/>
          <w:color w:val="auto"/>
        </w:rPr>
      </w:pPr>
      <w:r>
        <w:rPr>
          <w:rFonts w:ascii="Arial" w:cs="Arial" w:eastAsia="Arial" w:hAnsi="Arial"/>
          <w:sz w:val="18"/>
          <w:szCs w:val="18"/>
          <w:b w:val="1"/>
          <w:bCs w:val="1"/>
          <w:color w:val="auto"/>
        </w:rPr>
        <w:t>(Dollars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Deductions/ Write-</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9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Balance at Beginning of</w:t>
            </w:r>
          </w:p>
        </w:tc>
        <w:tc>
          <w:tcPr>
            <w:tcW w:w="19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Provision for (Recovery</w:t>
            </w:r>
          </w:p>
        </w:tc>
        <w:tc>
          <w:tcPr>
            <w:tcW w:w="1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Offs and Other Charges,</w:t>
            </w:r>
          </w:p>
        </w:tc>
        <w:tc>
          <w:tcPr>
            <w:tcW w:w="280" w:type="dxa"/>
            <w:vAlign w:val="bottom"/>
          </w:tcPr>
          <w:p>
            <w:pPr>
              <w:spacing w:after="0"/>
              <w:rPr>
                <w:sz w:val="17"/>
                <w:szCs w:val="17"/>
                <w:color w:val="auto"/>
              </w:rPr>
            </w:pPr>
          </w:p>
        </w:tc>
        <w:tc>
          <w:tcPr>
            <w:tcW w:w="1560" w:type="dxa"/>
            <w:vAlign w:val="bottom"/>
          </w:tcPr>
          <w:p>
            <w:pPr>
              <w:jc w:val="right"/>
              <w:ind w:right="474"/>
              <w:spacing w:after="0"/>
              <w:rPr>
                <w:sz w:val="20"/>
                <w:szCs w:val="20"/>
                <w:color w:val="auto"/>
              </w:rPr>
            </w:pPr>
            <w:r>
              <w:rPr>
                <w:rFonts w:ascii="Arial" w:cs="Arial" w:eastAsia="Arial" w:hAnsi="Arial"/>
                <w:sz w:val="16"/>
                <w:szCs w:val="16"/>
                <w:b w:val="1"/>
                <w:bCs w:val="1"/>
                <w:color w:val="auto"/>
              </w:rPr>
              <w:t>Balance at</w:t>
            </w:r>
          </w:p>
        </w:tc>
      </w:tr>
      <w:tr>
        <w:trPr>
          <w:trHeight w:val="210"/>
        </w:trPr>
        <w:tc>
          <w:tcPr>
            <w:tcW w:w="40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Period</w:t>
            </w:r>
          </w:p>
        </w:tc>
        <w:tc>
          <w:tcPr>
            <w:tcW w:w="3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of) Bad Debt</w:t>
            </w:r>
          </w:p>
        </w:tc>
        <w:tc>
          <w:tcPr>
            <w:tcW w:w="18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8"/>
                <w:szCs w:val="18"/>
                <w:color w:val="auto"/>
              </w:rPr>
            </w:pPr>
          </w:p>
        </w:tc>
        <w:tc>
          <w:tcPr>
            <w:tcW w:w="1560" w:type="dxa"/>
            <w:vAlign w:val="bottom"/>
          </w:tcPr>
          <w:p>
            <w:pPr>
              <w:jc w:val="right"/>
              <w:ind w:right="354"/>
              <w:spacing w:after="0"/>
              <w:rPr>
                <w:sz w:val="20"/>
                <w:szCs w:val="20"/>
                <w:color w:val="auto"/>
              </w:rPr>
            </w:pPr>
            <w:r>
              <w:rPr>
                <w:rFonts w:ascii="Arial" w:cs="Arial" w:eastAsia="Arial" w:hAnsi="Arial"/>
                <w:sz w:val="16"/>
                <w:szCs w:val="16"/>
                <w:b w:val="1"/>
                <w:bCs w:val="1"/>
                <w:color w:val="auto"/>
              </w:rPr>
              <w:t>End of Period</w:t>
            </w:r>
          </w:p>
        </w:tc>
      </w:tr>
      <w:tr>
        <w:trPr>
          <w:trHeight w:val="33"/>
        </w:trPr>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507"/>
        </w:trPr>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9,691</w:t>
            </w:r>
          </w:p>
        </w:tc>
        <w:tc>
          <w:tcPr>
            <w:tcW w:w="10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7,399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10,788</w:t>
            </w:r>
          </w:p>
        </w:tc>
      </w:tr>
      <w:tr>
        <w:trPr>
          <w:trHeight w:val="27"/>
        </w:trPr>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494"/>
        </w:trPr>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9,691</w:t>
            </w:r>
          </w:p>
        </w:tc>
      </w:tr>
      <w:tr>
        <w:trPr>
          <w:trHeight w:val="27"/>
        </w:trPr>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494"/>
        </w:trPr>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6,064</w:t>
            </w:r>
          </w:p>
        </w:tc>
      </w:tr>
      <w:tr>
        <w:trPr>
          <w:trHeight w:val="27"/>
        </w:trPr>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-1114425</wp:posOffset>
            </wp:positionV>
            <wp:extent cx="722947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-753745</wp:posOffset>
            </wp:positionV>
            <wp:extent cx="722947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-385445</wp:posOffset>
            </wp:positionV>
            <wp:extent cx="72294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S-1</w:t>
      </w:r>
    </w:p>
    <w:p>
      <w:pPr>
        <w:sectPr>
          <w:pgSz w:w="11900" w:h="16838" w:orient="portrait"/>
          <w:cols w:equalWidth="0" w:num="2">
            <w:col w:w="3020" w:space="720"/>
            <w:col w:w="7620"/>
          </w:cols>
          <w:pgMar w:left="280" w:top="364" w:right="2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940"/>
              <w:spacing w:after="0"/>
              <w:rPr>
                <w:sz w:val="20"/>
                <w:szCs w:val="20"/>
                <w:color w:val="auto"/>
              </w:rPr>
            </w:pPr>
            <w:r>
              <w:rPr>
                <w:rFonts w:ascii="Arial" w:cs="Arial" w:eastAsia="Arial" w:hAnsi="Arial"/>
                <w:sz w:val="18"/>
                <w:szCs w:val="18"/>
                <w:color w:val="auto"/>
                <w:w w:val="93"/>
              </w:rPr>
              <w:t>Exhibit 21</w:t>
            </w:r>
          </w:p>
        </w:tc>
      </w:tr>
      <w:tr>
        <w:trPr>
          <w:trHeight w:val="702"/>
        </w:trPr>
        <w:tc>
          <w:tcPr>
            <w:tcW w:w="4140" w:type="dxa"/>
            <w:vAlign w:val="bottom"/>
          </w:tcPr>
          <w:p>
            <w:pPr>
              <w:spacing w:after="0"/>
              <w:rPr>
                <w:sz w:val="24"/>
                <w:szCs w:val="24"/>
                <w:color w:val="auto"/>
              </w:rPr>
            </w:pPr>
          </w:p>
        </w:tc>
        <w:tc>
          <w:tcPr>
            <w:tcW w:w="5580" w:type="dxa"/>
            <w:vAlign w:val="bottom"/>
            <w:gridSpan w:val="4"/>
          </w:tcPr>
          <w:p>
            <w:pPr>
              <w:jc w:val="center"/>
              <w:ind w:right="2440"/>
              <w:spacing w:after="0"/>
              <w:rPr>
                <w:sz w:val="20"/>
                <w:szCs w:val="20"/>
                <w:color w:val="auto"/>
              </w:rPr>
            </w:pPr>
            <w:r>
              <w:rPr>
                <w:rFonts w:ascii="Arial" w:cs="Arial" w:eastAsia="Arial" w:hAnsi="Arial"/>
                <w:sz w:val="18"/>
                <w:szCs w:val="18"/>
                <w:b w:val="1"/>
                <w:bCs w:val="1"/>
                <w:color w:val="auto"/>
                <w:w w:val="90"/>
              </w:rPr>
              <w:t>Material Subsidiaries of the Registrant</w:t>
            </w:r>
          </w:p>
        </w:tc>
        <w:tc>
          <w:tcPr>
            <w:tcW w:w="1700" w:type="dxa"/>
            <w:vAlign w:val="bottom"/>
          </w:tcPr>
          <w:p>
            <w:pPr>
              <w:spacing w:after="0"/>
              <w:rPr>
                <w:sz w:val="24"/>
                <w:szCs w:val="24"/>
                <w:color w:val="auto"/>
              </w:rPr>
            </w:pPr>
          </w:p>
        </w:tc>
      </w:tr>
      <w:tr>
        <w:trPr>
          <w:trHeight w:val="324"/>
        </w:trPr>
        <w:tc>
          <w:tcPr>
            <w:tcW w:w="4140" w:type="dxa"/>
            <w:vAlign w:val="bottom"/>
          </w:tcPr>
          <w:p>
            <w:pPr>
              <w:spacing w:after="0"/>
              <w:rPr>
                <w:sz w:val="24"/>
                <w:szCs w:val="24"/>
                <w:color w:val="auto"/>
              </w:rPr>
            </w:pPr>
          </w:p>
        </w:tc>
        <w:tc>
          <w:tcPr>
            <w:tcW w:w="558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w w:val="95"/>
              </w:rPr>
              <w:t>AMC Networks Inc.</w:t>
            </w:r>
          </w:p>
        </w:tc>
        <w:tc>
          <w:tcPr>
            <w:tcW w:w="1700" w:type="dxa"/>
            <w:vAlign w:val="bottom"/>
          </w:tcPr>
          <w:p>
            <w:pPr>
              <w:spacing w:after="0"/>
              <w:rPr>
                <w:sz w:val="24"/>
                <w:szCs w:val="24"/>
                <w:color w:val="auto"/>
              </w:rPr>
            </w:pPr>
          </w:p>
        </w:tc>
      </w:tr>
      <w:tr>
        <w:trPr>
          <w:trHeight w:val="453"/>
        </w:trPr>
        <w:tc>
          <w:tcPr>
            <w:tcW w:w="414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Subsidiary</w:t>
            </w:r>
          </w:p>
        </w:tc>
        <w:tc>
          <w:tcPr>
            <w:tcW w:w="3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Jurisdiction of Formation</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Owned</w:t>
            </w: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AMC Network Entertainment LLC</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AMC Networks International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27"/>
        </w:trPr>
        <w:tc>
          <w:tcPr>
            <w:tcW w:w="4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Chello Zone Holdings Limited</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IFC TV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27"/>
        </w:trPr>
        <w:tc>
          <w:tcPr>
            <w:tcW w:w="4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Rainbow Media Holdings LLC</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Rainbow Programming Holdings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27"/>
        </w:trPr>
        <w:tc>
          <w:tcPr>
            <w:tcW w:w="4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SundanceTV LLC</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WE tv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bl>
    <w:p>
      <w:pPr>
        <w:sectPr>
          <w:pgSz w:w="11900" w:h="16838" w:orient="portrait"/>
          <w:cols w:equalWidth="0" w:num="1">
            <w:col w:w="11420"/>
          </w:cols>
          <w:pgMar w:left="240" w:top="139"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statements (No. 333-210340) on Form S-3 and (No.333-214083) on Form S-8 of AMC Networks Inc. (the “Company”) of our reports, dated March 1, 2019, with respect to the consolidated balance sheets of AMC Networks Inc. as of December 31, 2018 and 2017, the related consolidated statements of income, comprehensive income, stockholders’ equity (deficiency), and cash flows for each of the years in the three-year period ended December 31, 2018, and the related notes and financial statement schedule as listed in the index to Item 15 (collectively, the “consolidated financial statements”), and the effectiveness of internal control over financial reporting as of December 31, 2018, which reports appear in the December 31, 2018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AMC Networks Inc. Our report on the Company’s consolidated financial statements refers to a change in accounting principle due to the Company’s adoption of ASU No. 2014-09, Revenue from Contracts with Customers (Topic 606). Our report on the Company’s internal control over financial reporting refers to the exclusion of Levity Entertainment Group LLC and RLJ Entertainment, Inc. from our audit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34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22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7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6"/>
        <w:spacing w:after="0" w:line="308" w:lineRule="auto"/>
        <w:tabs>
          <w:tab w:leader="none" w:pos="1037"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right="20" w:hanging="6"/>
        <w:spacing w:after="0" w:line="264" w:lineRule="auto"/>
        <w:tabs>
          <w:tab w:leader="none" w:pos="9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6"/>
        <w:spacing w:after="0" w:line="277" w:lineRule="auto"/>
        <w:tabs>
          <w:tab w:leader="none" w:pos="8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8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060" w:val="left"/>
          <w:tab w:leader="none" w:pos="4260" w:val="left"/>
          <w:tab w:leader="none" w:pos="4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225"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6"/>
        <w:spacing w:after="0" w:line="308" w:lineRule="auto"/>
        <w:tabs>
          <w:tab w:leader="none" w:pos="1037"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right="20" w:hanging="6"/>
        <w:spacing w:after="0" w:line="264" w:lineRule="auto"/>
        <w:tabs>
          <w:tab w:leader="none" w:pos="91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6"/>
        <w:spacing w:after="0" w:line="277" w:lineRule="auto"/>
        <w:tabs>
          <w:tab w:leader="none" w:pos="8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8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060" w:val="left"/>
          <w:tab w:leader="none" w:pos="4260" w:val="left"/>
          <w:tab w:leader="none" w:pos="4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Annual Report on Form 10-K for the period ended December 31, 2018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940" w:val="left"/>
          <w:tab w:leader="none" w:pos="60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940" w:val="left"/>
          <w:tab w:leader="none" w:pos="60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lvl w:ilvl="1">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lvl w:ilvl="1">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21"/>
    </w:lvl>
  </w:abstractNum>
  <w:abstractNum w:abstractNumId="22">
    <w:nsid w:val="8138641"/>
    <w:multiLevelType w:val="hybridMultilevel"/>
    <w:lvl w:ilvl="0">
      <w:lvlJc w:val="left"/>
      <w:lvlText w:val="%1"/>
      <w:numFmt w:val="decimal"/>
      <w:start w:val="23"/>
    </w:lvl>
  </w:abstractNum>
  <w:abstractNum w:abstractNumId="23">
    <w:nsid w:val="1E7FF521"/>
    <w:multiLevelType w:val="hybridMultilevel"/>
    <w:lvl w:ilvl="0">
      <w:lvlJc w:val="left"/>
      <w:lvlText w:val="%1"/>
      <w:numFmt w:val="decimal"/>
      <w:start w:val="32"/>
    </w:lvl>
  </w:abstractNum>
  <w:abstractNum w:abstractNumId="24">
    <w:nsid w:val="7C3DBD3D"/>
    <w:multiLevelType w:val="hybridMultilevel"/>
    <w:lvl w:ilvl="0">
      <w:lvlJc w:val="left"/>
      <w:lvlText w:val="•"/>
      <w:numFmt w:val="bullet"/>
      <w:start w:val="1"/>
    </w:lvl>
    <w:lvl w:ilvl="1">
      <w:lvlJc w:val="left"/>
      <w:lvlText w:val="•"/>
      <w:numFmt w:val="bullet"/>
      <w:start w:val="1"/>
    </w:lvl>
  </w:abstractNum>
  <w:abstractNum w:abstractNumId="25">
    <w:nsid w:val="737B8DDC"/>
    <w:multiLevelType w:val="hybridMultilevel"/>
    <w:lvl w:ilvl="0">
      <w:lvlJc w:val="left"/>
      <w:lvlText w:val="(%1)"/>
      <w:numFmt w:val="lowerRoman"/>
      <w:start w:val="2"/>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49" Type="http://schemas.openxmlformats.org/officeDocument/2006/relationships/image" Target="media/image8.png"/><Relationship Id="rId50" Type="http://schemas.openxmlformats.org/officeDocument/2006/relationships/image" Target="media/image9.png"/><Relationship Id="rId51" Type="http://schemas.openxmlformats.org/officeDocument/2006/relationships/image" Target="media/image10.png"/><Relationship Id="rId52" Type="http://schemas.openxmlformats.org/officeDocument/2006/relationships/image" Target="media/image11.png"/><Relationship Id="rId53" Type="http://schemas.openxmlformats.org/officeDocument/2006/relationships/image" Target="media/image12.png"/><Relationship Id="rId54" Type="http://schemas.openxmlformats.org/officeDocument/2006/relationships/image" Target="media/image13.png"/><Relationship Id="rId55" Type="http://schemas.openxmlformats.org/officeDocument/2006/relationships/image" Target="media/image14.png"/><Relationship Id="rId56"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png"/><Relationship Id="rId60" Type="http://schemas.openxmlformats.org/officeDocument/2006/relationships/image" Target="media/image19.png"/><Relationship Id="rId61" Type="http://schemas.openxmlformats.org/officeDocument/2006/relationships/image" Target="media/image20.png"/><Relationship Id="rId62" Type="http://schemas.openxmlformats.org/officeDocument/2006/relationships/image" Target="media/image21.png"/><Relationship Id="rId63"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15" Type="http://schemas.openxmlformats.org/officeDocument/2006/relationships/hyperlink" Target="http://www.sec.gov/Archives/edgar/data/1514991/000095012311058200/y91125a6exv2w1.htm" TargetMode="External"/><Relationship Id="rId16" Type="http://schemas.openxmlformats.org/officeDocument/2006/relationships/hyperlink" Target="http://www.sec.gov/Archives/edgar/data/1514991/000119312518230456/d586184dex21.htm" TargetMode="External"/><Relationship Id="rId17" Type="http://schemas.openxmlformats.org/officeDocument/2006/relationships/hyperlink" Target="http://www.sec.gov/Archives/edgar/data/1514991/000095012311063740/y91900exv99w4.htm" TargetMode="External"/><Relationship Id="rId18" Type="http://schemas.openxmlformats.org/officeDocument/2006/relationships/hyperlink" Target="http://www.sec.gov/Archives/edgar/data/1514991/000095012311063740/y91900exv99w5.htm" TargetMode="External"/><Relationship Id="rId19" Type="http://schemas.openxmlformats.org/officeDocument/2006/relationships/hyperlink" Target="http://www.sec.gov/Archives/edgar/data/1514991/000095012311056616/y91125a5exv3w5.htm" TargetMode="External"/><Relationship Id="rId20" Type="http://schemas.openxmlformats.org/officeDocument/2006/relationships/hyperlink" Target="http://www.sec.gov/Archives/edgar/data/1514991/000095012311056616/y91125a5exv3w6.htm" TargetMode="External"/><Relationship Id="rId21" Type="http://schemas.openxmlformats.org/officeDocument/2006/relationships/hyperlink" Target="http://www.sec.gov/Archives/edgar/data/1514991/000095012311063740/y91900exv99w2.htm" TargetMode="External"/><Relationship Id="rId22" Type="http://schemas.openxmlformats.org/officeDocument/2006/relationships/hyperlink" Target="http://www.sec.gov/Archives/edgar/data/1289606/000119312512496189/d448133dex41.htm" TargetMode="External"/><Relationship Id="rId23" Type="http://schemas.openxmlformats.org/officeDocument/2006/relationships/hyperlink" Target="http://www.sec.gov/Archives/edgar/data/1514991/000119312512504955/d456114dex41.htm" TargetMode="External"/><Relationship Id="rId24" Type="http://schemas.openxmlformats.org/officeDocument/2006/relationships/hyperlink" Target="http://www.sec.gov/Archives/edgar/data/1514991/000119312517240565/d435389dex41.htm" TargetMode="External"/><Relationship Id="rId25" Type="http://schemas.openxmlformats.org/officeDocument/2006/relationships/hyperlink" Target="http://www.sec.gov/Archives/edgar/data/1514991/000119312516523870/d144606dex41.htm" TargetMode="External"/><Relationship Id="rId26" Type="http://schemas.openxmlformats.org/officeDocument/2006/relationships/hyperlink" Target="http://www.sec.gov/Archives/edgar/data/1514991/000119312517240565/d435389dex42.htm" TargetMode="External"/><Relationship Id="rId27" Type="http://schemas.openxmlformats.org/officeDocument/2006/relationships/hyperlink" Target="http://www.sec.gov/Archives/edgar/data/1514991/000095012311056616/y91125a5exv10w2.htm" TargetMode="External"/><Relationship Id="rId28" Type="http://schemas.openxmlformats.org/officeDocument/2006/relationships/hyperlink" Target="http://www.sec.gov/Archives/edgar/data/1514991/000095012311056616/y91125a5exv10w5.htm" TargetMode="External"/><Relationship Id="rId29" Type="http://schemas.openxmlformats.org/officeDocument/2006/relationships/hyperlink" Target="http://www.sec.gov/Archives/edgar/data/1514991/000119312517240565/d435389dex101.htm" TargetMode="External"/><Relationship Id="rId30" Type="http://schemas.openxmlformats.org/officeDocument/2006/relationships/hyperlink" Target="http://www.sec.gov/Archives/edgar/data/1514991/000119312512347653/d392047dex101.htm" TargetMode="External"/><Relationship Id="rId31" Type="http://schemas.openxmlformats.org/officeDocument/2006/relationships/hyperlink" Target="http://www.sec.gov/Archives/edgar/data/1514991/000119312512347653/d392047dex103.htm" TargetMode="External"/><Relationship Id="rId32" Type="http://schemas.openxmlformats.org/officeDocument/2006/relationships/hyperlink" Target="http://www.sec.gov/Archives/edgar/data/1514991/000095012311056616/y91125a5exv10w13.htm" TargetMode="External"/><Relationship Id="rId33" Type="http://schemas.openxmlformats.org/officeDocument/2006/relationships/hyperlink" Target="http://www.sec.gov/Archives/edgar/data/1514991/000151499114000012/amcx-4292014xex101.htm" TargetMode="External"/><Relationship Id="rId34" Type="http://schemas.openxmlformats.org/officeDocument/2006/relationships/hyperlink" Target="http://www.sec.gov/Archives/edgar/data/1514991/000151499114000012/amcx-4292014xex102.htm" TargetMode="External"/><Relationship Id="rId35" Type="http://schemas.openxmlformats.org/officeDocument/2006/relationships/hyperlink" Target="http://www.sec.gov/Archives/edgar/data/1514991/000151499116000066/exhibit101.htm" TargetMode="External"/><Relationship Id="rId36" Type="http://schemas.openxmlformats.org/officeDocument/2006/relationships/hyperlink" Target="http://www.sec.gov/Archives/edgar/data/1514991/000151499118000024/amcx101218ex-101.htm" TargetMode="External"/><Relationship Id="rId37" Type="http://schemas.openxmlformats.org/officeDocument/2006/relationships/hyperlink" Target="http://www.sec.gov/Archives/edgar/data/1514991/000151499118000024/amcx101218ex-102.htm" TargetMode="External"/><Relationship Id="rId38" Type="http://schemas.openxmlformats.org/officeDocument/2006/relationships/hyperlink" Target="http://www.sec.gov/Archives/edgar/data/1514991/000095012311056616/y91125a5exv10w22.htm" TargetMode="External"/><Relationship Id="rId39" Type="http://schemas.openxmlformats.org/officeDocument/2006/relationships/hyperlink" Target="http://www.sec.gov/Archives/edgar/data/1514991/000119312512347653/d392047dex104.htm" TargetMode="External"/><Relationship Id="rId40" Type="http://schemas.openxmlformats.org/officeDocument/2006/relationships/hyperlink" Target="http://www.sec.gov/Archives/edgar/data/1514991/000151499116000043/amcx-12312015xex1031.htm" TargetMode="External"/><Relationship Id="rId41" Type="http://schemas.openxmlformats.org/officeDocument/2006/relationships/hyperlink" Target="http://www.sec.gov/Archives/edgar/data/1514991/000151499116000043/amcx-12312015xex1032.htm" TargetMode="External"/><Relationship Id="rId42" Type="http://schemas.openxmlformats.org/officeDocument/2006/relationships/hyperlink" Target="http://www.sec.gov/Archives/edgar/data/1514991/000151499116000066/exhibit102.htm" TargetMode="External"/><Relationship Id="rId43" Type="http://schemas.openxmlformats.org/officeDocument/2006/relationships/hyperlink" Target="http://www.sec.gov/Archives/edgar/data/1514991/000151499116000057/amcx-812016xex101.htm" TargetMode="External"/><Relationship Id="rId44" Type="http://schemas.openxmlformats.org/officeDocument/2006/relationships/hyperlink" Target="http://www.sec.gov/Archives/edgar/data/1514991/000119312516604281/d200622dex991.htm" TargetMode="External"/><Relationship Id="rId45" Type="http://schemas.openxmlformats.org/officeDocument/2006/relationships/hyperlink" Target="http://www.sec.gov/Archives/edgar/data/1514991/000119312516561271/d145700ddef14a.htm#toc145700_46" TargetMode="External"/><Relationship Id="rId46" Type="http://schemas.openxmlformats.org/officeDocument/2006/relationships/hyperlink" Target="http://www.sec.gov/Archives/edgar/data/1514991/000151499116000061/amcx-6302016xex101.htm" TargetMode="External"/><Relationship Id="rId47" Type="http://schemas.openxmlformats.org/officeDocument/2006/relationships/hyperlink" Target="http://www.sec.gov/Archives/edgar/data/1514991/000151499118000004/amcx-12312017xex1021.htm" TargetMode="External"/><Relationship Id="rId48" Type="http://schemas.openxmlformats.org/officeDocument/2006/relationships/hyperlink" Target="http://www.sec.gov/Archives/edgar/data/1514991/000151499118000004/amcx-12312017x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2019-12-28T15:39:44Z</dcterms:created>
  <dcterms:modified xsi:type="dcterms:W3CDTF">2019-12-28T15:39:44Z</dcterms:modified>
</cp:coreProperties>
</file>