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193040</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147955</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1420" w:hanging="541"/>
        <w:spacing w:after="0"/>
        <w:tabs>
          <w:tab w:leader="none" w:pos="1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3" w:lineRule="exact"/>
        <w:rPr>
          <w:sz w:val="24"/>
          <w:szCs w:val="24"/>
          <w:color w:val="auto"/>
        </w:rPr>
      </w:pPr>
    </w:p>
    <w:p>
      <w:pPr>
        <w:ind w:left="1420" w:hanging="541"/>
        <w:spacing w:after="0"/>
        <w:tabs>
          <w:tab w:leader="none" w:pos="1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426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217170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AMC Networks Inc.</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140335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2100" w:type="dxa"/>
        <w:tblCellMar>
          <w:top w:w="0" w:type="dxa"/>
          <w:left w:w="0" w:type="dxa"/>
          <w:bottom w:w="0" w:type="dxa"/>
          <w:right w:w="0" w:type="dxa"/>
        </w:tblCellMar>
      </w:tblPr>
      <w:tr>
        <w:trPr>
          <w:trHeight w:val="238"/>
        </w:trPr>
        <w:tc>
          <w:tcPr>
            <w:tcW w:w="5360" w:type="dxa"/>
            <w:vAlign w:val="bottom"/>
            <w:gridSpan w:val="2"/>
          </w:tcPr>
          <w:p>
            <w:pPr>
              <w:jc w:val="center"/>
              <w:ind w:right="292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78"/>
        </w:trPr>
        <w:tc>
          <w:tcPr>
            <w:tcW w:w="5360" w:type="dxa"/>
            <w:vAlign w:val="bottom"/>
            <w:gridSpan w:val="2"/>
          </w:tcPr>
          <w:p>
            <w:pPr>
              <w:jc w:val="center"/>
              <w:ind w:right="292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gridSpan w:val="2"/>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360" w:type="dxa"/>
            <w:vAlign w:val="bottom"/>
            <w:gridSpan w:val="2"/>
          </w:tcPr>
          <w:p>
            <w:pPr>
              <w:jc w:val="center"/>
              <w:ind w:right="292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gridSpan w:val="2"/>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5360" w:type="dxa"/>
            <w:vAlign w:val="bottom"/>
            <w:gridSpan w:val="2"/>
          </w:tcPr>
          <w:p>
            <w:pPr>
              <w:jc w:val="center"/>
              <w:ind w:right="2928"/>
              <w:spacing w:after="0"/>
              <w:rPr>
                <w:sz w:val="20"/>
                <w:szCs w:val="20"/>
                <w:color w:val="auto"/>
              </w:rPr>
            </w:pPr>
            <w:r>
              <w:rPr>
                <w:rFonts w:ascii="Times New Roman" w:cs="Times New Roman" w:eastAsia="Times New Roman" w:hAnsi="Times New Roman"/>
                <w:sz w:val="18"/>
                <w:szCs w:val="18"/>
                <w:b w:val="1"/>
                <w:bCs w:val="1"/>
                <w:color w:val="auto"/>
                <w:w w:val="99"/>
              </w:rPr>
              <w:t>11 Penn Plaza,</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5360" w:type="dxa"/>
            <w:vAlign w:val="bottom"/>
            <w:gridSpan w:val="2"/>
          </w:tcPr>
          <w:p>
            <w:pPr>
              <w:jc w:val="center"/>
              <w:ind w:right="2928"/>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0"/>
        </w:trPr>
        <w:tc>
          <w:tcPr>
            <w:tcW w:w="5360" w:type="dxa"/>
            <w:vAlign w:val="bottom"/>
            <w:gridSpan w:val="2"/>
          </w:tcPr>
          <w:p>
            <w:pPr>
              <w:jc w:val="center"/>
              <w:ind w:right="29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gridSpan w:val="2"/>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5360" w:type="dxa"/>
            <w:vAlign w:val="bottom"/>
            <w:gridSpan w:val="2"/>
          </w:tcPr>
          <w:p>
            <w:pPr>
              <w:jc w:val="right"/>
              <w:ind w:right="1108"/>
              <w:spacing w:after="0"/>
              <w:rPr>
                <w:sz w:val="20"/>
                <w:szCs w:val="20"/>
                <w:color w:val="auto"/>
              </w:rPr>
            </w:pPr>
            <w:r>
              <w:rPr>
                <w:rFonts w:ascii="Times New Roman" w:cs="Times New Roman" w:eastAsia="Times New Roman" w:hAnsi="Times New Roman"/>
                <w:sz w:val="18"/>
                <w:szCs w:val="18"/>
                <w:b w:val="1"/>
                <w:bCs w:val="1"/>
                <w:color w:val="auto"/>
              </w:rPr>
              <w:t>(212) 324-8500</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400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86"/>
        </w:trPr>
        <w:tc>
          <w:tcPr>
            <w:tcW w:w="1360" w:type="dxa"/>
            <w:vAlign w:val="bottom"/>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r>
    </w:tbl>
    <w:p>
      <w:pPr>
        <w:spacing w:after="0" w:line="26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(as defined in Exchange Act Rule 12b-2).</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2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90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outstanding as of October 27, 2017</w:t>
      </w:r>
    </w:p>
    <w:p>
      <w:pPr>
        <w:spacing w:after="0" w:line="199"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50,379,032</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par value $0.01 per share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11,484,408</w:t>
            </w:r>
          </w:p>
        </w:tc>
      </w:tr>
    </w:tbl>
    <w:p>
      <w:pPr>
        <w:sectPr>
          <w:pgSz w:w="11900" w:h="16838" w:orient="portrait"/>
          <w:cols w:equalWidth="0" w:num="1">
            <w:col w:w="11420"/>
          </w:cols>
          <w:pgMar w:left="240" w:top="511" w:right="2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AMC NETWORKS INC. AND SUBSIDIARIES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7"/>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58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Financial Statements (unaudited)</w:t>
              </w:r>
            </w:hyperlink>
          </w:p>
        </w:tc>
        <w:tc>
          <w:tcPr>
            <w:tcW w:w="740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708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Income</w:t>
              </w:r>
            </w:hyperlink>
          </w:p>
        </w:tc>
        <w:tc>
          <w:tcPr>
            <w:tcW w:w="6600" w:type="dxa"/>
            <w:vAlign w:val="bottom"/>
            <w:gridSpan w:val="5"/>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w:t>
              </w:r>
            </w:hyperlink>
          </w:p>
        </w:tc>
        <w:tc>
          <w:tcPr>
            <w:tcW w:w="54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w:t>
              </w:r>
            </w:hyperlink>
          </w:p>
        </w:tc>
        <w:tc>
          <w:tcPr>
            <w:tcW w:w="630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60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5"/>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29</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900" w:type="dxa"/>
            <w:vAlign w:val="bottom"/>
            <w:gridSpan w:val="14"/>
          </w:tcPr>
          <w:p>
            <w:pPr>
              <w:spacing w:after="0"/>
              <w:rPr>
                <w:rFonts w:ascii="Times New Roman" w:cs="Times New Roman" w:eastAsia="Times New Roman" w:hAnsi="Times New Roman"/>
                <w:sz w:val="18"/>
                <w:szCs w:val="18"/>
                <w:color w:val="0000EE"/>
                <w:w w:val="98"/>
              </w:rPr>
            </w:pPr>
            <w:hyperlink w:anchor="page50">
              <w:r>
                <w:rPr>
                  <w:rFonts w:ascii="Times New Roman" w:cs="Times New Roman" w:eastAsia="Times New Roman" w:hAnsi="Times New Roman"/>
                  <w:sz w:val="18"/>
                  <w:szCs w:val="18"/>
                  <w:color w:val="0000EE"/>
                  <w:w w:val="98"/>
                </w:rPr>
                <w:t>Item 3. Quantitative and Qualitative Disclosures About Market Risk</w:t>
              </w:r>
            </w:hyperlink>
          </w:p>
        </w:tc>
        <w:tc>
          <w:tcPr>
            <w:tcW w:w="2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48</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544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4.</w:t>
              </w:r>
            </w:hyperlink>
          </w:p>
        </w:tc>
        <w:tc>
          <w:tcPr>
            <w:tcW w:w="4360" w:type="dxa"/>
            <w:vAlign w:val="bottom"/>
            <w:gridSpan w:val="12"/>
          </w:tcPr>
          <w:p>
            <w:pPr>
              <w:ind w:lef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Controls and Procedures</w:t>
              </w:r>
            </w:hyperlink>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49</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17"/>
          </w:tcPr>
          <w:p>
            <w:pPr>
              <w:spacing w:after="0"/>
              <w:rPr>
                <w:rFonts w:ascii="Times New Roman" w:cs="Times New Roman" w:eastAsia="Times New Roman" w:hAnsi="Times New Roman"/>
                <w:sz w:val="18"/>
                <w:szCs w:val="18"/>
                <w:b w:val="1"/>
                <w:bCs w:val="1"/>
                <w:color w:val="0000EE"/>
              </w:rPr>
            </w:pPr>
            <w:hyperlink w:anchor="page52">
              <w:r>
                <w:rPr>
                  <w:rFonts w:ascii="Times New Roman" w:cs="Times New Roman" w:eastAsia="Times New Roman" w:hAnsi="Times New Roman"/>
                  <w:sz w:val="18"/>
                  <w:szCs w:val="18"/>
                  <w:b w:val="1"/>
                  <w:bCs w:val="1"/>
                  <w:color w:val="0000EE"/>
                </w:rPr>
                <w:t>PART II. OTHER INFORMATION</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1.</w:t>
              </w:r>
            </w:hyperlink>
          </w:p>
        </w:tc>
        <w:tc>
          <w:tcPr>
            <w:tcW w:w="1980" w:type="dxa"/>
            <w:vAlign w:val="bottom"/>
            <w:tcBorders>
              <w:top w:val="single" w:sz="8" w:color="0000EE"/>
            </w:tcBorders>
            <w:gridSpan w:val="5"/>
          </w:tcPr>
          <w:p>
            <w:pPr>
              <w:ind w:lef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Legal Proceedings</w:t>
              </w:r>
            </w:hyperlink>
          </w:p>
        </w:tc>
        <w:tc>
          <w:tcPr>
            <w:tcW w:w="782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50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2.</w:t>
              </w:r>
            </w:hyperlink>
          </w:p>
        </w:tc>
        <w:tc>
          <w:tcPr>
            <w:tcW w:w="9800" w:type="dxa"/>
            <w:vAlign w:val="bottom"/>
            <w:gridSpan w:val="14"/>
          </w:tcPr>
          <w:p>
            <w:pPr>
              <w:ind w:lef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Unregistered Sales of Equity Securities and Use of Proceeds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40" w:type="dxa"/>
            <w:vAlign w:val="bottom"/>
            <w:gridSpan w:val="10"/>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6.</w:t>
              </w:r>
            </w:hyperlink>
          </w:p>
        </w:tc>
        <w:tc>
          <w:tcPr>
            <w:tcW w:w="620" w:type="dxa"/>
            <w:vAlign w:val="bottom"/>
            <w:gridSpan w:val="2"/>
          </w:tcPr>
          <w:p>
            <w:pPr>
              <w:ind w:left="20"/>
              <w:spacing w:after="0"/>
              <w:rPr>
                <w:rFonts w:ascii="Times New Roman" w:cs="Times New Roman" w:eastAsia="Times New Roman" w:hAnsi="Times New Roman"/>
                <w:sz w:val="18"/>
                <w:szCs w:val="18"/>
                <w:color w:val="0000EE"/>
                <w:w w:val="96"/>
              </w:rPr>
            </w:pPr>
            <w:hyperlink w:anchor="page53">
              <w:r>
                <w:rPr>
                  <w:rFonts w:ascii="Times New Roman" w:cs="Times New Roman" w:eastAsia="Times New Roman" w:hAnsi="Times New Roman"/>
                  <w:sz w:val="18"/>
                  <w:szCs w:val="18"/>
                  <w:color w:val="0000EE"/>
                  <w:w w:val="96"/>
                </w:rPr>
                <w:t>Exhibits</w:t>
              </w:r>
            </w:hyperlink>
          </w:p>
        </w:tc>
        <w:tc>
          <w:tcPr>
            <w:tcW w:w="3740" w:type="dxa"/>
            <w:vAlign w:val="bottom"/>
            <w:gridSpan w:val="10"/>
          </w:tcPr>
          <w:p>
            <w:pPr>
              <w:spacing w:after="0"/>
              <w:rPr>
                <w:sz w:val="21"/>
                <w:szCs w:val="21"/>
                <w:color w:val="auto"/>
              </w:rPr>
            </w:pPr>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51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Times New Roman" w:cs="Times New Roman" w:eastAsia="Times New Roman" w:hAnsi="Times New Roman"/>
                <w:sz w:val="18"/>
                <w:szCs w:val="18"/>
                <w:b w:val="1"/>
                <w:bCs w:val="1"/>
                <w:color w:val="0000EE"/>
                <w:w w:val="97"/>
              </w:rPr>
            </w:pPr>
            <w:hyperlink w:anchor="page54">
              <w:r>
                <w:rPr>
                  <w:rFonts w:ascii="Times New Roman" w:cs="Times New Roman" w:eastAsia="Times New Roman" w:hAnsi="Times New Roman"/>
                  <w:sz w:val="18"/>
                  <w:szCs w:val="18"/>
                  <w:b w:val="1"/>
                  <w:bCs w:val="1"/>
                  <w:color w:val="0000EE"/>
                  <w:w w:val="97"/>
                </w:rPr>
                <w:t>SIGNATURES</w:t>
              </w:r>
            </w:hyperlink>
          </w:p>
        </w:tc>
        <w:tc>
          <w:tcPr>
            <w:tcW w:w="942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52</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63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ind w:left="4040"/>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ind w:left="3780"/>
        <w:spacing w:after="0" w:line="235" w:lineRule="auto"/>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spacing w:after="0" w:line="212" w:lineRule="auto"/>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552,289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481,389</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trade (less allowance for doubtful accounts of $8,190 and $6,064)</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712,176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700,655</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Amounts due from related parties,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508</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program rights,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452,709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441,130</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72,661</w:t>
            </w:r>
          </w:p>
        </w:tc>
      </w:tr>
      <w:tr>
        <w:trPr>
          <w:trHeight w:val="217"/>
        </w:trPr>
        <w:tc>
          <w:tcPr>
            <w:tcW w:w="76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1,817,104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1,696,343</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$267,740 and $272,148</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172,621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166,636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Program rights,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1,239,506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1,108,586</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carriage fees,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43,886</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473,699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485,809</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690,854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657,708</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8,598</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442,388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313,029</w:t>
            </w:r>
          </w:p>
        </w:tc>
      </w:tr>
      <w:tr>
        <w:trPr>
          <w:trHeight w:val="284"/>
        </w:trPr>
        <w:tc>
          <w:tcPr>
            <w:tcW w:w="76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4,890,764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4,480,595</w:t>
            </w:r>
          </w:p>
        </w:tc>
      </w:tr>
      <w:tr>
        <w:trPr>
          <w:trHeight w:val="237"/>
        </w:trPr>
        <w:tc>
          <w:tcPr>
            <w:tcW w:w="7660" w:type="dxa"/>
            <w:vAlign w:val="bottom"/>
            <w:tcBorders>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(DEFICIENCY)</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78,904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88,677</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252,495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284,429</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program rights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300,845</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51,579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53,643</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222,000</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capital lease obligations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4,584</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706,168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954,178</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455,167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398,175</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3,097,350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2,597,263</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 lease obligations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35,282</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145,791</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130,379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132,219</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4,589,805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4,262,908</w:t>
            </w:r>
          </w:p>
        </w:tc>
      </w:tr>
      <w:tr>
        <w:trPr>
          <w:trHeight w:val="21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217,697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219,331</w:t>
            </w:r>
          </w:p>
        </w:tc>
      </w:tr>
      <w:tr>
        <w:trPr>
          <w:trHeight w:val="231"/>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 (deficiency):</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6"/>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Class A Common Stock, $0.01 par value, 360,000 shares authorized, 62,702 and 62,409 shares issued and 51,229</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3"/>
        </w:trPr>
        <w:tc>
          <w:tcPr>
            <w:tcW w:w="7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and 57,079 shares outstanding,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624</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Class B Common Stock, $0.01 par value, 90,000 shares authorized, 11,484 shares issued and outstanding</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Preferred stock, $0.01 par value, 45,000 shares authorized; none issued</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Paid-in capital</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179,289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142,798</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621,225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295,409</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stock, at cost (11,474 and 5,330 shares Class A Common Stock, respectively)</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(275,230)</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(193,798)</w:t>
            </w:r>
          </w:p>
        </w:tc>
      </w:tr>
      <w:tr>
        <w:trPr>
          <w:trHeight w:val="217"/>
        </w:trPr>
        <w:tc>
          <w:tcPr>
            <w:tcW w:w="76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AMC Networks stockholders’ equity (deficiency)</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54,373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(30,082)</w:t>
            </w:r>
          </w:p>
        </w:tc>
      </w:tr>
      <w:tr>
        <w:trPr>
          <w:trHeight w:val="33"/>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28,438</w:t>
            </w:r>
          </w:p>
        </w:tc>
      </w:tr>
      <w:tr>
        <w:trPr>
          <w:trHeight w:val="217"/>
        </w:trPr>
        <w:tc>
          <w:tcPr>
            <w:tcW w:w="76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stockholders’ equity (deficiency)</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83,262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 (deficiency)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4,890,764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4,480,595</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20"/>
          </w:cols>
          <w:pgMar w:left="240" w:top="360" w:right="239" w:bottom="1035"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035" w:gutter="0" w:footer="0" w:header="0"/>
          <w:type w:val="continuous"/>
        </w:sectPr>
      </w:pPr>
    </w:p>
    <w:bookmarkStart w:id="3" w:name="page4"/>
    <w:bookmarkEnd w:id="3"/>
    <w:p>
      <w:pPr>
        <w:ind w:left="4040"/>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w:t>
      </w:r>
    </w:p>
    <w:p>
      <w:pPr>
        <w:ind w:left="4300"/>
        <w:spacing w:after="0" w:line="235" w:lineRule="auto"/>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660" w:type="dxa"/>
            <w:vAlign w:val="bottom"/>
            <w:gridSpan w:val="4"/>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5"/>
        </w:trPr>
        <w:tc>
          <w:tcPr>
            <w:tcW w:w="56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Revenues, net (including revenues, net from related parties of $1,515,</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61"/>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$1,450, $4,594 and $14,356, 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648,023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634,646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2,078,757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2,026,057</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322,743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956,200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915,336</w:t>
            </w:r>
          </w:p>
        </w:tc>
      </w:tr>
      <w:tr>
        <w:trPr>
          <w:trHeight w:val="225"/>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(including charges from related</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56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parties of $216, $647, $1,205 and $2,537, respectively)</w:t>
            </w:r>
          </w:p>
        </w:tc>
        <w:tc>
          <w:tcPr>
            <w:tcW w:w="14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138,688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464,670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473,760</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63,467</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19,666</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494,669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517,509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1,517,942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1,472,229</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153,354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117,137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560,815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553,828</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(93,431)</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Miscellaneous, net</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42,448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(163,814)</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130,960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88,626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514,491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390,014</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(119,090)</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90,836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67,469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341,092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270,924</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AMC Networks’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87,002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65,393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325,816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256,016</w:t>
            </w:r>
          </w:p>
        </w:tc>
      </w:tr>
      <w:tr>
        <w:trPr>
          <w:trHeight w:val="217"/>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attributable to AMC Networks’ stockholders: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72,269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64,447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72,902</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660" w:type="dxa"/>
            <w:vAlign w:val="bottom"/>
            <w:gridSpan w:val="4"/>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67,469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341,092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270,924</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43"/>
        </w:trPr>
        <w:tc>
          <w:tcPr>
            <w:tcW w:w="56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Unrealized (loss) gain on interest rate swaps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gain on available for sale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income taxes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22,213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72,974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69,479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(16,788)</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110,686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410,571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254,136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AMC Networks’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106,053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392,574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240,572</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7" w:right="2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including noncontrolling interests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341,092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270,924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income from operations to net cash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65,037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63,467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Share-based compensation expense related to equity classified awards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41,412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28,869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Amortization and write-off of program rights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613,060</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deferred carriage fees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12,589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Unrealized foreign currency transaction (gain) loss</w:t>
            </w:r>
          </w:p>
        </w:tc>
        <w:tc>
          <w:tcPr>
            <w:tcW w:w="280" w:type="dxa"/>
            <w:vAlign w:val="bottom"/>
            <w:shd w:val="clear" w:color="auto" w:fill="CCEEFF"/>
          </w:tcPr>
          <w:p>
            <w:pPr>
              <w:spacing w:after="0"/>
              <w:rPr>
                <w:sz w:val="24"/>
                <w:szCs w:val="2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28,800</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3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Unrealized gain on derivative contracts, net</w:t>
            </w:r>
          </w:p>
        </w:tc>
        <w:tc>
          <w:tcPr>
            <w:tcW w:w="28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Amortization of deferred financing costs and discounts on indebtedness</w:t>
            </w:r>
          </w:p>
        </w:tc>
        <w:tc>
          <w:tcPr>
            <w:tcW w:w="280" w:type="dxa"/>
            <w:vAlign w:val="bottom"/>
            <w:shd w:val="clear" w:color="auto" w:fill="CCEEFF"/>
          </w:tcPr>
          <w:p>
            <w:pPr>
              <w:spacing w:after="0"/>
              <w:rPr>
                <w:sz w:val="24"/>
                <w:szCs w:val="24"/>
                <w:color w:val="auto"/>
              </w:rPr>
            </w:pPr>
          </w:p>
        </w:tc>
        <w:tc>
          <w:tcPr>
            <w:tcW w:w="13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6,997</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3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tcPr>
          <w:p>
            <w:pPr>
              <w:spacing w:after="0"/>
              <w:rPr>
                <w:sz w:val="24"/>
                <w:szCs w:val="24"/>
                <w:color w:val="auto"/>
              </w:rPr>
            </w:pPr>
          </w:p>
        </w:tc>
        <w:tc>
          <w:tcPr>
            <w:tcW w:w="1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3,004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50,638</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Bad debt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1,714</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15,080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Excess tax benefits from share-based compensation arrangements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receivable, trade (including amounts due from related parties, net)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32,747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(43,344)</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Program rights and obligations, net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(720,243)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(687,888)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10,414</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30,726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Deferred carriage fees,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(10,411)</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8,956</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426,592</w:t>
            </w:r>
          </w:p>
        </w:tc>
        <w:tc>
          <w:tcPr>
            <w:tcW w:w="0" w:type="dxa"/>
            <w:vAlign w:val="bottom"/>
          </w:tcPr>
          <w:p>
            <w:pPr>
              <w:spacing w:after="0"/>
              <w:rPr>
                <w:sz w:val="1"/>
                <w:szCs w:val="1"/>
                <w:color w:val="auto"/>
              </w:rPr>
            </w:pPr>
          </w:p>
        </w:tc>
      </w:tr>
      <w:tr>
        <w:trPr>
          <w:trHeight w:val="23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(44,505)</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Investments in and loans to investees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for acquisition of a business,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(104,794)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(44,859)</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1,536,000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982,500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(811,000)</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Premium and fees paid on extinguishment of debt</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Deemed repurchases of restricted stock units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(109,997)</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 from share-based compensation arrangements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Principal payments on capital lease obligations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(112,615)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379,181</w:t>
            </w:r>
          </w:p>
        </w:tc>
        <w:tc>
          <w:tcPr>
            <w:tcW w:w="0" w:type="dxa"/>
            <w:vAlign w:val="bottom"/>
          </w:tcPr>
          <w:p>
            <w:pPr>
              <w:spacing w:after="0"/>
              <w:rPr>
                <w:sz w:val="1"/>
                <w:szCs w:val="1"/>
                <w:color w:val="auto"/>
              </w:rPr>
            </w:pPr>
          </w:p>
        </w:tc>
      </w:tr>
      <w:tr>
        <w:trPr>
          <w:trHeight w:val="21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14,736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(12,738)</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316,321</w:t>
            </w:r>
          </w:p>
        </w:tc>
        <w:tc>
          <w:tcPr>
            <w:tcW w:w="0" w:type="dxa"/>
            <w:vAlign w:val="bottom"/>
          </w:tcPr>
          <w:p>
            <w:pPr>
              <w:spacing w:after="0"/>
              <w:rPr>
                <w:sz w:val="1"/>
                <w:szCs w:val="1"/>
                <w:color w:val="auto"/>
              </w:rPr>
            </w:pPr>
          </w:p>
        </w:tc>
      </w:tr>
      <w:tr>
        <w:trPr>
          <w:trHeight w:val="24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552,289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682,764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400"/>
          </w:cols>
          <w:pgMar w:left="260" w:top="367" w:right="239" w:bottom="495"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60" w:top="367" w:right="239" w:bottom="495"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60" w:lineRule="exact"/>
        <w:rPr>
          <w:sz w:val="20"/>
          <w:szCs w:val="20"/>
          <w:color w:val="auto"/>
        </w:rPr>
      </w:pPr>
    </w:p>
    <w:p>
      <w:pPr>
        <w:jc w:val="both"/>
        <w:ind w:left="1300" w:hanging="644"/>
        <w:spacing w:after="0" w:line="259" w:lineRule="auto"/>
        <w:tabs>
          <w:tab w:leader="none" w:pos="13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National Networks: </w:t>
      </w:r>
      <w:r>
        <w:rPr>
          <w:rFonts w:ascii="Times New Roman" w:cs="Times New Roman" w:eastAsia="Times New Roman" w:hAnsi="Times New Roman"/>
          <w:sz w:val="18"/>
          <w:szCs w:val="18"/>
          <w:color w:val="auto"/>
        </w:rPr>
        <w:t>Includes activities of our programming businesses, which include our five programming networks, distributed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and Canada. These programming networks include AMC, WE tv, BBC AMERICA, IFC, and SundanceTV in the U.S.; and AMC, IFC, and Sundance Channel in Canada. Our AMC Studios operations within the National Networks segment sells rights worldwide to its owned original programming. The National Networks operating segment also includes AMC Networks Broadcasting &amp; Technology, the technical services business, which primarily services most of the programming networks included in the National Networks segment.</w:t>
      </w:r>
    </w:p>
    <w:p>
      <w:pPr>
        <w:spacing w:after="0" w:line="179" w:lineRule="exact"/>
        <w:rPr>
          <w:rFonts w:ascii="Times New Roman" w:cs="Times New Roman" w:eastAsia="Times New Roman" w:hAnsi="Times New Roman"/>
          <w:sz w:val="18"/>
          <w:szCs w:val="18"/>
          <w:i w:val="1"/>
          <w:iCs w:val="1"/>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and Other: </w:t>
      </w:r>
      <w:r>
        <w:rPr>
          <w:rFonts w:ascii="Times New Roman" w:cs="Times New Roman" w:eastAsia="Times New Roman" w:hAnsi="Times New Roman"/>
          <w:sz w:val="18"/>
          <w:szCs w:val="18"/>
          <w:color w:val="auto"/>
        </w:rPr>
        <w:t>Principally includes AMC Networks International (“AMCNI”), the Company’s international programming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consisting of a portfolio of channels in Europe, Latin America, the Middle East and parts of Asia and Africa; IFC Films, the Company’s independent film distribution business; AMCNI – DMC, the broadcast solutions unit of certain networks of AMCNI and third-party networks; and developing on-line content distribution initiatives. The AMCNI – DMC business was sold on July 12,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AMC Networks and its majority owned or controlled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 in consolidation.</w:t>
      </w:r>
    </w:p>
    <w:p>
      <w:pPr>
        <w:spacing w:after="0" w:line="20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Investments in business entities in which the Company lacks control but does have the ability to exercise significant influence over operating and financial policies are accounted for using the equity method of accounting, unless the fair value option is elected.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Statements</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2016 contained in the Company’s Annual Report on Form 10-K (“2016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18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results of operations for interim periods are not necessarily indicative of the results that might be expected for future interim periods or for the full year ending December 31, 2017.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Program Rights</w:t>
      </w:r>
    </w:p>
    <w:p>
      <w:pPr>
        <w:spacing w:after="0" w:line="22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recorded in technical and operating expense. Program rights write-offs included in technical and operating expense of $8.0 million and $19.6 million were recorded for the three months ended September 30, 2017 and September 30, 2016, respectively. Program rights write-offs included in technical and operating expense of $9.7 million and $20.7 million were recorded for the nine months ended September 30, 2017 and September 30, 2016,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and Related Charges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July 12, 2017, the Company completed the sale of its Amsterdam-based media logistics facility, AMCNI – DMC. In connection with the sale, the Company recognized a pre-tax loss of $11.0 million. In addition, the Company recognized an impairment charge in the second quarter of 2017 of $17.1 million to reflect the AMCNI – DMC assets held for sale at fair value less estimated sale costs.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valuation of acquisition-related assets and liabilities, derivative assets and liabilities, certain stock compensation awards, the useful lives and methodologies used to amortize and assess recoverability of program rights, the estimated useful lives of intangible assets, valuation and recoverability of goodwill and intangible assets and income tax assets and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which became effective for the Company as of January 1, 2017. ASU 2016-09 amends Accounting Standards Codification ("ASC") Topic 718, Compensation – Stock Compensation and simplifies several aspects of the accounting for share-based payment transactions, including the income tax consequences, classification of awards as either equity or liabilities, and classification in the statement of cash flows. Under the new standard, all excess tax benefits and tax deficiencies are recorded as a component of the provision for income taxes in the reporting period in which they occur. Additionally, ASU 2016-09 requires that the Company present excess tax benefits in the statement of cash flows as an operating activity. The Company elected to apply this adoption prospectively; accordingly, prior periods have not been adjusted. The adoption of this standard did not have a material impact on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May 2017, the Financial Accounting Standards Board (“FASB”) issued ASU No. 2017-09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ASU 2017-09 addresses changes to the terms or conditions of a share-based payment award, specifically regarding which changes to the terms or conditions of a share-based payment award would require an entity to apply modification accounting. The guidance does not change the accounting for modifications but clarifies that an entity should account for the effects of a modification unless the fair value, vesting conditions, and classification of the modified award are the same immediately before the original award is modified. ASU 2017-09 is effective in the first quarter of 2018, with early adoption permitted. The adoption of ASU 2017-09 is not expected to have a material impact on the Company’s consolidated financial statements.</w:t>
      </w:r>
    </w:p>
    <w:p>
      <w:pPr>
        <w:spacing w:after="0" w:line="18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ASU 2017-04 removes Step 2 of the current goodwill impairment test under ASC Topic 350 and replaces it with a simplified model. Under the simplified model, a goodwill impairment is calculated as the difference between the carrying amount of a reporting unit and its fair value, but not to exceed the carrying amount of goodwill. The amount of any impairment under the simplified model may differ from what would have been recognized under the two-step test. The ASU is effective for the Company in the first quarter of 2020, with early adoption permitted for any impairment tests performed after a testing date of January 1, 2017. The adoption of ASU 2017-04 is not expected to have a material impact on the Company's consolidated financial statements.</w:t>
      </w:r>
    </w:p>
    <w:p>
      <w:pPr>
        <w:spacing w:after="0" w:line="18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Income Taxes – Intra-Entity Transfers of Assets Other Than Inventory</w:t>
      </w:r>
      <w:r>
        <w:rPr>
          <w:rFonts w:ascii="Times New Roman" w:cs="Times New Roman" w:eastAsia="Times New Roman" w:hAnsi="Times New Roman"/>
          <w:sz w:val="18"/>
          <w:szCs w:val="18"/>
          <w:color w:val="auto"/>
        </w:rPr>
        <w:t>. ASU 2016-16 simplifies the accounting for the income tax consequences of intra-entity transfers of assets other than inventory and includes requirements to recognize the income tax consequences of an intra-entity transfer of an asset other than inventory when the transfer occurs; therefore, eliminating the exception for an intra-entity transfer of an asset other than inventory. ASU 2016-16 is effective for the Company in the first quarter of 2018, with early adoption permitted. Any adjustments as a result of adoption are to be applied on a modified retrospective basis through a cumulative-effect adjustment directly to retained earnings as of the beginning of the period of adoption. The adoption of ASU 2016-16 is not expected to have a material impact on the Company’s consolidated financial statements.</w:t>
      </w:r>
    </w:p>
    <w:p>
      <w:pPr>
        <w:spacing w:after="0" w:line="183"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The guidance clarifies the way in which certain cash receipts and cash payments should be classified on the statement of cash flows and also how the predominance principle should be applied when cash receipts and cash payments have aspects of more than one class of cash flows. ASU 2016-15 is effective in the first quarter of 2018 with early adoption permitted. The adoption of ASU 2016-15 is not expected to have a material impact on the Company's consolidated financial statements.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ASU 2016-02 requires lessees to record most of their leases on the balance sheet, which will be recognized as a right-of-use asset and a lease liability. The Company will be required to classify each separate lease component as an operating or finance lease at the lease commencement date. Initial measurement of the right-of-use asset and lease liability is the same for operating and finance leases, however, expense recognition and</w:t>
      </w:r>
    </w:p>
    <w:p>
      <w:pPr>
        <w:sectPr>
          <w:pgSz w:w="11900" w:h="16838" w:orient="portrait"/>
          <w:cols w:equalWidth="0" w:num="1">
            <w:col w:w="11420"/>
          </w:cols>
          <w:pgMar w:left="240" w:top="121" w:right="239"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of the right-of-use asset differs. Operating leases will reflect lease expense on a straight-line basis similar to current operating leases. The straight-line expense will reflect the interest expense on the lease liability (effective interest method) and amortization of the right-of-use asset, which will be presented as a single line item in the operating expense section of the income statement. Finance leases will reflect a front-loaded expense pattern similar to the pattern for current capital leases. ASU 2016-02 is effective in the first quarter of 2019, with early adoption permitted. The Company is currently determining its implementation approach and assessing the impact the adoption will have on its consolidated financial statements.</w:t>
      </w:r>
    </w:p>
    <w:p>
      <w:pPr>
        <w:spacing w:after="0" w:line="18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ASU 2014-09 provides new guidance related to how an entity should recognize revenue to depict the transfer of promised goods or services to customers in an amount that reflects the consideration to which the entity expects to be entitled in exchange for those goods or services. The standard also expands the required disclosures to include the disaggregation of revenue from contracts with customers into categories that depict how the nature, timing and uncertainty of revenue and cash flows are affected by economic factors. During 2016, the FASB issued additional interpretive guidance relating to the standard which covered the topics of principal versus agent considerations and identifying performance obligations and licensing. The standard is effective for the Company in the first quarter of 2018. The two permitted transition methods under the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w:t>
      </w:r>
    </w:p>
    <w:p>
      <w:pPr>
        <w:spacing w:after="0" w:line="19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established an implementation team and performed an analysis of each of our revenue streams to assess the impact of the standard on our various revenue contracts, and analyze our current accounting policies and practices to identify potential differences that would result from the implementation of the standard. To date, the Company has made significant progress toward completing its evaluation of the potential changes from adopting the standard on its financial reporting and disclosures. The Company has completed an initial assessment of each of its revenue streams and has begun drafting its revenue recognition policy under the new standard. Based on our initial assessment, upon adoption the Company expects to record a contract asset associated with our distribution revenues primarily as a result of the accelerated revenue recognition under the variable consideration and licensing guidance in the new standard. We have not completed a quantification of the contract asset, however, the amount is not expected to be significant to our financial position. There are a few areas that remain subject to further clarification with respect to the implementation of the new standard on certain of our revenue streams. The Company continues to monitor and work with various non-authoritative groups to conclude on industry specific interpretative issues.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final evaluation of the impact of the standard is ongoing and will continue throughout 2017. We expect to implement the standard using the modified retrospective transition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Income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between basic and diluted weighted average shares outstanding: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30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0" w:type="dxa"/>
            <w:vAlign w:val="bottom"/>
            <w:gridSpan w:val="3"/>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63,683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71,507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65,960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72,269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616</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64,447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72,140</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66,651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72,902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2017, there were approximately 170,000 restricted stock units that would have been anti-dilutive to the diluted weighted average common shares outstanding. For the three and nine months ended September 30, 2016, there were no stock options or restricted stock units that would have been anti-dilutive to the diluted weighted average common shares outstanding. Approximately 960,000 and 137,000 restricted stock units with performance conditions have been excluded from diluted weighted average common shares outstanding for the three and nine months ended September 30, 2017 and September 30, 2016, respectively, since performance conditions on these awards were not met in each of the respective periods.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March 4, 2016, the Company’s Board of Directors authorized a program to repurchase up to $500 million of its outstanding shares of Class A common stock (the “Stock Repurchase Program”). On June 6, 2017, the Board of Directors approved an increase of $500 million in the amount authorized for a total of $1.0 billion authorized under the Stock Repurchase Program. The Stock</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 Program has no pre-established closing date and may be suspended or discontinued at any time. For the nine months ended September 30, 2017, the Company repurchased 6.1 million shares of its Class A common stock at an average purchase price of approximately $56.37 per share. As of September 30, 2017, the Company had $430.4 million available for repurchase under the Stock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incurred restructuring expense primarily related to severance charges and other exit costs associated with the elimination of certain positions across the Company and the termination of distribution in certain territories.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restructuring expense recognized by operating segment: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660" w:type="dxa"/>
            <w:vAlign w:val="bottom"/>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8,170</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&amp; Other</w:t>
            </w:r>
          </w:p>
        </w:tc>
        <w:tc>
          <w:tcPr>
            <w:tcW w:w="1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11,496</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19,666</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Restructuring expense in the International and Other segment includes corporate headquarter related charges.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accrued restructuring costs: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Severance and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employee-related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0"/>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0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Other exit costs</w:t>
            </w:r>
          </w:p>
        </w:tc>
        <w:tc>
          <w:tcPr>
            <w:tcW w:w="38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12,311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3,887</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adjustments</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1,361</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for restructuring costs are included in accrued liabilities in the condensed consolidated balance sheet at September 30,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RLJE</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October 14, 2016, Digital Entertainment Holdings LLC (“DEH”), a wholly owned subsidiary of the Company, and RLJ Entertainment, Inc. (“RLJE”) entered into a Credit and Guaranty agreement (the “RLJE Credit Agreement”) pursuant to which DEH provided senior secured term loans totaling $65 million to RLJE, consisting of a $5 million Tranche A term loan (the “Tranche A Loan”) and a $60 million Tranche B term loan (the “Tranche B Loan”), and DEH received warrants to purchase at least 20 million shares of RLJE’s common stock, at a price of $3.00 per share (the “RLJE Warrants”). On January 30, 2017, the Company and RLJE amended the terms of the Tranche A Loan to increase the principal amount by $8 million to $13 million and to extend the maturity date of that tranche from October 14, 2017 to June 30, 2019.</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June 16, 2017, DEH and RLJE entered into a second amendment to the RLJE Credit Agreement (the “Second Amendment”) pursuant to which DEH provided an additional tranche of the term loan debt to RLJE in the principal amount of $10 million (the “Tranche A-2 Loan”) with a maturity date of June 30, 2021. In addition, the Second Amendment also (i) extended the maturity date of the Tranche A Loan to June 30, 2020, (ii) provided that, commencing with the interest payment to be made on June 30, 2017, all interest under the RLJE Credit Agreement will be paid in shares of RLJE’s common stock, and (iii) increased the maximum senior leverage ratio, as defined in the terms of the RLJE Credit Agreement. For purposes of calculating the interest to be paid in shares of RLJE common stock, the value of such shares is based on a fixed $3.00 per share.</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20, 2017, in connection with the Second Amendment, DEH exercised a portion of its RLJE Class A warrants at $3.00 per share to acquire 1,667,000 shares of RLJE common stock in exchange for the cancellation of $5 million of the Tranche B Loan. Following the cancellation, the outstanding balance of the Tranche B Loan is approximately $55 million.</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increased ownership interest from the warrant exercise, as well as the existing representation on RLJE’s board of directors and the terms of the RLJE Credit Agreement were deemed, for accounting purposes, to provide DEH with the ability to exert significant influence over RLJE. As a result, the RLJE common stock investment held by the Company qualified for the use of the equity method of accounting. The Company has elected the fair value option for its investment in RLJE common stock based on the availability of a quoted market price. For the three and nine months ended September 30, 2017, the Company recognized a gain of $0.5 million and $1.9 million, respectively, in the fair value of its investment in RLJE common stock, which is included in Miscellaneous, net in the condensed consolidated income statement.</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RLJE term loans are included in Other assets in the condensed consolidated balance sheet. The Company accounts for the portion of interest on the RLJE term loans payable in RLJE common stock as an embedded derivative. In addition, the RLJE Warrants are accounted for as derivatives. Both the RLJE Warrants and the embedded derivative for the interest payable in RLJE common stock are remeasured at the end of each period with changes in fair value included in Miscellaneous, net in the condensed consolidated statement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Other Intangible Assets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40"/>
        </w:trPr>
        <w:tc>
          <w:tcPr>
            <w:tcW w:w="5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National Networks</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20" w:type="dxa"/>
            <w:vAlign w:val="bottom"/>
          </w:tcPr>
          <w:p>
            <w:pPr>
              <w:spacing w:after="0"/>
              <w:rPr>
                <w:sz w:val="20"/>
                <w:szCs w:val="20"/>
                <w:color w:val="auto"/>
              </w:rPr>
            </w:pPr>
          </w:p>
        </w:tc>
        <w:tc>
          <w:tcPr>
            <w:tcW w:w="13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9"/>
        </w:trPr>
        <w:tc>
          <w:tcPr>
            <w:tcW w:w="5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242,303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415,405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657,708</w:t>
            </w: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“second component” goodwill</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35,054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35,054</w:t>
            </w:r>
          </w:p>
        </w:tc>
      </w:tr>
      <w:tr>
        <w:trPr>
          <w:trHeight w:val="257"/>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240,395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450,459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690,854</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reduction of $1.9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information relating to the Company’s identifiable intangible assets: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7"/>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Estimated Useful</w:t>
            </w:r>
          </w:p>
        </w:tc>
      </w:tr>
      <w:tr>
        <w:trPr>
          <w:trHeight w:val="240"/>
        </w:trPr>
        <w:tc>
          <w:tcPr>
            <w:tcW w:w="4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Lives</w:t>
            </w:r>
          </w:p>
        </w:tc>
      </w:tr>
      <w:tr>
        <w:trPr>
          <w:trHeight w:val="249"/>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525,499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(159,790)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365,709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to 25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33,928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r>
      <w:tr>
        <w:trPr>
          <w:trHeight w:val="243"/>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44,396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to 20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37"/>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636,079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453,799</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655,979</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(182,280)</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473,699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1"/>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7"/>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0"/>
        </w:trPr>
        <w:tc>
          <w:tcPr>
            <w:tcW w:w="4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9"/>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509,992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376,060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37,084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49,720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43,413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9,211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615,996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465,768</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20,041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636,037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485,809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Aggregate amortization expense for amortizable intangible assets for the nine months ended September 30, 2017 and 2016 was $28.5 million and $29.2 million, respectively. Estimated aggregate amortization expense for intangible assets subject to amortization for each of the following five years is:</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Years Ending December 31,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37,758</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36,613</w:t>
            </w:r>
          </w:p>
        </w:tc>
        <w:tc>
          <w:tcPr>
            <w:tcW w:w="20" w:type="dxa"/>
            <w:vAlign w:val="bottom"/>
          </w:tcPr>
          <w:p>
            <w:pPr>
              <w:spacing w:after="0"/>
              <w:rPr>
                <w:sz w:val="21"/>
                <w:szCs w:val="21"/>
                <w:color w:val="auto"/>
              </w:rPr>
            </w:pPr>
          </w:p>
        </w:tc>
      </w:tr>
      <w:tr>
        <w:trPr>
          <w:trHeight w:val="405"/>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Accrued Liabilities</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2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0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249"/>
        </w:trPr>
        <w:tc>
          <w:tcPr>
            <w:tcW w:w="20" w:type="dxa"/>
            <w:vAlign w:val="bottom"/>
          </w:tcPr>
          <w:p>
            <w:pPr>
              <w:spacing w:after="0"/>
              <w:rPr>
                <w:sz w:val="21"/>
                <w:szCs w:val="21"/>
                <w:color w:val="auto"/>
              </w:rPr>
            </w:pPr>
          </w:p>
        </w:tc>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15,770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 costs</w:t>
            </w:r>
          </w:p>
        </w:tc>
        <w:tc>
          <w:tcPr>
            <w:tcW w:w="2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98,516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122,590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43,083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96,363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102,986</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252,495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284,429</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long-term debt consists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20" w:type="dxa"/>
            <w:vAlign w:val="bottom"/>
          </w:tcPr>
          <w:p>
            <w:pPr>
              <w:spacing w:after="0"/>
              <w:rPr>
                <w:sz w:val="20"/>
                <w:szCs w:val="20"/>
                <w:color w:val="auto"/>
              </w:rPr>
            </w:pPr>
          </w:p>
        </w:tc>
        <w:tc>
          <w:tcPr>
            <w:tcW w:w="1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269"/>
        </w:trPr>
        <w:tc>
          <w:tcPr>
            <w:tcW w:w="7400" w:type="dxa"/>
            <w:vAlign w:val="bottom"/>
            <w:tcBorders>
              <w:top w:val="single" w:sz="8" w:color="CCEEFF"/>
            </w:tcBorders>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Senior Secured Credit Facility: </w:t>
            </w:r>
            <w:r>
              <w:rPr>
                <w:rFonts w:ascii="Times New Roman" w:cs="Times New Roman" w:eastAsia="Times New Roman" w:hAnsi="Times New Roman"/>
                <w:sz w:val="25"/>
                <w:szCs w:val="25"/>
                <w:color w:val="auto"/>
                <w:vertAlign w:val="superscript"/>
              </w:rPr>
              <w:t>(a)</w:t>
            </w:r>
          </w:p>
        </w:tc>
        <w:tc>
          <w:tcPr>
            <w:tcW w:w="22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43"/>
        </w:trPr>
        <w:tc>
          <w:tcPr>
            <w:tcW w:w="7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Term Loan A Facility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1,258,000</w:t>
            </w:r>
          </w:p>
        </w:tc>
      </w:tr>
      <w:tr>
        <w:trPr>
          <w:trHeight w:val="27"/>
        </w:trPr>
        <w:tc>
          <w:tcPr>
            <w:tcW w:w="7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4.75%</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August 2025</w:t>
            </w:r>
          </w:p>
        </w:tc>
        <w:tc>
          <w:tcPr>
            <w:tcW w:w="22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April 2024</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4.75%</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December 2022</w:t>
            </w:r>
          </w:p>
        </w:tc>
        <w:tc>
          <w:tcPr>
            <w:tcW w:w="22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600,000</w:t>
            </w:r>
          </w:p>
        </w:tc>
      </w:tr>
      <w:tr>
        <w:trPr>
          <w:trHeight w:val="27"/>
        </w:trPr>
        <w:tc>
          <w:tcPr>
            <w:tcW w:w="74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2,858,000</w:t>
            </w:r>
          </w:p>
        </w:tc>
      </w:tr>
      <w:tr>
        <w:trPr>
          <w:trHeight w:val="243"/>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Unamortized discount</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(23,675)</w:t>
            </w:r>
          </w:p>
        </w:tc>
      </w:tr>
      <w:tr>
        <w:trPr>
          <w:trHeight w:val="27"/>
        </w:trPr>
        <w:tc>
          <w:tcPr>
            <w:tcW w:w="7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r>
      <w:tr>
        <w:trPr>
          <w:trHeight w:val="23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3,097,350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2,819,263</w:t>
            </w:r>
          </w:p>
        </w:tc>
      </w:tr>
      <w:tr>
        <w:trPr>
          <w:trHeight w:val="27"/>
        </w:trPr>
        <w:tc>
          <w:tcPr>
            <w:tcW w:w="7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222,000</w:t>
            </w:r>
          </w:p>
        </w:tc>
      </w:tr>
      <w:tr>
        <w:trPr>
          <w:trHeight w:val="25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portion of 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3,097,350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2,597,263</w:t>
            </w: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$500 million revolving credit facility remains undrawn at September 30, 2017. Total undrawn revolver commitments are available to be drawn for general corporate purposes of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4.75% Notes due 2025</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28, 2017, AMC Networks issued, and certain of AMC Networks’ subsidiaries (hereinafter, the “Guarantors”) guaranteed $800 million aggregate principal amount of senior notes due August 1, 2025 (the “4.75% Notes due 2025”) in a registered public offering. The 4.75% Notes due 2025 were issued net of a $14.0 million underwriting discount. AMC Networks used approximately $400 million of the net proceeds to repay loans under AMC Networks’ Term Loan A Facility and to pay fees and expenses related to the issuance. The remaining proceeds will be used for general corporate purposes. The 4.75% Notes due 2025 were issued pursuant to an indenture, dated as of March 30, 2016, as amended by the Second Supplemental Indenture, dated as of July 28, 2017. The 4.75% Notes due 2025 bear interest at a rate of 4.75% per annum and mature on August 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Restatement of the Credit Facility</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July 28, 2017, AMC Networks entered into a Second Amended and Restated Credit Agreement (the “Credit Agreement”) among AMC Networks and its subsidiary, AMC Network Entertainment LLC, as the Initial Borrowers, certain of AMC Networks’ subsidiaries, as restricted subsidiaries, JPMorgan Chase Bank, N.A., as Administrative Agent, Collateral Agent and an L/C Issuer, the lenders party thereto. The Credit Agreement amends and restates AMC Networks’ prior credit agreement dated December 16, 2013 in its entirety. The Credit Agreement provides the Initial Borrowers with senior secured credit facilities consisting of (a) a $750 million Term Loan A (the “Term Loan A Facility”) after giving effect to the approximate $400 million payment from the proceeds of the 4.75% Notes due 2025 described above and (b) a $500 million revolving credit facility (the “Revolving Facility”) that was not drawn upon initially. Under the Credit Agreement, the maturity date of the Term Loan A Facility was extended to July 28, 2023 and the maturity date of the Revolving Facility was extended to July 28, 2022.</w:t>
      </w:r>
    </w:p>
    <w:p>
      <w:pPr>
        <w:spacing w:after="0" w:line="18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4.75% Notes due 2025 and the amendment to the Credit Agreement, AMC Networks incurred a loss on extinguishment of debt of $3.0 million for the write-off of a portion of unamortized deferred financing costs, and incurred financing costs of $10.4 million, of which $9.4 million were deferred and are being amortized, using the effective interest method, to interest expense over the term of the related borrowing, and $1.0 million were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26" w:lineRule="exact"/>
        <w:rPr>
          <w:sz w:val="20"/>
          <w:szCs w:val="20"/>
          <w:color w:val="auto"/>
        </w:rPr>
      </w:pPr>
    </w:p>
    <w:p>
      <w:pPr>
        <w:ind w:left="5620" w:right="5540" w:hanging="5207"/>
        <w:spacing w:after="0" w:line="626" w:lineRule="auto"/>
        <w:tabs>
          <w:tab w:leader="none" w:pos="10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Quoted prices for identical instruments in active markets. 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1" w:lineRule="exact"/>
        <w:rPr>
          <w:sz w:val="20"/>
          <w:szCs w:val="20"/>
          <w:color w:val="auto"/>
        </w:rPr>
      </w:pPr>
    </w:p>
    <w:p>
      <w:pPr>
        <w:ind w:left="1060" w:hanging="647"/>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rFonts w:ascii="Times New Roman" w:cs="Times New Roman" w:eastAsia="Times New Roman" w:hAnsi="Times New Roman"/>
          <w:sz w:val="18"/>
          <w:szCs w:val="18"/>
          <w:color w:val="auto"/>
        </w:rPr>
      </w:pPr>
    </w:p>
    <w:p>
      <w:pPr>
        <w:ind w:left="1060" w:hanging="647"/>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Instruments whose significant value drivers are unobservable.</w:t>
      </w:r>
    </w:p>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these hierarchy levels, the Company’s financial assets and liabilities that are measured at fair value on a recurring basis at September 30, 2017 and December 31, 2016, including investments for which the fair value option has been elected: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69"/>
        </w:trPr>
        <w:tc>
          <w:tcPr>
            <w:tcW w:w="5040" w:type="dxa"/>
            <w:vAlign w:val="bottom"/>
            <w:tcBorders>
              <w:top w:val="single" w:sz="8" w:color="CCEEFF"/>
              <w:bottom w:val="single" w:sz="8" w:color="CCEEFF"/>
            </w:tcBorders>
            <w:shd w:val="clear" w:color="auto" w:fill="CCEEFF"/>
          </w:tcPr>
          <w:p>
            <w:pPr>
              <w:ind w:left="1720"/>
              <w:spacing w:after="0"/>
              <w:rPr>
                <w:sz w:val="20"/>
                <w:szCs w:val="20"/>
                <w:color w:val="auto"/>
              </w:rPr>
            </w:pPr>
            <w:r>
              <w:rPr>
                <w:rFonts w:ascii="Times New Roman" w:cs="Times New Roman" w:eastAsia="Times New Roman" w:hAnsi="Times New Roman"/>
                <w:sz w:val="16"/>
                <w:szCs w:val="16"/>
                <w:b w:val="1"/>
                <w:bCs w:val="1"/>
                <w:color w:val="auto"/>
              </w:rPr>
              <w:t>At September 30, 2017: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100,311</w:t>
            </w: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14,845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1,413</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8,079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3,970</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37,790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b w:val="1"/>
                <w:bCs w:val="1"/>
                <w:color w:val="auto"/>
              </w:rPr>
              <w:t>At December 31, 2016: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65,384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65,384</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6,096</w:t>
            </w: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12,308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3,147</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cash equivalents and available for sale securities are classified within Level I of the fair value hierarchy because they are valued using quoted market prices.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interest rate swap contracts, foreign currency derivatives and the embedded derivative for the interest on the RLJE Term Loans to be paid in shares of RLJE common stock (see Note 9) are classified within Level II of the fair value hierarchy and their fair values are determined based on a market approach valuation technique that uses readily observable market parameters and the consideration of counterparty risk.</w:t>
      </w:r>
    </w:p>
    <w:p>
      <w:pPr>
        <w:spacing w:after="0" w:line="1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RLJE Warrants held by the Company are classified within Level III of the fair value hierarchy and the Company determines the value of the RLJE Warrants using a Black Scholes option pricing model. Inputs to the model are stock price volatility, contractual warrant terms (remaining life of the warrants), exercise price, risk-free interest rate, and the RLJE stock price. The equity volatility used is based on the equity volatility of RLJE with an adjustment for the changes in the capital structure of RLJE. In arriving at the concluded value of the warrants, a discount for the lack of marketability (DLOM) of 32% was applied. The DLOM, which is unobservable, is determined using the Finnerty Average-Strike Put Option Marketability Discount Model (Finnerty Model), which was applied with a security-specific volatility for the warrants. For the three and nine months ended September 30, 2017, the Company recorded a gain of $2.0 million and $19.1 million, respectively, related to the RLJE Warrants which is included in Miscellaneous, net in the condensed consolidated statement of income.</w:t>
      </w:r>
    </w:p>
    <w:p>
      <w:pPr>
        <w:spacing w:after="0" w:line="18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At September 30, 2017, the Company does not have any other assets or liabilities measured at fair value on a recurring basis that would be considered Level III.</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Credit Facility Debt and Senior Notes</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gridSpan w:val="6"/>
          </w:tcPr>
          <w:p>
            <w:pPr>
              <w:jc w:val="right"/>
              <w:ind w:right="1213"/>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0" w:type="dxa"/>
            <w:vAlign w:val="bottom"/>
          </w:tcPr>
          <w:p>
            <w:pPr>
              <w:spacing w:after="0"/>
              <w:rPr>
                <w:sz w:val="18"/>
                <w:szCs w:val="18"/>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 w:type="dxa"/>
            <w:vAlign w:val="bottom"/>
          </w:tcPr>
          <w:p>
            <w:pPr>
              <w:spacing w:after="0"/>
              <w:rPr>
                <w:sz w:val="18"/>
                <w:szCs w:val="18"/>
                <w:color w:val="auto"/>
              </w:rPr>
            </w:pPr>
          </w:p>
        </w:tc>
      </w:tr>
      <w:tr>
        <w:trPr>
          <w:trHeight w:val="240"/>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20"/>
                <w:szCs w:val="20"/>
                <w:color w:val="auto"/>
              </w:rPr>
            </w:pPr>
          </w:p>
        </w:tc>
      </w:tr>
      <w:tr>
        <w:trPr>
          <w:trHeight w:val="249"/>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instruments:</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Term Loan A Facility</w:t>
            </w: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736,500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747,188</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784,334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810,000</w:t>
            </w:r>
          </w:p>
        </w:tc>
        <w:tc>
          <w:tcPr>
            <w:tcW w:w="20" w:type="dxa"/>
            <w:vAlign w:val="bottom"/>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5.00%</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983,510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1,035,000</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December 2022</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593,006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618,000</w:t>
            </w:r>
          </w:p>
        </w:tc>
        <w:tc>
          <w:tcPr>
            <w:tcW w:w="20" w:type="dxa"/>
            <w:vAlign w:val="bottom"/>
          </w:tcPr>
          <w:p>
            <w:pPr>
              <w:spacing w:after="0"/>
              <w:rPr>
                <w:sz w:val="23"/>
                <w:szCs w:val="23"/>
                <w:color w:val="auto"/>
              </w:rPr>
            </w:pPr>
          </w:p>
        </w:tc>
      </w:tr>
      <w:tr>
        <w:trPr>
          <w:trHeight w:val="237"/>
        </w:trPr>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3,097,350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3,210,188</w:t>
            </w:r>
          </w:p>
        </w:tc>
        <w:tc>
          <w:tcPr>
            <w:tcW w:w="2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8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13"/>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0" w:type="dxa"/>
            <w:vAlign w:val="bottom"/>
          </w:tcPr>
          <w:p>
            <w:pPr>
              <w:spacing w:after="0"/>
              <w:rPr>
                <w:sz w:val="24"/>
                <w:szCs w:val="24"/>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7"/>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 w:type="dxa"/>
            <w:vAlign w:val="bottom"/>
          </w:tcPr>
          <w:p>
            <w:pPr>
              <w:spacing w:after="0"/>
              <w:rPr>
                <w:sz w:val="18"/>
                <w:szCs w:val="18"/>
                <w:color w:val="auto"/>
              </w:rPr>
            </w:pPr>
          </w:p>
        </w:tc>
      </w:tr>
      <w:tr>
        <w:trPr>
          <w:trHeight w:val="240"/>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20"/>
                <w:szCs w:val="20"/>
                <w:color w:val="auto"/>
              </w:rPr>
            </w:pPr>
          </w:p>
        </w:tc>
      </w:tr>
      <w:tr>
        <w:trPr>
          <w:trHeight w:val="249"/>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instruments: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Term Loan A Facility</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1,254,855</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April 2024</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4.75%</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December 2022</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606,000</w:t>
            </w:r>
          </w:p>
        </w:tc>
        <w:tc>
          <w:tcPr>
            <w:tcW w:w="20" w:type="dxa"/>
            <w:vAlign w:val="bottom"/>
          </w:tcPr>
          <w:p>
            <w:pPr>
              <w:spacing w:after="0"/>
              <w:rPr>
                <w:sz w:val="21"/>
                <w:szCs w:val="21"/>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88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2,819,263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2,863,355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manage interest rate risk, the Company enters into interest rate swap contracts to adjust the amount of total debt that is subject to variable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2017, the Company had interest rate swap contracts outstanding with notional amounts aggregating $200.0 million that are not designated as hedging instruments. The Company’s outstanding interest rate swap contracts mature in October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Derivatives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RLJE Warrants held by the Company meet the definition of a derivative and are included in Other assets in the condensed consolidated balance sheet. In addition, the interest on the RLJE Term Loans to be paid in shares of RLJE common stock is an embedded derivative. Both the RLJE Warrants and the embedded derivative for the future interest to be paid in shares of RLJE common stock are remeasured at the end of each period with changes in fair value recorded in the condensed consolidated statement of income. For the three and nine months ended September 30, 2017, the Company recorded a gain of $4.4 million and $26.8 million, respectively, related to these derivatives, which is included in Miscellaneous, net in the condensed consolidated statements of income.</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the Company’s derivative financial instruments included in the condensed consolidated balance sheets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436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0"/>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360" w:type="dxa"/>
            <w:vAlign w:val="bottom"/>
            <w:gridSpan w:val="2"/>
          </w:tcPr>
          <w:p>
            <w:pPr>
              <w:ind w:left="18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60" w:type="dxa"/>
            <w:vAlign w:val="bottom"/>
          </w:tcPr>
          <w:p>
            <w:pPr>
              <w:spacing w:after="0"/>
              <w:rPr>
                <w:sz w:val="20"/>
                <w:szCs w:val="20"/>
                <w:color w:val="auto"/>
              </w:rPr>
            </w:pP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2016</w:t>
            </w: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4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1,684</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37,790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12,308</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w:t>
            </w:r>
          </w:p>
        </w:tc>
      </w:tr>
      <w:tr>
        <w:trPr>
          <w:trHeight w:val="27"/>
        </w:trPr>
        <w:tc>
          <w:tcPr>
            <w:tcW w:w="400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amounts of gains and losses related to the Company’s derivative financial instruments designated as hedging instruments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4" w:lineRule="exact"/>
        <w:rPr>
          <w:sz w:val="20"/>
          <w:szCs w:val="20"/>
          <w:color w:val="auto"/>
        </w:rPr>
      </w:pPr>
    </w:p>
    <w:p>
      <w:pPr>
        <w:ind w:left="80"/>
        <w:spacing w:after="0" w:line="284" w:lineRule="auto"/>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Gain or (Loss) Reclassified</w:t>
            </w:r>
          </w:p>
        </w:tc>
      </w:tr>
      <w:tr>
        <w:trPr>
          <w:trHeight w:val="203"/>
        </w:trPr>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Gain or (Loss) on Derivatives</w:t>
            </w:r>
          </w:p>
        </w:tc>
        <w:tc>
          <w:tcPr>
            <w:tcW w:w="10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Gain or</w:t>
            </w:r>
          </w:p>
        </w:tc>
        <w:tc>
          <w:tcPr>
            <w:tcW w:w="3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from Accumulated OCI</w:t>
            </w:r>
          </w:p>
        </w:tc>
      </w:tr>
      <w:tr>
        <w:trPr>
          <w:trHeight w:val="212"/>
        </w:trPr>
        <w:tc>
          <w:tcPr>
            <w:tcW w:w="1020" w:type="dxa"/>
            <w:vAlign w:val="bottom"/>
          </w:tcPr>
          <w:p>
            <w:pPr>
              <w:spacing w:after="0"/>
              <w:rPr>
                <w:sz w:val="18"/>
                <w:szCs w:val="18"/>
                <w:color w:val="auto"/>
              </w:rPr>
            </w:pPr>
          </w:p>
        </w:tc>
        <w:tc>
          <w:tcPr>
            <w:tcW w:w="232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Recognized in OCI</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 in Earnings</w:t>
            </w:r>
          </w:p>
        </w:tc>
        <w:tc>
          <w:tcPr>
            <w:tcW w:w="1000" w:type="dxa"/>
            <w:vAlign w:val="bottom"/>
          </w:tcPr>
          <w:p>
            <w:pPr>
              <w:spacing w:after="0"/>
              <w:rPr>
                <w:sz w:val="18"/>
                <w:szCs w:val="18"/>
                <w:color w:val="auto"/>
              </w:rPr>
            </w:pPr>
          </w:p>
        </w:tc>
        <w:tc>
          <w:tcPr>
            <w:tcW w:w="2260" w:type="dxa"/>
            <w:vAlign w:val="bottom"/>
            <w:gridSpan w:val="3"/>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into Earnings (a)</w:t>
            </w:r>
          </w:p>
        </w:tc>
      </w:tr>
      <w:tr>
        <w:trPr>
          <w:trHeight w:val="33"/>
        </w:trPr>
        <w:tc>
          <w:tcPr>
            <w:tcW w:w="3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231"/>
        </w:trPr>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33"/>
        </w:trPr>
        <w:tc>
          <w:tcPr>
            <w:tcW w:w="10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31"/>
        </w:trPr>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226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-8255</wp:posOffset>
            </wp:positionV>
            <wp:extent cx="721233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82" w:lineRule="exact"/>
        <w:rPr>
          <w:sz w:val="20"/>
          <w:szCs w:val="20"/>
          <w:color w:val="auto"/>
        </w:rPr>
      </w:pPr>
    </w:p>
    <w:p>
      <w:pPr>
        <w:sectPr>
          <w:pgSz w:w="11900" w:h="16838" w:orient="portrait"/>
          <w:cols w:equalWidth="0" w:num="2">
            <w:col w:w="2560" w:space="120"/>
            <w:col w:w="8740"/>
          </w:cols>
          <w:pgMar w:left="240" w:top="121" w:right="239" w:bottom="1440" w:gutter="0" w:footer="0" w:header="0"/>
          <w:type w:val="continuous"/>
        </w:sectPr>
      </w:pPr>
    </w:p>
    <w:p>
      <w:pPr>
        <w:ind w:left="80"/>
        <w:spacing w:after="0"/>
        <w:tabs>
          <w:tab w:leader="none" w:pos="2680" w:val="left"/>
          <w:tab w:leader="none" w:pos="3980" w:val="left"/>
          <w:tab w:leader="none" w:pos="4440" w:val="left"/>
          <w:tab w:leader="none" w:pos="5620" w:val="left"/>
          <w:tab w:leader="none" w:pos="6480" w:val="left"/>
          <w:tab w:leader="none" w:pos="8160" w:val="left"/>
          <w:tab w:leader="none" w:pos="9340" w:val="left"/>
          <w:tab w:leader="none" w:pos="9840" w:val="left"/>
          <w:tab w:leader="none" w:pos="10960" w:val="left"/>
        </w:tabs>
        <w:rPr>
          <w:sz w:val="20"/>
          <w:szCs w:val="20"/>
          <w:color w:val="auto"/>
        </w:rPr>
      </w:pPr>
      <w:r>
        <w:rPr>
          <w:rFonts w:ascii="Times New Roman" w:cs="Times New Roman" w:eastAsia="Times New Roman" w:hAnsi="Times New Roman"/>
          <w:sz w:val="18"/>
          <w:szCs w:val="18"/>
          <w:color w:val="auto"/>
        </w:rPr>
        <w:t>Interest rate swap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50</w:t>
        <w:tab/>
        <w:t>$</w:t>
      </w:r>
      <w:r>
        <w:rPr>
          <w:sz w:val="20"/>
          <w:szCs w:val="20"/>
          <w:color w:val="auto"/>
        </w:rPr>
        <w:tab/>
      </w:r>
      <w:r>
        <w:rPr>
          <w:rFonts w:ascii="Times New Roman" w:cs="Times New Roman" w:eastAsia="Times New Roman" w:hAnsi="Times New Roman"/>
          <w:sz w:val="18"/>
          <w:szCs w:val="18"/>
          <w:color w:val="auto"/>
        </w:rPr>
        <w:t>750</w:t>
      </w:r>
      <w:r>
        <w:rPr>
          <w:sz w:val="20"/>
          <w:szCs w:val="20"/>
          <w:color w:val="auto"/>
        </w:rPr>
        <w:tab/>
      </w: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224</w:t>
        <w:tab/>
        <w:t>$</w:t>
      </w:r>
      <w:r>
        <w:rPr>
          <w:sz w:val="20"/>
          <w:szCs w:val="20"/>
          <w:color w:val="auto"/>
        </w:rPr>
        <w:tab/>
      </w: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34290</wp:posOffset>
            </wp:positionV>
            <wp:extent cx="207518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5180" cy="260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34290</wp:posOffset>
            </wp:positionV>
            <wp:extent cx="211836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gains or losses recognized in earnings related to any ineffective portion of hedging relationships or related to any amount excluded from the assessment of hedge effectiveness for the three months ended September 30, 2017 and 2016.</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4" w:lineRule="exact"/>
        <w:rPr>
          <w:sz w:val="20"/>
          <w:szCs w:val="20"/>
          <w:color w:val="auto"/>
        </w:rPr>
      </w:pPr>
    </w:p>
    <w:p>
      <w:pPr>
        <w:ind w:left="40"/>
        <w:spacing w:after="0" w:line="284" w:lineRule="auto"/>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Gain or (Loss) Reclassified</w:t>
            </w:r>
          </w:p>
        </w:tc>
      </w:tr>
      <w:tr>
        <w:trPr>
          <w:trHeight w:val="203"/>
        </w:trPr>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Gain or (Loss) on Derivatives</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Location of Gain or</w:t>
            </w:r>
          </w:p>
        </w:tc>
        <w:tc>
          <w:tcPr>
            <w:tcW w:w="3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from Accumulated OCI</w:t>
            </w:r>
          </w:p>
        </w:tc>
      </w:tr>
      <w:tr>
        <w:trPr>
          <w:trHeight w:val="212"/>
        </w:trPr>
        <w:tc>
          <w:tcPr>
            <w:tcW w:w="1020" w:type="dxa"/>
            <w:vAlign w:val="bottom"/>
          </w:tcPr>
          <w:p>
            <w:pPr>
              <w:spacing w:after="0"/>
              <w:rPr>
                <w:sz w:val="18"/>
                <w:szCs w:val="18"/>
                <w:color w:val="auto"/>
              </w:rPr>
            </w:pPr>
          </w:p>
        </w:tc>
        <w:tc>
          <w:tcPr>
            <w:tcW w:w="232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Recognized in OCI</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(Loss) in Earnings</w:t>
            </w:r>
          </w:p>
        </w:tc>
        <w:tc>
          <w:tcPr>
            <w:tcW w:w="1040" w:type="dxa"/>
            <w:vAlign w:val="bottom"/>
          </w:tcPr>
          <w:p>
            <w:pPr>
              <w:spacing w:after="0"/>
              <w:rPr>
                <w:sz w:val="18"/>
                <w:szCs w:val="18"/>
                <w:color w:val="auto"/>
              </w:rPr>
            </w:pPr>
          </w:p>
        </w:tc>
        <w:tc>
          <w:tcPr>
            <w:tcW w:w="2260" w:type="dxa"/>
            <w:vAlign w:val="bottom"/>
            <w:gridSpan w:val="3"/>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into Earnings (a)</w:t>
            </w:r>
          </w:p>
        </w:tc>
      </w:tr>
      <w:tr>
        <w:trPr>
          <w:trHeight w:val="33"/>
        </w:trPr>
        <w:tc>
          <w:tcPr>
            <w:tcW w:w="3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31"/>
        </w:trPr>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10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r>
      <w:tr>
        <w:trPr>
          <w:trHeight w:val="231"/>
        </w:trPr>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226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-8255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82" w:lineRule="exact"/>
        <w:rPr>
          <w:sz w:val="20"/>
          <w:szCs w:val="20"/>
          <w:color w:val="auto"/>
        </w:rPr>
      </w:pPr>
    </w:p>
    <w:p>
      <w:pPr>
        <w:sectPr>
          <w:pgSz w:w="11900" w:h="16838" w:orient="portrait"/>
          <w:cols w:equalWidth="0" w:num="2">
            <w:col w:w="2520" w:space="120"/>
            <w:col w:w="8780"/>
          </w:cols>
          <w:pgMar w:left="240" w:top="121" w:right="239" w:bottom="1440" w:gutter="0" w:footer="0" w:header="0"/>
          <w:type w:val="continuous"/>
        </w:sectPr>
      </w:pPr>
    </w:p>
    <w:p>
      <w:pPr>
        <w:ind w:left="40"/>
        <w:spacing w:after="0"/>
        <w:tabs>
          <w:tab w:leader="none" w:pos="2640" w:val="left"/>
          <w:tab w:leader="none" w:pos="3860" w:val="left"/>
          <w:tab w:leader="none" w:pos="4400" w:val="left"/>
          <w:tab w:leader="none" w:pos="5380" w:val="left"/>
          <w:tab w:leader="none" w:pos="6440" w:val="left"/>
          <w:tab w:leader="none" w:pos="8140" w:val="left"/>
          <w:tab w:leader="none" w:pos="9320" w:val="left"/>
          <w:tab w:leader="none" w:pos="9840" w:val="left"/>
          <w:tab w:leader="none" w:pos="10960" w:val="left"/>
        </w:tabs>
        <w:rPr>
          <w:sz w:val="20"/>
          <w:szCs w:val="20"/>
          <w:color w:val="auto"/>
        </w:rPr>
      </w:pPr>
      <w:r>
        <w:rPr>
          <w:rFonts w:ascii="Times New Roman" w:cs="Times New Roman" w:eastAsia="Times New Roman" w:hAnsi="Times New Roman"/>
          <w:sz w:val="18"/>
          <w:szCs w:val="18"/>
          <w:color w:val="auto"/>
        </w:rPr>
        <w:t>Interest rate swap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306</w:t>
        <w:tab/>
        <w:t>$</w:t>
      </w:r>
      <w:r>
        <w:rPr>
          <w:sz w:val="20"/>
          <w:szCs w:val="20"/>
          <w:color w:val="auto"/>
        </w:rPr>
        <w:tab/>
      </w:r>
      <w:r>
        <w:rPr>
          <w:rFonts w:ascii="Times New Roman" w:cs="Times New Roman" w:eastAsia="Times New Roman" w:hAnsi="Times New Roman"/>
          <w:sz w:val="18"/>
          <w:szCs w:val="18"/>
          <w:color w:val="auto"/>
        </w:rPr>
        <w:t>(1,925)</w:t>
      </w:r>
      <w:r>
        <w:rPr>
          <w:sz w:val="20"/>
          <w:szCs w:val="20"/>
          <w:color w:val="auto"/>
        </w:rPr>
        <w:tab/>
      </w: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341</w:t>
        <w:tab/>
        <w:t>$</w:t>
      </w:r>
      <w:r>
        <w:rPr>
          <w:sz w:val="20"/>
          <w:szCs w:val="20"/>
          <w:color w:val="auto"/>
        </w:rPr>
        <w:tab/>
      </w:r>
      <w:r>
        <w:rPr>
          <w:rFonts w:ascii="Times New Roman" w:cs="Times New Roman" w:eastAsia="Times New Roman" w:hAnsi="Times New Roman"/>
          <w:sz w:val="18"/>
          <w:szCs w:val="18"/>
          <w:color w:val="auto"/>
        </w:rPr>
        <w:t>(478)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34290</wp:posOffset>
            </wp:positionV>
            <wp:extent cx="209232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2325" cy="2603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34290</wp:posOffset>
            </wp:positionV>
            <wp:extent cx="211836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gains or losses recognized in earnings related to any ineffective portion of hedging relationships or related to any amount excluded from the assessment of hedge effectiveness for the nine months ended September 30, 2017 and 2016.</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amounts of gains and losses related to the Company’s derivative financial instruments not designated as hedging instruments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Location of Gain or (Loss)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Recognized in Earnings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 of Gain or (Loss) Recognized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2"/>
        </w:trPr>
        <w:tc>
          <w:tcPr>
            <w:tcW w:w="2980" w:type="dxa"/>
            <w:vAlign w:val="bottom"/>
          </w:tcPr>
          <w:p>
            <w:pPr>
              <w:spacing w:after="0"/>
              <w:rPr>
                <w:sz w:val="18"/>
                <w:szCs w:val="18"/>
                <w:color w:val="auto"/>
              </w:rPr>
            </w:pPr>
          </w:p>
        </w:tc>
        <w:tc>
          <w:tcPr>
            <w:tcW w:w="2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in Earnings on Derivatives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20"/>
                <w:szCs w:val="20"/>
                <w:color w:val="auto"/>
              </w:rPr>
            </w:pPr>
          </w:p>
        </w:tc>
        <w:tc>
          <w:tcPr>
            <w:tcW w:w="2660" w:type="dxa"/>
            <w:vAlign w:val="bottom"/>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2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2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06"/>
        </w:trPr>
        <w:tc>
          <w:tcPr>
            <w:tcW w:w="2980" w:type="dxa"/>
            <w:vAlign w:val="bottom"/>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5"/>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2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Miscellaneous,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2,276</w:t>
            </w: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derivatives</w:t>
            </w: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Miscellaneous, net</w:t>
            </w:r>
          </w:p>
        </w:tc>
        <w:tc>
          <w:tcPr>
            <w:tcW w:w="1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26,836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2,043</w:t>
            </w:r>
          </w:p>
        </w:tc>
      </w:tr>
      <w:tr>
        <w:trPr>
          <w:trHeight w:val="20"/>
        </w:trPr>
        <w:tc>
          <w:tcPr>
            <w:tcW w:w="2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2017, income tax expense was $40.1 million and $173.4 million, respectively, representing an effective tax rate of 31% and 34%, respectively. The effective tax rate differs from the federal statutory rate of 35% due primarily to tax benefit from the domestic production activities deduction of $2.8 million and $13.1 million, tax expense of $5.5 million and tax benefit of $1.2 million from foreign subsidiary earnings indefinitely reinvested outside the U.S., tax benefit of $8.4 million and $0.9 million resulting from a decrease in the valuation allowances for foreign and local taxes, tax benefit of $0.6 million and tax expense of $2.0 million relating to uncertain tax positions (including accrued interest) and state and local income tax expense of $2.4 million and $8.4 million for the three and nine months ended September 30, 2017, respectively.</w:t>
      </w:r>
    </w:p>
    <w:p>
      <w:pPr>
        <w:spacing w:after="0" w:line="18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2016, income tax expense was $21.2 million and $119.1 million, respectively, representing an effective tax rate of 24% and 31%, respectively. The effective tax rate differs from the federal statutory rate of 35% due primarily to tax benefit from the domestic production activities deduction of $2.8 million and $12.5 million, tax benefit of $3.4 million and $12.4 million from foreign subsidiary earnings indefinitely reinvested outside the U.S., tax benefit of $6.7 million and $4.0 million relating to uncertain tax positions (including accrued interest), state and local income tax expense of $0.8 million and $6.1 million and tax expense of $2.3 million and $7.0 million resulting from an increase in the valuation allowances for foreign and local taxes for the three and nine months ended September 30, 2016, respectively. The tax benefit relating to a reduction in uncertain tax positions is primarily due to a lapse of the applicable statute of limitations.</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At September 30, 2017, the Company had foreign tax credit carry forwards of approximately $28 million, expiring on various dates from 2021 through 2025. For the nine months ended September 30, 2017, $1.2 million, relating to amortization of tax deductible second component goodwill, was realized as a reduction in tax liability (as determined on a ‘with-and-without’ approach).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2017, the Company’s contractual obligations not reflected on the Company’s condensed consolidated balance sheet increased $57.2 million to $1.4 billion. The increase relates primarily to payment guarantees to a production service company for certain production 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On December 17, 2013, Frank Darabont (“Darabont”), Ferenc, Inc., Darkwoods Productions, Inc., and Creative Artists Agency, LLC (together, “Plaintiffs”), filed a complaint in New York Supreme Court in connection with Darabont’s rendering services as a writer, director and producer of the television series entitled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$280 million or more and indicated that the parties have completed fact and expert discovery. The parties each filed motions for summary judgment. Oral arguments of the summary judgment motions took place on September 15, 2017. The Court has not yet ruled on the summary judgment motions. The Company</w:t>
      </w:r>
    </w:p>
    <w:p>
      <w:pPr>
        <w:sectPr>
          <w:pgSz w:w="11900" w:h="16838" w:orient="portrait"/>
          <w:cols w:equalWidth="0" w:num="1">
            <w:col w:w="11420"/>
          </w:cols>
          <w:pgMar w:left="240" w:top="121"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has opposed the claims in the Complaint, the Amended Complaint and all subsequent complaints. The Company believes that the asserted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7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Fear the Walking Dead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Talking Dead</w:t>
      </w:r>
      <w:r>
        <w:rPr>
          <w:rFonts w:ascii="Times New Roman" w:cs="Times New Roman" w:eastAsia="Times New Roman" w:hAnsi="Times New Roman"/>
          <w:sz w:val="18"/>
          <w:szCs w:val="18"/>
          <w:color w:val="auto"/>
        </w:rPr>
        <w:t xml:space="preserve">, and the agreements between the parties related thereto (the “California Action”). The California Plaintiffs asserted claims for breach of contract, breach of the covenant of good faith and fair dealing, inducing breach of contract, and liability for violation of Cal. Bus. &amp; Prof. Code § 17200. On August 15, 2017, two of the California Plaintiffs, Gale Anne Hurd and David Alpert (and their associated production companies), along with Charles Eglee and his production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because their agreements contained exclusive New York jurisdiction provisions. On October 23, 2017, the parties stipulated to discontinuing the New York Action without prejudice and consolidating all of the claims in the California Action. While answers and/or dispositive motions have yet to be filed, the Company believes that the asserted claims are without merit and will vigorously defend against them. At this time, no determination can be made as to the ultimate outcome of this litigation or the potential liability, if any, on the part of the Company.</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Equity Plans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June 6, 2017, AMC Networks granted 32,825 restricted stock units (“RSUs”) under the AMC Networks Inc. Amended and Restated 2011 Non-Employee Directors Plan to non-employee directors that vested on the date of grant.</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March 9, 2017, AMC Networks granted 578,901 RSUs and 458,962 performance restricted stock units (“PRSUs”) to certain executive officers and employees under the AMC Networks Inc. 2016 Employee Stock Plan. The RSUs vest ratably over a three-year period and the vesting criteria for 175,299 RSUs include the achievement of certain performance targets by the Company. The PRSUs vest on the third anniversary of the grant date.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target number of PRSUs granted represents the right to receive a corresponding number of shares, subject to adjustment based on the performance of the Company against target performance criteria for a three-year period. The number of shares issuable at the end of the applicable measurement period ranges from 0% to 200% of the target PRSU award.</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2017, 518,968 RSUs of AMC Networks Class A Common Stock previously issued to employees of the Company vested. On the vesting date, 225,398 RSUs were surrendered to the Company to cover the required statutory tax withholding obligations and 293,570 new shares of AMC Networks Class A Common Stock were issued in respect of the remaining RSUs. The units surrendered to satisfy the employees’ statutory minimum tax withholding obligations for the applicable income and other employment tax had an aggregate value of $13.4 million, which has been reflected as a financing activity in the condensed consolidated statement of cash flows for the nine months ended September 30, 2017.</w:t>
      </w:r>
    </w:p>
    <w:p>
      <w:pPr>
        <w:spacing w:after="0" w:line="18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included in selling, general and administrative expense, for the three and nine months ended September 30, 2017 was $13.8 million and $41.4 million, respectively, and $9.4 million and $28.9 million for the three and nine months ended September 30, 2016, respectively.</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2017, there was $112.8 million of total unrecognized share-based compensation cost related to outstanding unvested share-based awards. The unrecognized compensation cost is expected to be recognized over a weighted-average remaining period of approximately 2.6 years.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jc w:val="center"/>
        <w:ind w:left="1600" w:right="104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Redeemable Noncontrolling Interests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activity related to redeemable noncontrolling interest for the nine months ended September 30,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31, 2016</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earnings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Distributions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September 30, 2017</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6"/>
          <w:szCs w:val="16"/>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-5959475</wp:posOffset>
            </wp:positionH>
            <wp:positionV relativeFrom="paragraph">
              <wp:posOffset>33020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4" w:lineRule="exact"/>
        <w:rPr>
          <w:sz w:val="20"/>
          <w:szCs w:val="20"/>
          <w:color w:val="auto"/>
        </w:rPr>
      </w:pPr>
    </w:p>
    <w:p>
      <w:pPr>
        <w:ind w:left="1326" w:hanging="1326"/>
        <w:spacing w:after="0"/>
        <w:tabs>
          <w:tab w:leader="none" w:pos="13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219,331</w:t>
      </w:r>
    </w:p>
    <w:p>
      <w:pPr>
        <w:spacing w:after="0" w:line="63" w:lineRule="exact"/>
        <w:rPr>
          <w:rFonts w:ascii="Times New Roman" w:cs="Times New Roman" w:eastAsia="Times New Roman" w:hAnsi="Times New Roman"/>
          <w:sz w:val="18"/>
          <w:szCs w:val="18"/>
          <w:color w:val="auto"/>
        </w:rPr>
      </w:pPr>
    </w:p>
    <w:p>
      <w:pPr>
        <w:ind w:left="14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-5959475</wp:posOffset>
            </wp:positionH>
            <wp:positionV relativeFrom="paragraph">
              <wp:posOffset>34290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57" w:lineRule="exact"/>
        <w:rPr>
          <w:sz w:val="20"/>
          <w:szCs w:val="20"/>
          <w:color w:val="auto"/>
        </w:rPr>
      </w:pPr>
    </w:p>
    <w:p>
      <w:pPr>
        <w:ind w:left="1326" w:hanging="1326"/>
        <w:spacing w:after="0"/>
        <w:tabs>
          <w:tab w:leader="none" w:pos="13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51435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8674" w:space="720"/>
            <w:col w:w="2026"/>
          </w:cols>
          <w:pgMar w:left="240" w:top="121" w:right="2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Members of the Dolan Family, for purposes of Section 13(d) of the Securities Exchange Act of 1934, as amended, including trusts for the benefit of the Dolan Family, collectively beneficially own all of the AMC Networks outstanding Class B Common Stock and own approximately 2% of the AMC Networks’ outstanding Class A Common Stock. Such shares of the AMC Networks Class A Common Stock and Class B Common Stock, collectively, represent approximately 70% of the aggregate voting power of AMC Networks’ outstanding common stock. Members of the Dolan Family are also the controlling stockholders of The Madison Square Garden Company (“MSG”) and MSG Networks Inc. (“MSG Networks”). Prior to June 21, 2016, members of the Dolan Family were also the controlling stockholders of Cablevision Systems Corporation (“Cablevision”).</w:t>
      </w:r>
    </w:p>
    <w:p>
      <w:pPr>
        <w:spacing w:after="0" w:line="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June 21, 2016, Cablevision was acquired by a subsidiary of Altice N.V. and a change in control occurred which resulted in members of the Dolan Family no longer being controlling stockholders of the surviving company, Altice USA. Accordingly, Altice USA is not a related party of AMC Networks.</w:t>
      </w:r>
    </w:p>
    <w:p>
      <w:pPr>
        <w:spacing w:after="0" w:line="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and its related parties routinely enter into transactions with each other in the ordinary course of business. Revenues, net from related parties amount to $1.5 million for the three months ended September 30, 2017 and 2016, respectively, and $4.6 million and $14.4 million for the nine months ended September 30, 2017 and 2016, respectively. Amounts charged to the Company, included in selling, general and administrative expenses, pursuant to transactions with its related parties amounted to $0.2 million and $0.6 million for the three months ended September 30, 2017 and 2016, respectively, and $1.2 million and $2.5 million for the nine months ended September 30, 2017 and 2016, respectively.</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16, 2016, AMC Networks entered into an arrangement with the Dolan Family Office, LLC (“DFO”), MSG and MSG Networks providing for the sharing of certain expenses associated with executive office space which will be available to Charles F. Dolan (the Executive Chairman and a director of the Company and a director of MSG and MSG Networks), James L. Dolan (the Executive Chairman and a director of MSG and MSG Networks and a director of the Company), and the DFO which is controlled by Charles F. Dolan. The Company’s share of office expenses is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Cash Flows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non-cash investing and financing activities and other supplemental data are as follows:</w:t>
      </w:r>
    </w:p>
    <w:p>
      <w:pPr>
        <w:spacing w:after="0" w:line="28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38735</wp:posOffset>
            </wp:positionV>
            <wp:extent cx="2238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60" w:type="dxa"/>
            <w:vAlign w:val="bottom"/>
            <w:gridSpan w:val="2"/>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70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4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capital lease obligations</w:t>
            </w:r>
          </w:p>
        </w:tc>
        <w:tc>
          <w:tcPr>
            <w:tcW w:w="324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11,040</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not yet settled</w:t>
            </w:r>
          </w:p>
        </w:tc>
        <w:tc>
          <w:tcPr>
            <w:tcW w:w="4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 of RLJE Warrants</w:t>
            </w:r>
          </w:p>
        </w:tc>
        <w:tc>
          <w:tcPr>
            <w:tcW w:w="4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4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1,421</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Supplemental Data:</w:t>
            </w:r>
          </w:p>
        </w:tc>
        <w:tc>
          <w:tcPr>
            <w:tcW w:w="3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interest paid</w:t>
            </w:r>
          </w:p>
        </w:tc>
        <w:tc>
          <w:tcPr>
            <w:tcW w:w="4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65,442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79,951</w:t>
            </w:r>
          </w:p>
        </w:tc>
      </w:tr>
      <w:tr>
        <w:trPr>
          <w:trHeight w:val="243"/>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paid, net</w:t>
            </w:r>
          </w:p>
        </w:tc>
        <w:tc>
          <w:tcPr>
            <w:tcW w:w="4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181,129</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98,997</w:t>
            </w:r>
          </w:p>
        </w:tc>
      </w:tr>
      <w:tr>
        <w:trPr>
          <w:trHeight w:val="594"/>
        </w:trPr>
        <w:tc>
          <w:tcPr>
            <w:tcW w:w="4660" w:type="dxa"/>
            <w:vAlign w:val="bottom"/>
          </w:tcPr>
          <w:p>
            <w:pPr>
              <w:spacing w:after="0"/>
              <w:rPr>
                <w:sz w:val="24"/>
                <w:szCs w:val="24"/>
                <w:color w:val="auto"/>
              </w:rPr>
            </w:pPr>
          </w:p>
        </w:tc>
        <w:tc>
          <w:tcPr>
            <w:tcW w:w="3240" w:type="dxa"/>
            <w:vAlign w:val="bottom"/>
          </w:tcPr>
          <w:p>
            <w:pPr>
              <w:jc w:val="right"/>
              <w:ind w:right="2011"/>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19" w:name="page20"/>
    <w:bookmarkEnd w:id="19"/>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the components of accumulated other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 2017</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7"/>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03"/>
        </w:trPr>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Currency Translation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200" w:type="dxa"/>
            <w:vAlign w:val="bottom"/>
          </w:tcPr>
          <w:p>
            <w:pPr>
              <w:spacing w:after="0"/>
              <w:rPr>
                <w:sz w:val="17"/>
                <w:szCs w:val="17"/>
                <w:color w:val="auto"/>
              </w:rPr>
            </w:pPr>
          </w:p>
        </w:tc>
        <w:tc>
          <w:tcPr>
            <w:tcW w:w="14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40"/>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Income (Loss)</w:t>
            </w:r>
          </w:p>
        </w:tc>
      </w:tr>
      <w:tr>
        <w:trPr>
          <w:trHeight w:val="269"/>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(194,189)</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(193,798)</w:t>
            </w:r>
          </w:p>
        </w:tc>
      </w:tr>
      <w:tr>
        <w:trPr>
          <w:trHeight w:val="237"/>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63,475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73,315</w:t>
            </w:r>
          </w:p>
        </w:tc>
      </w:tr>
      <w:tr>
        <w:trPr>
          <w:trHeight w:val="27"/>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61"/>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05"/>
        </w:trPr>
        <w:tc>
          <w:tcPr>
            <w:tcW w:w="45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w w:val="99"/>
              </w:rPr>
              <w:t>Net current-period other comprehensive income (loss), before</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34"/>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72,974</w:t>
            </w:r>
          </w:p>
        </w:tc>
      </w:tr>
      <w:tr>
        <w:trPr>
          <w:trHeight w:val="27"/>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05"/>
        </w:trPr>
        <w:tc>
          <w:tcPr>
            <w:tcW w:w="45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 income (loss), net of</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34"/>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69,479</w:t>
            </w:r>
          </w:p>
        </w:tc>
      </w:tr>
      <w:tr>
        <w:trPr>
          <w:trHeight w:val="27"/>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(130,714)</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(124,319)</w:t>
            </w: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62"/>
        </w:trPr>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60" w:type="dxa"/>
            <w:vAlign w:val="bottom"/>
            <w:gridSpan w:val="13"/>
          </w:tcPr>
          <w:p>
            <w:pPr>
              <w:ind w:left="860"/>
              <w:spacing w:after="0"/>
              <w:rPr>
                <w:sz w:val="20"/>
                <w:szCs w:val="20"/>
                <w:color w:val="auto"/>
              </w:rPr>
            </w:pPr>
            <w:r>
              <w:rPr>
                <w:rFonts w:ascii="Times New Roman" w:cs="Times New Roman" w:eastAsia="Times New Roman" w:hAnsi="Times New Roman"/>
                <w:sz w:val="16"/>
                <w:szCs w:val="16"/>
                <w:b w:val="1"/>
                <w:bCs w:val="1"/>
                <w:color w:val="auto"/>
              </w:rPr>
              <w:t>Nine Months Ended September 30, 2016</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4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7"/>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3"/>
        </w:trPr>
        <w:tc>
          <w:tcPr>
            <w:tcW w:w="4500" w:type="dxa"/>
            <w:vAlign w:val="bottom"/>
          </w:tcPr>
          <w:p>
            <w:pPr>
              <w:spacing w:after="0"/>
              <w:rPr>
                <w:sz w:val="17"/>
                <w:szCs w:val="17"/>
                <w:color w:val="auto"/>
              </w:rPr>
            </w:pPr>
          </w:p>
        </w:tc>
        <w:tc>
          <w:tcPr>
            <w:tcW w:w="178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Currency Translation</w:t>
            </w: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Gains (Losses) on Cash</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0"/>
        </w:trPr>
        <w:tc>
          <w:tcPr>
            <w:tcW w:w="45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69"/>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61"/>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05"/>
        </w:trPr>
        <w:tc>
          <w:tcPr>
            <w:tcW w:w="45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 loss, before income</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05"/>
        </w:trPr>
        <w:tc>
          <w:tcPr>
            <w:tcW w:w="45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 loss, net of income</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(152,307)</w:t>
            </w:r>
          </w:p>
        </w:tc>
        <w:tc>
          <w:tcPr>
            <w:tcW w:w="1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(152,845)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Amounts reclassified to net earnings for gains and losses on cash flow hedges designated as hedging instruments are included in interest expense in the condensed consolidated statements of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evaluates segment performance based on several factors, of which the primary financial measure is operating segment adjusted operating income (“AOI”), a non-GAAP measure, defined as operating income (loss) before depreciation and amortization, share-based compensation expense or benefit, impairment and related charges (including gains or losses on sales or dispositions of businesses), and restructuring expense or credit. The Company has presented the components that reconcile adjusted operating income to operating income, an accepted GAAP measure, and other information as to the continuing operations of the Company’s operating segments below.</w:t>
      </w:r>
    </w:p>
    <w:p>
      <w:pPr>
        <w:sectPr>
          <w:pgSz w:w="11900" w:h="16838" w:orient="portrait"/>
          <w:cols w:equalWidth="0" w:num="1">
            <w:col w:w="11420"/>
          </w:cols>
          <w:pgMar w:left="240" w:top="121"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2017</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National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20" w:type="dxa"/>
            <w:vAlign w:val="bottom"/>
          </w:tcPr>
          <w:p>
            <w:pPr>
              <w:spacing w:after="0"/>
              <w:rPr>
                <w:sz w:val="18"/>
                <w:szCs w:val="18"/>
                <w:color w:val="auto"/>
              </w:rPr>
            </w:pPr>
          </w:p>
        </w:tc>
        <w:tc>
          <w:tcPr>
            <w:tcW w:w="15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Networks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20" w:type="dxa"/>
            <w:vAlign w:val="bottom"/>
          </w:tcPr>
          <w:p>
            <w:pPr>
              <w:spacing w:after="0"/>
              <w:rPr>
                <w:sz w:val="20"/>
                <w:szCs w:val="20"/>
                <w:color w:val="auto"/>
              </w:rPr>
            </w:pPr>
          </w:p>
        </w:tc>
        <w:tc>
          <w:tcPr>
            <w:tcW w:w="15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9"/>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197,891</w:t>
            </w:r>
          </w:p>
        </w:tc>
        <w:tc>
          <w:tcPr>
            <w:tcW w:w="1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218,582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343,551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92,069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429,441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541,442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112,760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648,023</w:t>
            </w:r>
          </w:p>
        </w:tc>
        <w:tc>
          <w:tcPr>
            <w:tcW w:w="20" w:type="dxa"/>
            <w:vAlign w:val="bottom"/>
            <w:tcBorders>
              <w:top w:val="single" w:sz="8" w:color="auto"/>
              <w:bottom w:val="single" w:sz="8" w:color="auto"/>
            </w:tcBorders>
          </w:tcPr>
          <w:p>
            <w:pPr>
              <w:spacing w:after="0"/>
              <w:rPr>
                <w:sz w:val="24"/>
                <w:szCs w:val="24"/>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179,624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(credit)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199,694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200,409</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62"/>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2016</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National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20" w:type="dxa"/>
            <w:vAlign w:val="bottom"/>
          </w:tcPr>
          <w:p>
            <w:pPr>
              <w:spacing w:after="0"/>
              <w:rPr>
                <w:sz w:val="18"/>
                <w:szCs w:val="18"/>
                <w:color w:val="auto"/>
              </w:rPr>
            </w:pPr>
          </w:p>
        </w:tc>
        <w:tc>
          <w:tcPr>
            <w:tcW w:w="150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Networks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20" w:type="dxa"/>
            <w:vAlign w:val="bottom"/>
          </w:tcPr>
          <w:p>
            <w:pPr>
              <w:spacing w:after="0"/>
              <w:rPr>
                <w:sz w:val="20"/>
                <w:szCs w:val="20"/>
                <w:color w:val="auto"/>
              </w:rPr>
            </w:pPr>
          </w:p>
        </w:tc>
        <w:tc>
          <w:tcPr>
            <w:tcW w:w="150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9"/>
        </w:trPr>
        <w:tc>
          <w:tcPr>
            <w:tcW w:w="40" w:type="dxa"/>
            <w:vAlign w:val="bottom"/>
          </w:tcPr>
          <w:p>
            <w:pPr>
              <w:spacing w:after="0"/>
              <w:rPr>
                <w:sz w:val="21"/>
                <w:szCs w:val="21"/>
                <w:color w:val="auto"/>
              </w:rPr>
            </w:pPr>
          </w:p>
        </w:tc>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189,300</w:t>
            </w:r>
          </w:p>
        </w:tc>
        <w:tc>
          <w:tcPr>
            <w:tcW w:w="1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210,724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336,413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92,596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423,922</w:t>
            </w:r>
          </w:p>
        </w:tc>
        <w:tc>
          <w:tcPr>
            <w:tcW w:w="20" w:type="dxa"/>
            <w:vAlign w:val="bottom"/>
          </w:tcPr>
          <w:p>
            <w:pPr>
              <w:spacing w:after="0"/>
              <w:rPr>
                <w:sz w:val="23"/>
                <w:szCs w:val="23"/>
                <w:color w:val="auto"/>
              </w:rPr>
            </w:pPr>
          </w:p>
        </w:tc>
      </w:tr>
      <w:tr>
        <w:trPr>
          <w:trHeight w:val="297"/>
        </w:trPr>
        <w:tc>
          <w:tcPr>
            <w:tcW w:w="40" w:type="dxa"/>
            <w:vAlign w:val="bottom"/>
          </w:tcPr>
          <w:p>
            <w:pPr>
              <w:spacing w:after="0"/>
              <w:rPr>
                <w:sz w:val="24"/>
                <w:szCs w:val="24"/>
                <w:color w:val="auto"/>
              </w:rPr>
            </w:pPr>
          </w:p>
        </w:tc>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525,713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114,020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634,646</w:t>
            </w: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139,148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117,137</w:t>
            </w: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9,382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19,312</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22,282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162,503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168,113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2"/>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Nine Months Ended September 30, 2017</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National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20" w:type="dxa"/>
            <w:vAlign w:val="bottom"/>
          </w:tcPr>
          <w:p>
            <w:pPr>
              <w:spacing w:after="0"/>
              <w:rPr>
                <w:sz w:val="18"/>
                <w:szCs w:val="18"/>
                <w:color w:val="auto"/>
              </w:rPr>
            </w:pPr>
          </w:p>
        </w:tc>
        <w:tc>
          <w:tcPr>
            <w:tcW w:w="15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Networks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20" w:type="dxa"/>
            <w:vAlign w:val="bottom"/>
          </w:tcPr>
          <w:p>
            <w:pPr>
              <w:spacing w:after="0"/>
              <w:rPr>
                <w:sz w:val="20"/>
                <w:szCs w:val="20"/>
                <w:color w:val="auto"/>
              </w:rPr>
            </w:pPr>
          </w:p>
        </w:tc>
        <w:tc>
          <w:tcPr>
            <w:tcW w:w="15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0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9"/>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690,906</w:t>
            </w:r>
          </w:p>
        </w:tc>
        <w:tc>
          <w:tcPr>
            <w:tcW w:w="1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62,134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753,040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1,070,606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268,267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1,325,717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1,761,512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330,401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2,078,757</w:t>
            </w:r>
          </w:p>
        </w:tc>
        <w:tc>
          <w:tcPr>
            <w:tcW w:w="20" w:type="dxa"/>
            <w:vAlign w:val="bottom"/>
            <w:tcBorders>
              <w:top w:val="single" w:sz="8" w:color="auto"/>
              <w:bottom w:val="single" w:sz="8" w:color="auto"/>
            </w:tcBorders>
          </w:tcPr>
          <w:p>
            <w:pPr>
              <w:spacing w:after="0"/>
              <w:rPr>
                <w:sz w:val="24"/>
                <w:szCs w:val="24"/>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640,855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560,815</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41,412</w:t>
            </w:r>
          </w:p>
        </w:tc>
        <w:tc>
          <w:tcPr>
            <w:tcW w:w="20" w:type="dxa"/>
            <w:vAlign w:val="bottom"/>
          </w:tcPr>
          <w:p>
            <w:pPr>
              <w:spacing w:after="0"/>
              <w:rPr>
                <w:sz w:val="21"/>
                <w:szCs w:val="21"/>
                <w:color w:val="auto"/>
              </w:rPr>
            </w:pPr>
          </w:p>
        </w:tc>
      </w:tr>
      <w:tr>
        <w:trPr>
          <w:trHeight w:val="27"/>
        </w:trPr>
        <w:tc>
          <w:tcPr>
            <w:tcW w:w="4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(credit)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20" w:type="dxa"/>
            <w:vAlign w:val="bottom"/>
          </w:tcPr>
          <w:p>
            <w:pPr>
              <w:spacing w:after="0"/>
              <w:rPr>
                <w:sz w:val="21"/>
                <w:szCs w:val="21"/>
                <w:color w:val="auto"/>
              </w:rPr>
            </w:pPr>
          </w:p>
        </w:tc>
      </w:tr>
      <w:tr>
        <w:trPr>
          <w:trHeight w:val="27"/>
        </w:trPr>
        <w:tc>
          <w:tcPr>
            <w:tcW w:w="4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39,722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699,834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10,283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699,299</w:t>
            </w:r>
          </w:p>
        </w:tc>
        <w:tc>
          <w:tcPr>
            <w:tcW w:w="20" w:type="dxa"/>
            <w:vAlign w:val="bottom"/>
            <w:tcBorders>
              <w:top w:val="single" w:sz="8" w:color="auto"/>
              <w:bottom w:val="single" w:sz="8" w:color="auto"/>
            </w:tcBorders>
          </w:tcPr>
          <w:p>
            <w:pPr>
              <w:spacing w:after="0"/>
              <w:rPr>
                <w:sz w:val="24"/>
                <w:szCs w:val="24"/>
                <w:color w:val="auto"/>
              </w:rPr>
            </w:pPr>
          </w:p>
        </w:tc>
      </w:tr>
      <w:tr>
        <w:trPr>
          <w:trHeight w:val="230"/>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20,311</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41,483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2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September 30, 2016</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National</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Networks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692,483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69,837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762,320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1,004,499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271,511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1,263,737</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1,696,982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341,348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2,026,057</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594,969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553,828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28,869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19,666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63,467</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649,782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665,830</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34,340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44,505</w:t>
            </w:r>
          </w:p>
        </w:tc>
      </w:tr>
    </w:tbl>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9"/>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National Networks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International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7"/>
        </w:trPr>
        <w:tc>
          <w:tcPr>
            <w:tcW w:w="47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revenues based on customer location: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9"/>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504,732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499,316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1,653,342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1,616,453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91,447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278,198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290,879</w:t>
            </w: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51,844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147,217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118,725</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648,023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634,646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2,078,757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2,026,057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property and equipment based on asset location: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180" w:type="dxa"/>
            <w:vAlign w:val="bottom"/>
          </w:tcPr>
          <w:p>
            <w:pPr>
              <w:spacing w:after="0"/>
              <w:rPr>
                <w:sz w:val="20"/>
                <w:szCs w:val="20"/>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0" w:type="dxa"/>
            <w:vAlign w:val="bottom"/>
          </w:tcPr>
          <w:p>
            <w:pPr>
              <w:spacing w:after="0"/>
              <w:rPr>
                <w:sz w:val="1"/>
                <w:szCs w:val="1"/>
                <w:color w:val="auto"/>
              </w:rPr>
            </w:pPr>
          </w:p>
        </w:tc>
      </w:tr>
      <w:tr>
        <w:trPr>
          <w:trHeight w:val="249"/>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7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3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126,050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104,939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Europe</w:t>
            </w:r>
          </w:p>
        </w:tc>
        <w:tc>
          <w:tcPr>
            <w:tcW w:w="3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39,976</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21,721</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spacing w:after="0"/>
              <w:rPr>
                <w:sz w:val="22"/>
                <w:szCs w:val="22"/>
                <w:color w:val="auto"/>
              </w:rPr>
            </w:pPr>
          </w:p>
        </w:tc>
        <w:tc>
          <w:tcPr>
            <w:tcW w:w="3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172,621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166,636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Condensed Consolidating Financial Statements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Debt of AMC Networks includes $600.0 million of 4.75% senior notes due December 2022, $1.0 billion of 5.00% senior notes due April 2024 and $800.0 million of 4.75% senior notes due August 2025. All outstanding senior notes issued by AMC Networks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455"/>
        <w:spacing w:after="0" w:line="261" w:lineRule="auto"/>
        <w:rPr>
          <w:sz w:val="20"/>
          <w:szCs w:val="20"/>
          <w:color w:val="auto"/>
        </w:rPr>
      </w:pPr>
      <w:r>
        <w:rPr>
          <w:rFonts w:ascii="Times New Roman" w:cs="Times New Roman" w:eastAsia="Times New Roman" w:hAnsi="Times New Roman"/>
          <w:sz w:val="18"/>
          <w:szCs w:val="18"/>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accounting basis in all subsidiaries, including goodwill and identified intangible assets, have been allocated to the applicable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tcBorders>
            <w:shd w:val="clear" w:color="auto" w:fill="CCEEFF"/>
          </w:tcPr>
          <w:p>
            <w:pPr>
              <w:ind w:left="20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402,762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149,259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552,289</w:t>
            </w:r>
          </w:p>
        </w:tc>
        <w:tc>
          <w:tcPr>
            <w:tcW w:w="0" w:type="dxa"/>
            <w:vAlign w:val="bottom"/>
          </w:tcPr>
          <w:p>
            <w:pPr>
              <w:spacing w:after="0"/>
              <w:rPr>
                <w:sz w:val="1"/>
                <w:szCs w:val="1"/>
                <w:color w:val="auto"/>
              </w:rPr>
            </w:pPr>
          </w:p>
        </w:tc>
      </w:tr>
      <w:tr>
        <w:trPr>
          <w:trHeight w:val="265"/>
        </w:trPr>
        <w:tc>
          <w:tcPr>
            <w:tcW w:w="4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Accounts receivable, trade (less allowance for doubtful accounts)</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527,232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184,944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712,176</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Amounts due from related parties, net</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Current portion of program rights, net</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301,362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151,347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452,709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 other current assets and intercompany receivable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199,921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12,484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99,452</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1,431,755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498,034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1,817,104</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125,657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46,964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172,621</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affiliates</w:t>
            </w:r>
          </w:p>
        </w:tc>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3,426,758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923,595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(4,350,353)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Program rights, net</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1,054,542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184,964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1,239,506</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intercompany notes receivable</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466,027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carriage fees, net</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34,187</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172,989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300,710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473,699</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67,246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623,608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690,854</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tax asset, net</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20,405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20,405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140,417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300,558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442,388</w:t>
            </w:r>
          </w:p>
        </w:tc>
        <w:tc>
          <w:tcPr>
            <w:tcW w:w="0" w:type="dxa"/>
            <w:vAlign w:val="bottom"/>
          </w:tcPr>
          <w:p>
            <w:pPr>
              <w:spacing w:after="0"/>
              <w:rPr>
                <w:sz w:val="1"/>
                <w:szCs w:val="1"/>
                <w:color w:val="auto"/>
              </w:rPr>
            </w:pPr>
          </w:p>
        </w:tc>
      </w:tr>
      <w:tr>
        <w:trPr>
          <w:trHeight w:val="282"/>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3,429,187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4,414,924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1,977,184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(4,930,531)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4,890,764</w:t>
            </w:r>
          </w:p>
        </w:tc>
        <w:tc>
          <w:tcPr>
            <w:tcW w:w="0" w:type="dxa"/>
            <w:vAlign w:val="bottom"/>
          </w:tcPr>
          <w:p>
            <w:pPr>
              <w:spacing w:after="0"/>
              <w:rPr>
                <w:sz w:val="1"/>
                <w:szCs w:val="1"/>
                <w:color w:val="auto"/>
              </w:rPr>
            </w:pPr>
          </w:p>
        </w:tc>
      </w:tr>
      <w:tr>
        <w:trPr>
          <w:trHeight w:val="251"/>
        </w:trPr>
        <w:tc>
          <w:tcPr>
            <w:tcW w:w="47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33,325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45,545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78,904</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liabilities and intercompany payable</w:t>
            </w:r>
          </w:p>
        </w:tc>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57,650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159,579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148,967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252,495</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Current portion of program rights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246,401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72,072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318,473</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34,253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17,326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51,579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4,717</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57,684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476,431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285,754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(113,701)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706,168</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Program rights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434,191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455,167</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 net</w:t>
            </w:r>
          </w:p>
        </w:tc>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3,097,350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3,097,350</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27,378</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177,580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173,363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42,200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73,035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481,621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(466,477)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130,379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3,374,814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988,166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807,003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(580,178)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4,589,805</w:t>
            </w: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217,697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217,697</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AMC Networks stockholders’ equity</w:t>
            </w:r>
          </w:p>
        </w:tc>
        <w:tc>
          <w:tcPr>
            <w:tcW w:w="12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54,373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3,426,758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923,595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(4,350,353)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54,373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28,889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28,889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54,373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3,426,758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952,484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(4,350,353)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83,262</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3,429,187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4,414,924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1,977,184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(4,930,531)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4,890,764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6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tcBorders>
            <w:shd w:val="clear" w:color="auto" w:fill="CCEEFF"/>
          </w:tcPr>
          <w:p>
            <w:pPr>
              <w:ind w:left="20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320,950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159,874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481,389</w:t>
            </w:r>
          </w:p>
        </w:tc>
        <w:tc>
          <w:tcPr>
            <w:tcW w:w="0" w:type="dxa"/>
            <w:vAlign w:val="bottom"/>
          </w:tcPr>
          <w:p>
            <w:pPr>
              <w:spacing w:after="0"/>
              <w:rPr>
                <w:sz w:val="1"/>
                <w:szCs w:val="1"/>
                <w:color w:val="auto"/>
              </w:rPr>
            </w:pPr>
          </w:p>
        </w:tc>
      </w:tr>
      <w:tr>
        <w:trPr>
          <w:trHeight w:val="265"/>
        </w:trPr>
        <w:tc>
          <w:tcPr>
            <w:tcW w:w="4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Accounts receivable, trade (less allowance for doubtful accounts)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537,751</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162,904</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700,655</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Amounts due from related parties,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Current portion of program rights,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307,050</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134,080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441,130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 other current assets and intercompany receivable</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151,175</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15,961</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(95,423)</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72,661</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current assets</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1,317,434</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472,819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(95,423)</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1,696,343</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104,272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62,364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166,636</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 affiliates</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3,029,922</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784,024</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(3,813,946)</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Program rights,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947,657</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160,929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1,108,586</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intercompany notes receivable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432,099</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(432,916)</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carriage fees,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42,656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43,886</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Intangible assets,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180,297</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305,512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485,809</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69,154</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588,554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657,708</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tax asset,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8,598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8,598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116,608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194,950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313,029</w:t>
            </w:r>
          </w:p>
        </w:tc>
        <w:tc>
          <w:tcPr>
            <w:tcW w:w="0" w:type="dxa"/>
            <w:vAlign w:val="bottom"/>
          </w:tcPr>
          <w:p>
            <w:pPr>
              <w:spacing w:after="0"/>
              <w:rPr>
                <w:sz w:val="1"/>
                <w:szCs w:val="1"/>
                <w:color w:val="auto"/>
              </w:rPr>
            </w:pPr>
          </w:p>
        </w:tc>
      </w:tr>
      <w:tr>
        <w:trPr>
          <w:trHeight w:val="282"/>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assets</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3,032,906</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3,994,201</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1,795,773</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(4,342,285)</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4,480,595</w:t>
            </w:r>
          </w:p>
        </w:tc>
        <w:tc>
          <w:tcPr>
            <w:tcW w:w="0" w:type="dxa"/>
            <w:vAlign w:val="bottom"/>
          </w:tcPr>
          <w:p>
            <w:pPr>
              <w:spacing w:after="0"/>
              <w:rPr>
                <w:sz w:val="1"/>
                <w:szCs w:val="1"/>
                <w:color w:val="auto"/>
              </w:rPr>
            </w:pPr>
          </w:p>
        </w:tc>
      </w:tr>
      <w:tr>
        <w:trPr>
          <w:trHeight w:val="251"/>
        </w:trPr>
        <w:tc>
          <w:tcPr>
            <w:tcW w:w="47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40,033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48,644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88,677</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liabilities and intercompany payable</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71,680</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182,667</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125,505</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(95,423)</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284,429</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Current portion of program rights obligations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226,474</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74,371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300,845</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42,782</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10,861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53,643</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222,000</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222,000</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Current portion of capital lease obligations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2,645</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4,584</w:t>
            </w: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293,680</w:t>
            </w: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494,601</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261,320</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(95,423)</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954,178</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Program rights obligations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365,262</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32,913</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398,175</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 net</w:t>
            </w: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2,597,263</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2,597,263</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 lease obligations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6,647</w:t>
            </w:r>
          </w:p>
        </w:tc>
        <w:tc>
          <w:tcPr>
            <w:tcW w:w="1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28,635</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35,282</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145,364</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145,791</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liabilities and intercompany notes payable</w:t>
            </w: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26,681</w:t>
            </w:r>
          </w:p>
        </w:tc>
        <w:tc>
          <w:tcPr>
            <w:tcW w:w="12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97,769</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440,685</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(432,916)</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132,219</w:t>
            </w: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liabilities</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3,062,988</w:t>
            </w:r>
          </w:p>
        </w:tc>
        <w:tc>
          <w:tcPr>
            <w:tcW w:w="12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964,279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763,980</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(528,339)</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4,262,908</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219,331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219,331</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AMC Networks stockholders’ (deficiency) equity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3,029,922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784,024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(3,813,946)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(30,082)</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28,438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28,438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stockholders’ (deficiency)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(30,082)</w:t>
            </w:r>
          </w:p>
        </w:tc>
        <w:tc>
          <w:tcPr>
            <w:tcW w:w="12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3,029,922</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812,462</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(3,813,946)</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0" w:type="dxa"/>
            <w:vAlign w:val="bottom"/>
          </w:tcPr>
          <w:p>
            <w:pPr>
              <w:spacing w:after="0"/>
              <w:rPr>
                <w:sz w:val="1"/>
                <w:szCs w:val="1"/>
                <w:color w:val="auto"/>
              </w:rPr>
            </w:pPr>
          </w:p>
        </w:tc>
      </w:tr>
      <w:tr>
        <w:trPr>
          <w:trHeight w:val="242"/>
        </w:trPr>
        <w:tc>
          <w:tcPr>
            <w:tcW w:w="47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Total liabilities and stockholders’ (deficiency) equity</w:t>
            </w: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3,032,906</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3,994,201</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1,795,773</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(4,342,285)</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4,480,595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2017</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494,563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157,346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648,023</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Technical and operating (excluding depreciation and amortization)</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232,432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91,142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322,743</w:t>
            </w:r>
          </w:p>
        </w:tc>
        <w:tc>
          <w:tcPr>
            <w:tcW w:w="0" w:type="dxa"/>
            <w:vAlign w:val="bottom"/>
          </w:tcPr>
          <w:p>
            <w:pPr>
              <w:spacing w:after="0"/>
              <w:rPr>
                <w:sz w:val="1"/>
                <w:szCs w:val="1"/>
                <w:color w:val="auto"/>
              </w:rPr>
            </w:pPr>
          </w:p>
        </w:tc>
      </w:tr>
      <w:tr>
        <w:trPr>
          <w:trHeight w:val="265"/>
        </w:trPr>
        <w:tc>
          <w:tcPr>
            <w:tcW w:w="4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99,481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42,352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138,688</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10,072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20,938</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Impairment and related charges</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Restructuring (credit)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341,975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156,670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494,669</w:t>
            </w: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152,588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153,354</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10,543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(31,810)</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Share of affiliates’ income</w:t>
            </w:r>
          </w:p>
        </w:tc>
        <w:tc>
          <w:tcPr>
            <w:tcW w:w="1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171,490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Miscellaneous, net</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12,420</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133,007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21,083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5,880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(182,364)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(22,394)</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173,671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130,960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(46,005)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(40,124)</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87,002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171,490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14,618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(182,274)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90,836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87,002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171,490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10,784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87,002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484,704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152,007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634,646</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Technical and operating (excluding depreciation and amortization)</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251,595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87,891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338,799</w:t>
            </w:r>
          </w:p>
        </w:tc>
        <w:tc>
          <w:tcPr>
            <w:tcW w:w="0" w:type="dxa"/>
            <w:vAlign w:val="bottom"/>
          </w:tcPr>
          <w:p>
            <w:pPr>
              <w:spacing w:after="0"/>
              <w:rPr>
                <w:sz w:val="1"/>
                <w:szCs w:val="1"/>
                <w:color w:val="auto"/>
              </w:rPr>
            </w:pPr>
          </w:p>
        </w:tc>
      </w:tr>
      <w:tr>
        <w:trPr>
          <w:trHeight w:val="265"/>
        </w:trPr>
        <w:tc>
          <w:tcPr>
            <w:tcW w:w="4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97,633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41,077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137,116</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9,965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22,282</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Restructuring expense</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18,764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19,312</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377,957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141,833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517,509</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106,747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117,137</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9,649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(29,204)</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Share of affiliates’ income (loss)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110,101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2,988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78,433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5,632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(105,915)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(28,511)</w:t>
            </w: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78,433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112,379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88,626</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(21,157)</w:t>
            </w: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65,393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110,101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67,469</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65,393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65,393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2017</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1,610,247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480,153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2,078,757</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Technical and operating (excluding depreciation and amortization)</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694,336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264,231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956,200</w:t>
            </w:r>
          </w:p>
        </w:tc>
        <w:tc>
          <w:tcPr>
            <w:tcW w:w="0" w:type="dxa"/>
            <w:vAlign w:val="bottom"/>
          </w:tcPr>
          <w:p>
            <w:pPr>
              <w:spacing w:after="0"/>
              <w:rPr>
                <w:sz w:val="1"/>
                <w:szCs w:val="1"/>
                <w:color w:val="auto"/>
              </w:rPr>
            </w:pPr>
          </w:p>
        </w:tc>
      </w:tr>
      <w:tr>
        <w:trPr>
          <w:trHeight w:val="265"/>
        </w:trPr>
        <w:tc>
          <w:tcPr>
            <w:tcW w:w="4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335,585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138,669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464,670</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30,399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65,037</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Impairment and related charges</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28,148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2,649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3,887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1,062,969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466,924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1,517,942</w:t>
            </w: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547,278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560,815</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(93,548)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30,531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(85,768)</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Share of affiliates’ income</w:t>
            </w:r>
          </w:p>
        </w:tc>
        <w:tc>
          <w:tcPr>
            <w:tcW w:w="1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592,012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(611,622)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Miscellaneous, net</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42,090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42,448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494,041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52,226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19,339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(611,930)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(46,324)</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494,041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599,504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514,491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(168,225)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(173,399)</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325,816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592,012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34,886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(611,622)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341,092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(15,276)</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325,816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592,012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19,610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(611,622)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325,816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0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1,559,188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473,809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2,026,057</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Technical and operating (excluding depreciation and amortization)</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665,627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251,773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915,336</w:t>
            </w:r>
          </w:p>
        </w:tc>
        <w:tc>
          <w:tcPr>
            <w:tcW w:w="0" w:type="dxa"/>
            <w:vAlign w:val="bottom"/>
          </w:tcPr>
          <w:p>
            <w:pPr>
              <w:spacing w:after="0"/>
              <w:rPr>
                <w:sz w:val="1"/>
                <w:szCs w:val="1"/>
                <w:color w:val="auto"/>
              </w:rPr>
            </w:pPr>
          </w:p>
        </w:tc>
      </w:tr>
      <w:tr>
        <w:trPr>
          <w:trHeight w:val="265"/>
        </w:trPr>
        <w:tc>
          <w:tcPr>
            <w:tcW w:w="4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343,526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135,083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473,760</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29,992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33,475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63,467</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Restructuring expense</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18,806</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19,666</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1,057,951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421,191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1,472,229</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501,237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553,828</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(89,992)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(90,566)</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Share of affiliates’ income (loss)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498,281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357,278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4,106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(51,492)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(473,706)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(163,814)</w:t>
            </w: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357,278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505,343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390,014</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(101,262)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(119,090)</w:t>
            </w: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256,016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498,281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270,924</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(14,908)</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256,016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256,016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2017</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87,002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171,490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14,618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(182,274)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90,836</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15,791</w:t>
            </w:r>
          </w:p>
        </w:tc>
        <w:tc>
          <w:tcPr>
            <w:tcW w:w="0" w:type="dxa"/>
            <w:vAlign w:val="bottom"/>
          </w:tcPr>
          <w:p>
            <w:pPr>
              <w:spacing w:after="0"/>
              <w:rPr>
                <w:sz w:val="1"/>
                <w:szCs w:val="1"/>
                <w:color w:val="auto"/>
              </w:rPr>
            </w:pPr>
          </w:p>
        </w:tc>
      </w:tr>
      <w:tr>
        <w:trPr>
          <w:trHeight w:val="265"/>
        </w:trPr>
        <w:tc>
          <w:tcPr>
            <w:tcW w:w="47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Unrealized loss on interest rate swaps</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Unrealized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6,596</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22,213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19,850</w:t>
            </w: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106,852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171,490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30,409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(198,065)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110,686</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106,852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106,053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65,393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110,101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67,469</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Unrealized gain on interest rate swaps</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comprehensive income (loss),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(1,363)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comprehensive (loss), net of income taxes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64,163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110,101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(104,936)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66,239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income (loss)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64,163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110,101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(104,936)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64,131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2017</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325,816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592,012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34,886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(611,622)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341,092</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63,475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63,475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63,475</w:t>
            </w:r>
          </w:p>
        </w:tc>
        <w:tc>
          <w:tcPr>
            <w:tcW w:w="0" w:type="dxa"/>
            <w:vAlign w:val="bottom"/>
          </w:tcPr>
          <w:p>
            <w:pPr>
              <w:spacing w:after="0"/>
              <w:rPr>
                <w:sz w:val="1"/>
                <w:szCs w:val="1"/>
                <w:color w:val="auto"/>
              </w:rPr>
            </w:pPr>
          </w:p>
        </w:tc>
      </w:tr>
      <w:tr>
        <w:trPr>
          <w:trHeight w:val="265"/>
        </w:trPr>
        <w:tc>
          <w:tcPr>
            <w:tcW w:w="47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Unrealized loss on interest rate swaps</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Unrealized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9,534</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72,974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72,974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69,479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69,479</w:t>
            </w: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395,295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592,012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98,361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(675,097)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410,571</w:t>
            </w:r>
          </w:p>
        </w:tc>
        <w:tc>
          <w:tcPr>
            <w:tcW w:w="0" w:type="dxa"/>
            <w:vAlign w:val="bottom"/>
          </w:tcPr>
          <w:p>
            <w:pPr>
              <w:spacing w:after="0"/>
              <w:rPr>
                <w:sz w:val="1"/>
                <w:szCs w:val="1"/>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(17,997)</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395,295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392,574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256,016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498,281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270,924</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3,767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Unrealized loss on interest rate swaps</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comprehensive (loss),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(5,214)</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(11,574)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comprehensive (loss), net of income taxes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(16,788)</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239,228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498,281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(469,966)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254,136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(13,564)</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Comprehensive income (loss)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239,228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498,281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(469,966)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240,572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2017</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374,873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498,874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11,714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(611,888)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273,573</w:t>
            </w: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(61,794)</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Investment in and loans to investees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Increase to investment in affiliates</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(289,891)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(394,117)</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254,014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429,994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(289,891)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(441,928)</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197,031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429,994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(104,794)</w:t>
            </w:r>
          </w:p>
        </w:tc>
        <w:tc>
          <w:tcPr>
            <w:tcW w:w="0" w:type="dxa"/>
            <w:vAlign w:val="bottom"/>
          </w:tcPr>
          <w:p>
            <w:pPr>
              <w:spacing w:after="0"/>
              <w:rPr>
                <w:sz w:val="1"/>
                <w:szCs w:val="1"/>
                <w:color w:val="auto"/>
              </w:rPr>
            </w:pPr>
          </w:p>
        </w:tc>
      </w:tr>
      <w:tr>
        <w:trPr>
          <w:trHeight w:val="259"/>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the issuance of long-term debt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1,536,000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1,536,000</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(1,257,965)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(1,257,965)</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Payments for financing costs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(10,405)</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Deemed repurchases of restricted stock units</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(13,373)</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(347,334)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(347,334)</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payments on capital lease obligations</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(16,110)</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(112,615)</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(8,095)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54,927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191,226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(181,894)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56,164</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26,885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181,894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14,736</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320,950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159,874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481,389</w:t>
            </w:r>
          </w:p>
        </w:tc>
        <w:tc>
          <w:tcPr>
            <w:tcW w:w="0" w:type="dxa"/>
            <w:vAlign w:val="bottom"/>
          </w:tcPr>
          <w:p>
            <w:pPr>
              <w:spacing w:after="0"/>
              <w:rPr>
                <w:sz w:val="1"/>
                <w:szCs w:val="1"/>
                <w:color w:val="auto"/>
              </w:rPr>
            </w:pP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402,762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149,259</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552,289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2016</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 Guarantor</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1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347,413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504,454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51,115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(476,390)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426,592</w:t>
            </w: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(44,505)</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Payments for acquisitions, net of cash acquired</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(Increase) decrease to investment in affiliates</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(359,772)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36,431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323,341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(359,772)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6,893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323,341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(44,859)</w:t>
            </w:r>
          </w:p>
        </w:tc>
        <w:tc>
          <w:tcPr>
            <w:tcW w:w="0" w:type="dxa"/>
            <w:vAlign w:val="bottom"/>
          </w:tcPr>
          <w:p>
            <w:pPr>
              <w:spacing w:after="0"/>
              <w:rPr>
                <w:sz w:val="1"/>
                <w:szCs w:val="1"/>
                <w:color w:val="auto"/>
              </w:rPr>
            </w:pPr>
          </w:p>
        </w:tc>
      </w:tr>
      <w:tr>
        <w:trPr>
          <w:trHeight w:val="24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the issuance of long-term debt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982,500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982,500</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(811,000)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(811,000)</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Premium and fees paid on extinguishment of debt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(40,953)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(40,953)</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for financing costs</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Deemed repurchases of restricted stock/units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(10,821)</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0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(109,997)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(109,997)</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stock option exercises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265"/>
        </w:trPr>
        <w:tc>
          <w:tcPr>
            <w:tcW w:w="4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Excess tax benefits from share-based compensation arrangements</w:t>
            </w:r>
          </w:p>
        </w:tc>
        <w:tc>
          <w:tcPr>
            <w:tcW w:w="1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275"/>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Principal payments on capital lease obligations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(9,010)</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(decrease) increase in cash and cash equivalents from operations</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(2,719)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509,513</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25,436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(153,049)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379,181</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3,145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(153,049)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153,049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148,260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167,627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316,321</w:t>
            </w:r>
          </w:p>
        </w:tc>
        <w:tc>
          <w:tcPr>
            <w:tcW w:w="0" w:type="dxa"/>
            <w:vAlign w:val="bottom"/>
          </w:tcPr>
          <w:p>
            <w:pPr>
              <w:spacing w:after="0"/>
              <w:rPr>
                <w:sz w:val="1"/>
                <w:szCs w:val="1"/>
                <w:color w:val="auto"/>
              </w:rPr>
            </w:pPr>
          </w:p>
        </w:tc>
      </w:tr>
      <w:tr>
        <w:trPr>
          <w:trHeight w:val="242"/>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504,724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177,180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682,764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35" w:lineRule="exact"/>
        <w:rPr>
          <w:sz w:val="20"/>
          <w:szCs w:val="20"/>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revenues;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our programming networks and our programming;</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advertising inventory and our ability to deliver guaranteed viewer ratings;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cable, telecommunications and digital programming industries;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distribution or affiliation agreements with multichannel video programming distributors;</w:t>
      </w:r>
    </w:p>
    <w:p>
      <w:pPr>
        <w:spacing w:after="0" w:line="117" w:lineRule="exact"/>
        <w:rPr>
          <w:rFonts w:ascii="Times New Roman" w:cs="Times New Roman" w:eastAsia="Times New Roman" w:hAnsi="Times New Roman"/>
          <w:sz w:val="18"/>
          <w:szCs w:val="18"/>
          <w:color w:val="auto"/>
        </w:rPr>
      </w:pPr>
    </w:p>
    <w:p>
      <w:pPr>
        <w:ind w:left="820" w:hanging="245"/>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5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our owned original programming and our independent film content;</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our program rights and other electronic data;</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 and artistic talent;</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laws or regulations under which we operate;</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operate;</w:t>
      </w:r>
    </w:p>
    <w:p>
      <w:pPr>
        <w:spacing w:after="0" w:line="144" w:lineRule="exact"/>
        <w:rPr>
          <w:rFonts w:ascii="Times New Roman" w:cs="Times New Roman" w:eastAsia="Times New Roman" w:hAnsi="Times New Roman"/>
          <w:sz w:val="18"/>
          <w:szCs w:val="18"/>
          <w:color w:val="auto"/>
        </w:rPr>
      </w:pPr>
    </w:p>
    <w:p>
      <w:pPr>
        <w:ind w:left="880" w:hanging="305"/>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30"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U.S. or in the countries in which we operate;</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and high leverage;</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 to capital markets or significant increases in costs to borrow;</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expenses;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capital expenditures;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and dispositions of assets;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and, if acquired, to integrate, and implement our plan with respect to businesses we acquire;</w:t>
      </w:r>
    </w:p>
    <w:p>
      <w:pPr>
        <w:spacing w:after="0" w:line="117" w:lineRule="exact"/>
        <w:rPr>
          <w:rFonts w:ascii="Times New Roman" w:cs="Times New Roman" w:eastAsia="Times New Roman" w:hAnsi="Times New Roman"/>
          <w:sz w:val="18"/>
          <w:szCs w:val="18"/>
          <w:color w:val="auto"/>
        </w:rPr>
      </w:pPr>
    </w:p>
    <w:p>
      <w:pPr>
        <w:ind w:left="820" w:hanging="245"/>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 of businesses we acquire;</w:t>
      </w:r>
    </w:p>
    <w:p>
      <w:pPr>
        <w:spacing w:after="0" w:line="80" w:lineRule="exact"/>
        <w:rPr>
          <w:rFonts w:ascii="Times New Roman" w:cs="Times New Roman" w:eastAsia="Times New Roman" w:hAnsi="Times New Roman"/>
          <w:sz w:val="18"/>
          <w:szCs w:val="18"/>
          <w:color w:val="auto"/>
        </w:rPr>
      </w:pPr>
    </w:p>
    <w:p>
      <w:pPr>
        <w:ind w:left="880" w:hanging="305"/>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of key strategic relationships with partners and joint ventures;</w:t>
      </w:r>
    </w:p>
    <w:p>
      <w:pPr>
        <w:spacing w:after="0" w:line="130"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and other proceedings;</w:t>
      </w:r>
    </w:p>
    <w:p>
      <w:pPr>
        <w:spacing w:after="0" w:line="144" w:lineRule="exact"/>
        <w:rPr>
          <w:rFonts w:ascii="Times New Roman" w:cs="Times New Roman" w:eastAsia="Times New Roman" w:hAnsi="Times New Roman"/>
          <w:sz w:val="18"/>
          <w:szCs w:val="18"/>
          <w:color w:val="auto"/>
        </w:rPr>
      </w:pPr>
    </w:p>
    <w:p>
      <w:pPr>
        <w:ind w:left="880" w:hanging="305"/>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pending uncompleted transactions, if any, are completed on the terms and at the times set forth (if at all);</w:t>
      </w:r>
    </w:p>
    <w:p>
      <w:pPr>
        <w:spacing w:after="0" w:line="130"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inherent in our programming businesses;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community and rating agency perceptions of our business, operations, financial condition and the industry in which we operate;</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our control, such as political unrest in international markets, terrorist attacks, natural disasters and other similar events; and</w:t>
      </w:r>
    </w:p>
    <w:p>
      <w:pPr>
        <w:spacing w:after="0" w:line="117" w:lineRule="exact"/>
        <w:rPr>
          <w:rFonts w:ascii="Times New Roman" w:cs="Times New Roman" w:eastAsia="Times New Roman" w:hAnsi="Times New Roman"/>
          <w:sz w:val="18"/>
          <w:szCs w:val="18"/>
          <w:color w:val="auto"/>
        </w:rPr>
      </w:pPr>
    </w:p>
    <w:p>
      <w:pPr>
        <w:ind w:left="1060" w:hanging="485"/>
        <w:spacing w:after="0" w:line="282" w:lineRule="auto"/>
        <w:tabs>
          <w:tab w:leader="none" w:pos="8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described under Item 1A, “Risk Factors” in our 2016 Annual Report on Form 10-K (the “2016 Form 10-K”), as filed with the Securities and Exchange Commission (“SEC”).</w:t>
      </w:r>
    </w:p>
    <w:p>
      <w:pPr>
        <w:spacing w:after="0" w:line="10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disclaim any obligation to update or revise the forward-looking statements contained herein, except as otherwise required by applicable federal securities laws.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6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2016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182"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Overview. </w:t>
      </w:r>
      <w:r>
        <w:rPr>
          <w:rFonts w:ascii="Times New Roman" w:cs="Times New Roman" w:eastAsia="Times New Roman" w:hAnsi="Times New Roman"/>
          <w:sz w:val="18"/>
          <w:szCs w:val="18"/>
          <w:color w:val="auto"/>
        </w:rPr>
        <w:t>This section provides a general description of our business and our operating segments, as well as other matters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in understanding our results of operations and financial condition and in anticipating future trends.</w:t>
      </w:r>
    </w:p>
    <w:p>
      <w:pPr>
        <w:spacing w:after="0" w:line="158"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Results of Operations. </w:t>
      </w:r>
      <w:r>
        <w:rPr>
          <w:rFonts w:ascii="Times New Roman" w:cs="Times New Roman" w:eastAsia="Times New Roman" w:hAnsi="Times New Roman"/>
          <w:sz w:val="18"/>
          <w:szCs w:val="18"/>
          <w:color w:val="auto"/>
        </w:rPr>
        <w:t>This section provides an analysis of our results of operations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compared to the three and nine months ended September 30, 2016. Our discussion is presented on both a consolidated and operating segment basis. Our two operating segments are: (i) National Networks and (ii) International and Other.</w:t>
      </w:r>
    </w:p>
    <w:p>
      <w:pPr>
        <w:spacing w:after="0" w:line="174"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 discussion of our financial condition as of September 30, 2017, as well as an analysis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for the nine months ended September 30, 2017 and 2016. The discussion of our financial condition and liquidity includes summaries of (i) our primary sources of liquidity and (ii) our contractual obligations that existed at September 30, 2017 as compared to December 31, 2016.</w:t>
      </w:r>
    </w:p>
    <w:p>
      <w:pPr>
        <w:spacing w:after="0" w:line="174"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provides an update, if any, to our significant accounting policies or critical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since December 31, 2016.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223" w:lineRule="exact"/>
        <w:rPr>
          <w:sz w:val="20"/>
          <w:szCs w:val="20"/>
          <w:color w:val="auto"/>
        </w:rPr>
      </w:pPr>
    </w:p>
    <w:p>
      <w:pPr>
        <w:jc w:val="both"/>
        <w:ind w:left="980" w:hanging="486"/>
        <w:spacing w:after="0" w:line="259" w:lineRule="auto"/>
        <w:tabs>
          <w:tab w:leader="none" w:pos="9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National Networks: </w:t>
      </w:r>
      <w:r>
        <w:rPr>
          <w:rFonts w:ascii="Times New Roman" w:cs="Times New Roman" w:eastAsia="Times New Roman" w:hAnsi="Times New Roman"/>
          <w:sz w:val="18"/>
          <w:szCs w:val="18"/>
          <w:color w:val="auto"/>
        </w:rPr>
        <w:t>Includes activities of our programming businesses, which include our five programming networks, distributed in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Canada. These programming networks include AMC, WE tv, BBC AMERICA, IFC, and SundanceTV in the U.S.; and AMC, IFC, and Sundance Channel in Canada. Our AMC Studios operations within the National Networks segment sell rights worldwide to its owned original programming. The National Networks operating segment also includes AMC Networks Broadcasting &amp; Technology, the technical services business, which primarily services most of the programming networks included in the National Networks segment.</w:t>
      </w:r>
    </w:p>
    <w:p>
      <w:pPr>
        <w:spacing w:after="0" w:line="179" w:lineRule="exact"/>
        <w:rPr>
          <w:rFonts w:ascii="Times New Roman" w:cs="Times New Roman" w:eastAsia="Times New Roman" w:hAnsi="Times New Roman"/>
          <w:sz w:val="18"/>
          <w:szCs w:val="18"/>
          <w:i w:val="1"/>
          <w:iCs w:val="1"/>
          <w:color w:val="auto"/>
        </w:rPr>
      </w:pPr>
    </w:p>
    <w:p>
      <w:pPr>
        <w:jc w:val="both"/>
        <w:ind w:left="980" w:hanging="486"/>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and Other: </w:t>
      </w:r>
      <w:r>
        <w:rPr>
          <w:rFonts w:ascii="Times New Roman" w:cs="Times New Roman" w:eastAsia="Times New Roman" w:hAnsi="Times New Roman"/>
          <w:sz w:val="18"/>
          <w:szCs w:val="18"/>
          <w:color w:val="auto"/>
        </w:rPr>
        <w:t>Principally includes AMC Networks International (“AMCNI”), the Company’s international programming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consisting of a portfolio of channels in Europe, Latin America, the Middle East and parts of Asia and Africa; IFC Films, the Company’s independent film distribution business; AMCNI – DMC, the broadcast solutions unit of certain networks of AMCNI and third party networks; and developing on-line content distribution initiatives. The AMCNI – DMC business was sold on July 12, 2017.</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6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Overview</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tables presented below set forth our consolidated revenues, net, operating income (loss) and adjusted operating income (“AOI”), defined below, for the periods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700" w:type="dxa"/>
            <w:vAlign w:val="bottom"/>
            <w:tcBorders>
              <w:bottom w:val="single" w:sz="8" w:color="CCEEFF"/>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201"/>
        </w:trPr>
        <w:tc>
          <w:tcPr>
            <w:tcW w:w="4700" w:type="dxa"/>
            <w:vAlign w:val="bottom"/>
            <w:gridSpan w:val="5"/>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541,442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525,713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1,761,512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1,696,982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341,348</w:t>
            </w: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648,023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634,646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2,078,757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2,026,057</w:t>
            </w:r>
          </w:p>
        </w:tc>
        <w:tc>
          <w:tcPr>
            <w:tcW w:w="0" w:type="dxa"/>
            <w:vAlign w:val="bottom"/>
          </w:tcPr>
          <w:p>
            <w:pPr>
              <w:spacing w:after="0"/>
              <w:rPr>
                <w:sz w:val="1"/>
                <w:szCs w:val="1"/>
                <w:color w:val="auto"/>
              </w:rPr>
            </w:pPr>
          </w:p>
        </w:tc>
      </w:tr>
      <w:tr>
        <w:trPr>
          <w:trHeight w:val="20"/>
        </w:trPr>
        <w:tc>
          <w:tcPr>
            <w:tcW w:w="47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179,624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640,855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594,969</w:t>
            </w: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5"/>
          </w:tcPr>
          <w:p>
            <w:pPr>
              <w:ind w:left="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153,354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117,137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560,815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553,828</w:t>
            </w:r>
          </w:p>
        </w:tc>
        <w:tc>
          <w:tcPr>
            <w:tcW w:w="0" w:type="dxa"/>
            <w:vAlign w:val="bottom"/>
          </w:tcPr>
          <w:p>
            <w:pPr>
              <w:spacing w:after="0"/>
              <w:rPr>
                <w:sz w:val="1"/>
                <w:szCs w:val="1"/>
                <w:color w:val="auto"/>
              </w:rPr>
            </w:pPr>
          </w:p>
        </w:tc>
      </w:tr>
      <w:tr>
        <w:trPr>
          <w:trHeight w:val="190"/>
        </w:trPr>
        <w:tc>
          <w:tcPr>
            <w:tcW w:w="4700" w:type="dxa"/>
            <w:vAlign w:val="bottom"/>
            <w:gridSpan w:val="5"/>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AOI</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199,694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162,503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699,834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649,782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24,118</w:t>
            </w: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AOI</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200,409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168,113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699,299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665,830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and restructuring expense or credit.</w:t>
      </w:r>
    </w:p>
    <w:p>
      <w:pPr>
        <w:spacing w:after="0" w:line="1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consolidated operating income to AOI for the periods indicated: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2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9"/>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153,354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560,815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553,828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41,412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28,869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19,666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65,037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63,467</w:t>
            </w: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AOI</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200,409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168,113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699,299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665,830</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National Networks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our National Networks segment, which accounted for 85% of our consolidated revenues for the nine months ended September 30, 2017, we earn revenue principally from the distribution of our programming and the sale of advertising. Distribution revenue primarily includes affiliation fees paid by distributors to carry our programming networks and license fees paid to us for</w:t>
      </w:r>
    </w:p>
    <w:p>
      <w:pPr>
        <w:sectPr>
          <w:pgSz w:w="11900" w:h="16838" w:orient="portrait"/>
          <w:cols w:equalWidth="0" w:num="1">
            <w:col w:w="11420"/>
          </w:cols>
          <w:pgMar w:left="240" w:top="468"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68" w:right="239" w:bottom="1440" w:gutter="0" w:footer="0" w:header="0"/>
          <w:type w:val="continuous"/>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the licensing of original programming for digital, foreign and home video distribution. Affiliation fees paid by distributors represent the largest component of distribution revenue. Our affiliation fee revenues are generally based on a per subscriber fee under multi-year contracts, commonly referred to as “affiliation agreements,” which generally provide for annual affiliation rate increases. The specific affiliation fee revenues we earn vary from period to period, distributor to distributor and also vary among our networks, but are generally based upon the number of each distributor’s subscribers who receive our programming, referred to as viewing subscribers. The terms of certain other affiliation agreements provide that the affiliation fee revenues we earn are a fixed contractual monthly fee, which could be adjusted for acquisitions and dispositions of multichannel video programming systems by the distributor. Revenue from the licensing of original programming for digital and foreign distribution is recognized upon availability or distribution by the licensee.</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Under affiliation agreements with our distributors, we have the right to sell a specified amount of national advertising time on our programming networks. Our advertising revenues are more variable than affiliation fee revenues because the majority of our advertising is sold on a short-term basis, not under long-term contracts. Our advertising arrangements with advertisers provide for a set number of advertising units to air over a specific period of time at a negotiated price per unit for which our programming networks generally guarantee specified viewer ratings for their programming.</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expand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such as origination, transmission, uplinking and encryption.</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To an increasing extent, the success of our business depends on original programming, both scripted and unscripted, across all of our networks. The timing of exhibition and distribution of original programming varies from period to period, which results in greater variability in our revenues, earnings and cash flows from operating activities. We will continue to increase our investment in programming across all of our channels.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no future programming usefulness based on actual demand or market conditions, a write-off of the unamortized cost is recorded in technical and operating expense. Program rights write-offs of $8.0 million and $19.4 million were recorded for the three months ended September 30, 2017 and 2016, respectively. Program rights write-offs of $9.7 million and $20.4 million were recorded for the nine months ended September 30, 2017 and 2016, respectively.</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and Other</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Our International and Other segment primarily includes the operations of AMCNI, AMCNI – DMC, IFC Films and developing on-line content distribution initiatives. The AMCNI – DMC business was sold on July 12, 2017.</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our International and Other segment, which accounted for 16% of our consolidated revenues for the nine months ended September 30, 2017, we earn revenue principally from the international distribution of programming and, to a lesser extent, the sale of advertising. Distribution revenue primarily includes affiliation fees paid by distributors to carry our programming networks. Our affiliation fee revenues are generally based on either a per-subscriber fee or a fixed contractual annual fee, under multi-year affiliation agreements, which may provide for annual affiliation rate increases. For the nine months ended September 30, 2017, distribution revenues represented 81% of the revenues of the International and Other segment. Most of these revenues are derived primarily from Europe and to a lesser extent, Latin America, the Middle East and parts of Asia and Africa. The International and Other segment also includes IFC Films, our independent film distribution business, where revenues are derived principally from theatrical, digital and licensing distribution and our developing on-line content distribution initiatives, where revenues are derived from monthly subscription fees.</w:t>
      </w:r>
    </w:p>
    <w:p>
      <w:pPr>
        <w:spacing w:after="0" w:line="18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Programming and program operating costs, included in technical and operating expense, represents the largest expense of the International and Other segment and primarily consists of amortization of acquired content, costs of dubbing and sub-titling of programs, and participation and residual costs. Program operating costs include costs such as origination, transmission, uplinking</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72" w:right="2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and encryption of our linear AMCNI channels as well as content hosting and delivery costs at our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view our investments in international expansion and our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Expenses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Economic Conditions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62"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72"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2017 Compared to Three Months Ended September 30, 2016</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10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648,023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634,646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Technical and operating (excluding depreciation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322,743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338,799</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138,688</w:t>
            </w:r>
          </w:p>
        </w:tc>
        <w:tc>
          <w:tcPr>
            <w:tcW w:w="13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137,116</w:t>
            </w:r>
          </w:p>
        </w:tc>
        <w:tc>
          <w:tcPr>
            <w:tcW w:w="138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1,572</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22,282</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3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11,036</w:t>
            </w:r>
          </w:p>
        </w:tc>
        <w:tc>
          <w:tcPr>
            <w:tcW w:w="120" w:type="dxa"/>
            <w:vAlign w:val="bottom"/>
          </w:tcPr>
          <w:p>
            <w:pPr>
              <w:spacing w:after="0"/>
              <w:rPr>
                <w:sz w:val="21"/>
                <w:szCs w:val="21"/>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19,312</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37"/>
        </w:trPr>
        <w:tc>
          <w:tcPr>
            <w:tcW w:w="3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494,669</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517,509</w:t>
            </w:r>
          </w:p>
        </w:tc>
        <w:tc>
          <w:tcPr>
            <w:tcW w:w="20" w:type="dxa"/>
            <w:vAlign w:val="bottom"/>
            <w:tcBorders>
              <w:top w:val="single" w:sz="8" w:color="auto"/>
            </w:tcBorders>
          </w:tcPr>
          <w:p>
            <w:pPr>
              <w:spacing w:after="0"/>
              <w:rPr>
                <w:sz w:val="20"/>
                <w:szCs w:val="20"/>
                <w:color w:val="auto"/>
              </w:rPr>
            </w:pPr>
          </w:p>
        </w:tc>
        <w:tc>
          <w:tcPr>
            <w:tcW w:w="136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(22,840)</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153,354</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117,137</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36,217</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3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38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Miscellaneous, net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9,432</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37"/>
        </w:trPr>
        <w:tc>
          <w:tcPr>
            <w:tcW w:w="3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20" w:type="dxa"/>
            <w:vAlign w:val="bottom"/>
            <w:tcBorders>
              <w:top w:val="single" w:sz="8" w:color="auto"/>
            </w:tcBorders>
          </w:tcPr>
          <w:p>
            <w:pPr>
              <w:spacing w:after="0"/>
              <w:rPr>
                <w:sz w:val="20"/>
                <w:szCs w:val="20"/>
                <w:color w:val="auto"/>
              </w:rPr>
            </w:pPr>
          </w:p>
        </w:tc>
        <w:tc>
          <w:tcPr>
            <w:tcW w:w="136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6,117</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from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88,626</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42,334</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13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138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(18,967)</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67,469</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23,367</w:t>
            </w:r>
          </w:p>
        </w:tc>
        <w:tc>
          <w:tcPr>
            <w:tcW w:w="12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3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38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21,609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National Networks segment results for the periods indicated.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541,442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525,713</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15,729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250,541</w:t>
            </w:r>
          </w:p>
        </w:tc>
        <w:tc>
          <w:tcPr>
            <w:tcW w:w="138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267,570</w:t>
            </w:r>
          </w:p>
        </w:tc>
        <w:tc>
          <w:tcPr>
            <w:tcW w:w="13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13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102,805</w:t>
            </w:r>
          </w:p>
        </w:tc>
        <w:tc>
          <w:tcPr>
            <w:tcW w:w="138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102,852</w:t>
            </w:r>
          </w:p>
        </w:tc>
        <w:tc>
          <w:tcPr>
            <w:tcW w:w="13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38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3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442</w:t>
            </w:r>
          </w:p>
        </w:tc>
        <w:tc>
          <w:tcPr>
            <w:tcW w:w="13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(credit)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3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40,476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38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3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4,386</w:t>
            </w:r>
          </w:p>
        </w:tc>
        <w:tc>
          <w:tcPr>
            <w:tcW w:w="13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(credit) expense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3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380" w:type="dxa"/>
            <w:vAlign w:val="bottom"/>
            <w:gridSpan w:val="3"/>
          </w:tcPr>
          <w:p>
            <w:pPr>
              <w:jc w:val="right"/>
              <w:ind w:right="16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3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442</w:t>
            </w:r>
          </w:p>
        </w:tc>
        <w:tc>
          <w:tcPr>
            <w:tcW w:w="13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AOI</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199,694</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162,503</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37,191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3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70,883</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70,969</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35,893</w:t>
            </w:r>
          </w:p>
        </w:tc>
        <w:tc>
          <w:tcPr>
            <w:tcW w:w="13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34,268</w:t>
            </w:r>
          </w:p>
        </w:tc>
        <w:tc>
          <w:tcPr>
            <w:tcW w:w="13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1,625</w:t>
            </w:r>
          </w:p>
        </w:tc>
        <w:tc>
          <w:tcPr>
            <w:tcW w:w="1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3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Pr>
          <w:p>
            <w:pPr>
              <w:spacing w:after="0"/>
              <w:rPr>
                <w:sz w:val="21"/>
                <w:szCs w:val="21"/>
                <w:color w:val="auto"/>
              </w:rPr>
            </w:pPr>
          </w:p>
        </w:tc>
        <w:tc>
          <w:tcPr>
            <w:tcW w:w="1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4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3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3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3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3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b w:val="1"/>
          <w:bCs w:val="1"/>
          <w:color w:val="auto"/>
        </w:rPr>
        <w:t>Revenues,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net increased $13.4 million to $648.0 million for the three months ended September 30, 2017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The net change by segment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13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3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541,442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525,713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15,729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112,760</w:t>
            </w:r>
          </w:p>
        </w:tc>
        <w:tc>
          <w:tcPr>
            <w:tcW w:w="13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114,020</w:t>
            </w: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3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648,023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634,646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13,377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National Networks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National Networks revenues, net was attributable to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3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2"/>
                <w:szCs w:val="12"/>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3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2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197,891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189,300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8,591</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26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343,551</w:t>
            </w: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336,413</w:t>
            </w: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7,138</w:t>
            </w: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541,442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525,713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15,729</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revenues increased $8.6 million across all of our national networks, primarily driven by pricing, partially offset by ratings. Most of our advertising revenues vary based on the timing of our original programming series and the popularity of our programming as measured by Nielsen. Due to these factors, we expect advertising revenues to vary from quarter to quarter.</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revenues increased $7.1 million due to an increase of $13.3 million in affiliation fee revenue, primarily at AMC, resulting from an increase in rates, partially offset by a decrease in other distribution revenues derived from our original programming, principally at SundanceTV due to the availability of certain programming on digital distribution platforms in the first quarter in 2017 as compared to the third quarter of 2016. Distribution revenues vary based on the impact of renewals of affiliation agreements and the timing of availability of our programming to distributors. Because of these factors, we expect distribution revenues to vary from quarter to quarter.</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International and Other</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International and Other revenues, net was attributable to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8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3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3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2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20,691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21,424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36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92,069</w:t>
            </w: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92,596</w:t>
            </w: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3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112,760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114,020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36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0" w:firstLine="405"/>
        <w:spacing w:after="0" w:line="258" w:lineRule="auto"/>
        <w:rPr>
          <w:sz w:val="20"/>
          <w:szCs w:val="20"/>
          <w:color w:val="auto"/>
        </w:rPr>
      </w:pPr>
      <w:r>
        <w:rPr>
          <w:rFonts w:ascii="Times New Roman" w:cs="Times New Roman" w:eastAsia="Times New Roman" w:hAnsi="Times New Roman"/>
          <w:sz w:val="18"/>
          <w:szCs w:val="18"/>
          <w:color w:val="auto"/>
        </w:rPr>
        <w:t>The decrease in advertising revenues was primarily due to lower demand in certain international markets. Foreign currency translation did not have a meaningful impact on the change in advertising revenues. The decrease in distribution revenues was driven by the absence of $5.9 million of revenues at AMCNI – DMC following its sale in July 2017, partially offset by increases of $3.5 million in affiliation fee revenues at AMCNI business units due to increased distribution and $1.6 million from our developing on-line content distribution initiatives due to increased subscription fee revenues. Foreign currency translation had a favorable impact of $3.1 million on distribution revenue.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ectPr>
          <w:pgSz w:w="11900" w:h="16838" w:orient="portrait"/>
          <w:cols w:equalWidth="0" w:num="1">
            <w:col w:w="11420"/>
          </w:cols>
          <w:pgMar w:left="240" w:top="468"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68" w:right="239" w:bottom="1440" w:gutter="0" w:footer="0" w:header="0"/>
          <w:type w:val="continuous"/>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t>Technical and operating expense (excluding depreciation and amortization) decreased $16.1 million to $322.7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as compared to the three months ended September 30, 2016. The net change by segment was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250,541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267,570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300" w:type="dxa"/>
            <w:vAlign w:val="bottom"/>
          </w:tcPr>
          <w:p>
            <w:pPr>
              <w:spacing w:after="0"/>
              <w:rPr>
                <w:sz w:val="21"/>
                <w:szCs w:val="21"/>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70,883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70,969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1,059</w:t>
            </w:r>
          </w:p>
        </w:tc>
        <w:tc>
          <w:tcPr>
            <w:tcW w:w="1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407.3</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322,743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338,799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Percentage of revenues, net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National Networks</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decrease in technical and operating expense in the National Networks segment was primarily attributable to a decrease of $17.4 million in program rights amortization expense. Program rights amortization expense includes write-offs of $8.0 million for the three months ended September 30, 2017 based on management’s assessment of programming usefulness of certain unscripted series at WE tv and scripted series at SundanceTV. Program rights amortization expense includes write-offs of $19.4 million for the three months ended September 30, 2016 based on management’s assessment of programming usefulness of certain scripted series primarily at AMC and BBC AMERICA.</w:t>
      </w:r>
    </w:p>
    <w:p>
      <w:pPr>
        <w:spacing w:after="0" w:line="18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International and Other</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decrease in technical and operating expense in the International and Other segment was primarily due to the absence of costs related to AMCNI – DMC following its sale in July 2017, partially offset by an increase in programming rights amortization expense at AMCNI and increased content costs from our developing on-line content distribution initiatives. Foreign currency translation had an unfavorable impact to the change in technical and operating expense of approximately $1.7 million.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components of selling, general and administrative expense primarily include sales, marketing and advertising expenses, administrative costs and costs of facilities.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$1.6 million to $138.7 million for the three months ended September 30, 2017, as compared to the three months ended September 30, 2016. The net change by segment was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102,805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102,852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300" w:type="dxa"/>
            <w:vAlign w:val="bottom"/>
          </w:tcPr>
          <w:p>
            <w:pPr>
              <w:spacing w:after="0"/>
              <w:rPr>
                <w:sz w:val="21"/>
                <w:szCs w:val="21"/>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35,893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34,268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1,625</w:t>
            </w:r>
          </w:p>
        </w:tc>
        <w:tc>
          <w:tcPr>
            <w:tcW w:w="16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n/m</w:t>
            </w:r>
          </w:p>
        </w:tc>
      </w:tr>
      <w:tr>
        <w:trPr>
          <w:trHeight w:val="297"/>
        </w:trPr>
        <w:tc>
          <w:tcPr>
            <w:tcW w:w="5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138,688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137,116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1,572</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Percentage of revenues, net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National Networks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 the National Networks segment decreased principally as a result of a decrease in sales and marketing costs of $5.2 million related to the timing and level of the promotion and marketing of original programming and a decrease in general and administrative costs of $1.6 million, partially offset by a $6.7 million increase in long-term incentive compensation expense.</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ectPr>
          <w:pgSz w:w="11900" w:h="16838" w:orient="portrait"/>
          <w:cols w:equalWidth="0" w:num="1">
            <w:col w:w="11420"/>
          </w:cols>
          <w:pgMar w:left="240" w:top="472"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72" w:right="239" w:bottom="1440" w:gutter="0" w:footer="0" w:header="0"/>
          <w:type w:val="continuous"/>
        </w:sectPr>
      </w:pPr>
    </w:p>
    <w:bookmarkStart w:id="39" w:name="page40"/>
    <w:bookmarkEnd w:id="39"/>
    <w:p>
      <w:pPr>
        <w:ind w:left="440"/>
        <w:spacing w:after="0"/>
        <w:rPr>
          <w:sz w:val="20"/>
          <w:szCs w:val="20"/>
          <w:color w:val="auto"/>
        </w:rPr>
      </w:pPr>
      <w:r>
        <w:rPr>
          <w:rFonts w:ascii="Times New Roman" w:cs="Times New Roman" w:eastAsia="Times New Roman" w:hAnsi="Times New Roman"/>
          <w:sz w:val="18"/>
          <w:szCs w:val="18"/>
          <w:i w:val="1"/>
          <w:iCs w:val="1"/>
          <w:color w:val="auto"/>
        </w:rPr>
        <w:t>International and Other</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 the International and Other segment increased $1.6 million for the three months ended September 30, 2017 as compared to the three months ended September 30, 2016 driven by an increase in sales and marketing costs of $1.4 million at IFC Films due to the timing of promotion of certain films and $1.0 million from our developing on-line content distribution initiatives principally due to increased subscriber acquisition costs. These increases were partially offset by a decrease in selling, general and administrative costs at AMCNI of $1.1 million principally due to the absence of costs related to AMCNI – DMC following its sale in July 2017. Foreign currency translation had an unfavorable impact to the change in selling, general and administrative expense of approximately $0.4 million.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decreased $1.3 million to $20.9 million for the three months ended September 30, 2017, as compared to the three months ended September 30, 2016. The net change by segment was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12,456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7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20,938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increase in the National Networks was due to an increase in depreciation expense due to property and equipment additions primarily at AMC Networks Broadcasting &amp; Technology. The decrease in depreciation and amortization expense in the International and Other segment was primarily attributable to a decrease of $2.7 million in depreciation expense following the sale of AMCNI – DMC on July 12, 2017, partially offset by an increase of $0.9 million at AMCNI principally due to the write-off of certain identifiable intangible assets associated with termination of distribution in certain territories which occurred during the three months ended September 30, 2017.</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Impairment and related charges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July 12, 2017, the Company completed the sale of its Amsterdam-based media logistics facility, AMCNI – DMC. In connection with the sale, the Company recognized a pre-tax loss of $11.0 million.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Restructuring expense</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Restructuring expense of $1.3 million for the three months ended September 30, 2017 relates to charges incurred at AMCNI related to costs associated with the termination of distribution in certain territories.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Restructuring expense of $19.3 million for the three months ended September 30, 2016 represents severance charges incurred related to employee terminations primarily associated with the voluntary buyout program launched in the third quarter of 2016. The International and Other segment restructuring expense includes corporate headquarter related charges.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179,624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40,476</w:t>
            </w: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29.1%</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40.1</w:t>
            </w:r>
          </w:p>
        </w:tc>
      </w:tr>
      <w:tr>
        <w:trPr>
          <w:trHeight w:val="257"/>
        </w:trPr>
        <w:tc>
          <w:tcPr>
            <w:tcW w:w="5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153,354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117,137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36,217</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in the National Networks segment was primarily attributable to an increase in revenues of $15.7 million, a decrease in technical and operating expense of $17.0 million and a decrease in restructuring charges of $8.1 million.</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operating loss in the International and Other segment was primarily attributable to the $11.0 million loss on sale of AMCNI – DMC (sold on July 12, 2017) included in impairment and related charges, a decrease in revenue of $1.3 million, and an increase in selling, general and administrative expense of $1.6 million. These increases were partially offset by decreases in restructuring charges of $9.9 million and depreciation and amortization of $1.8 million. Foreign currency translation had a favorable impact to the change in operating income of approximately $0.8 million.</w:t>
      </w:r>
    </w:p>
    <w:p>
      <w:pPr>
        <w:sectPr>
          <w:pgSz w:w="11900" w:h="16838" w:orient="portrait"/>
          <w:cols w:equalWidth="0" w:num="1">
            <w:col w:w="11420"/>
          </w:cols>
          <w:pgMar w:left="240" w:top="470"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70" w:right="239" w:bottom="1440" w:gutter="0" w:footer="0" w:header="0"/>
          <w:type w:val="continuous"/>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our consolidated operating income to AOI:</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36,217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4,435</w:t>
            </w:r>
          </w:p>
        </w:tc>
        <w:tc>
          <w:tcPr>
            <w:tcW w:w="17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47.3</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tcPr>
          <w:p>
            <w:pPr>
              <w:spacing w:after="0"/>
              <w:rPr>
                <w:sz w:val="21"/>
                <w:szCs w:val="21"/>
                <w:color w:val="auto"/>
              </w:rPr>
            </w:pPr>
          </w:p>
        </w:tc>
        <w:tc>
          <w:tcPr>
            <w:tcW w:w="16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70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(6.0)</w:t>
            </w:r>
          </w:p>
        </w:tc>
      </w:tr>
      <w:tr>
        <w:trPr>
          <w:trHeight w:val="25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AOI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200,409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168,113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32,296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AOI increased $32.3 million for the three months ended September 30, 2017 as compared to the three months ended September 30, 2016. The net change by segment was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199,694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162,503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37,191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7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7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40.1</w:t>
            </w:r>
          </w:p>
        </w:tc>
      </w:tr>
      <w:tr>
        <w:trPr>
          <w:trHeight w:val="25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AOI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200,409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168,113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32,296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National Networks AOI increased principally due to an increase in revenue of $15.7 million and a decrease in selling, general and administrative expenses (excluding stock based compensation) of $4.4 million, partially offset by an increase in technical and operating expenses of $17.0 million. As a result of the factors discussed above impacting the variability in revenues and operating expenses, we expect AOI to vary from quarter to quarter.</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International and Other AOI decreased principally due to a decrease in revenue of $1.3 million and an increase in selling, general and administrative expense of (excluding stock based compensation) of $1.6 million. Foreign currency translation had a favorable impact on AOI of approximately $1.2 million.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net for the three months ended September 30, 2017 is due to an increase of $5.7 million resulting from the issuance of our $800 million in aggregate principal amount of 4.75% Senior Notes due 2025 on July 28, 2017, partially offset by an increase in interest income of $3.1 million. The increase in interest income was primarily related to interest income earned of $2.1 million on term loans extended to RLJ Entertainment, Inc. (“RLJE”).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loss on extinguishment of debt of $3.0 million for the three months ended September 30, 2017 was primarily due to the write-off of a portion of unamortized deferred financing costs following the amendment of our Term Loan A Facility in July 2017 (see further discussion below under the heading “Debt Financing Agreements”).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loss on extinguishment of debt of $2.3 million for the three months ended September 30, 2016 represented fees incurred in connection with the redemption of $45.6 million of our 7.75% Notes on July 15, 2016. The loss included $1.8 million related to the excess of the redemption price, premium paid and related fees, as well as unamortized issuance discount related to the 7.75% Notes of $0.5 million.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Miscellaneous, net</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increase in miscellaneous, net of $9.4 million for the three months ended September 30, 2017 as compared to the three months ended September 30, 2016 was principally the result of a $7.3 million variance in the foreign currency translation of monetary assets and liabilities that are denominated in currencies other than the underlying functional currency of the applicable entity, primarily intercompany loans. Foreign currency transaction gains were $9.9 million for the three months ended September 30, 2017 as compared to $2.6 million for the three months ended September 30, 2016. Miscellaneous, net also included gains on derivative instruments of $2.8 million primarily related to the RLJE derivatives due to an increase in the stock price of RLJE common stock.</w:t>
      </w:r>
    </w:p>
    <w:p>
      <w:pPr>
        <w:sectPr>
          <w:pgSz w:w="11900" w:h="16838" w:orient="portrait"/>
          <w:cols w:equalWidth="0" w:num="1">
            <w:col w:w="11420"/>
          </w:cols>
          <w:pgMar w:left="240" w:top="468"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68" w:right="239" w:bottom="1440" w:gutter="0" w:footer="0" w:header="0"/>
          <w:type w:val="continuous"/>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2017, income tax expense was $40.1 million representing an effective tax rate of 31%. The effective tax rate differs from the federal statutory rate of 35% due primarily to tax benefit of $8.4 million resulting from a decrease in the valuation allowances for foreign and local taxes, tax benefit from the domestic production activities deduction of $2.8 million, tax benefit of $0.6 million relating to uncertain tax positions (including accrued interest), state and local income tax expense of $2.4 million and tax expense of $5.5 million from foreign subsidiary earnings indefinitely reinvested outside the U.S. for the three months ended September 30, 2017.</w:t>
      </w:r>
    </w:p>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2016, income tax expense was $21.2 million representing an effective tax rate of 24%. The effective tax rate differs from the federal statutory rate of 35% due primarily to tax benefit of $6.7 million relating to uncertain tax positions (including accrued interest), tax benefit of $3.4 million from foreign subsidiary earnings indefinitely reinvested outside the U.S., tax benefit from the domestic production activities deduction of $2.8 million, state and local income tax expense of $0.8 million and tax expense of $2.3 million resulting from an increase in the valuation allowances for foreign and local taxes for the three months ended September 30, 2017. The tax benefit relating to a reduction in uncertain tax positions is primarily due to a lapse of the applicable statute of limitations.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2017 Compared to Nine Months Ended September 30, 2016</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1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2,078,757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2,026,057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52,700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Technical and operating (excluding depreciation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956,200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915,336</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40,864</w:t>
            </w:r>
          </w:p>
        </w:tc>
        <w:tc>
          <w:tcPr>
            <w:tcW w:w="12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464,670</w:t>
            </w:r>
          </w:p>
        </w:tc>
        <w:tc>
          <w:tcPr>
            <w:tcW w:w="13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473,760</w:t>
            </w:r>
          </w:p>
        </w:tc>
        <w:tc>
          <w:tcPr>
            <w:tcW w:w="1380" w:type="dxa"/>
            <w:vAlign w:val="bottom"/>
            <w:gridSpan w:val="3"/>
          </w:tcPr>
          <w:p>
            <w:pPr>
              <w:jc w:val="right"/>
              <w:ind w:right="164"/>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2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65,037</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63,467</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1,570</w:t>
            </w:r>
          </w:p>
        </w:tc>
        <w:tc>
          <w:tcPr>
            <w:tcW w:w="12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13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28,148</w:t>
            </w:r>
          </w:p>
        </w:tc>
        <w:tc>
          <w:tcPr>
            <w:tcW w:w="12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1,517,942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1,472,229</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4"/>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45,713</w:t>
            </w:r>
          </w:p>
        </w:tc>
        <w:tc>
          <w:tcPr>
            <w:tcW w:w="12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560,815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553,828</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6,987</w:t>
            </w:r>
          </w:p>
        </w:tc>
        <w:tc>
          <w:tcPr>
            <w:tcW w:w="12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(85,768)</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(90,566)</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4,798</w:t>
            </w:r>
          </w:p>
        </w:tc>
        <w:tc>
          <w:tcPr>
            <w:tcW w:w="122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3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138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47,634</w:t>
            </w:r>
          </w:p>
        </w:tc>
        <w:tc>
          <w:tcPr>
            <w:tcW w:w="12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Miscellaneous, net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(22,610)</w:t>
            </w:r>
          </w:p>
        </w:tc>
        <w:tc>
          <w:tcPr>
            <w:tcW w:w="1380" w:type="dxa"/>
            <w:vAlign w:val="bottom"/>
            <w:tcBorders>
              <w:bottom w:val="single" w:sz="8" w:color="CCEEFF"/>
            </w:tcBorders>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65,058</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(163,814)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117,490</w:t>
            </w:r>
          </w:p>
        </w:tc>
        <w:tc>
          <w:tcPr>
            <w:tcW w:w="122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ind w:left="380"/>
              <w:spacing w:after="0" w:line="205" w:lineRule="exact"/>
              <w:rPr>
                <w:sz w:val="20"/>
                <w:szCs w:val="20"/>
                <w:color w:val="auto"/>
              </w:rPr>
            </w:pPr>
            <w:r>
              <w:rPr>
                <w:rFonts w:ascii="Times New Roman" w:cs="Times New Roman" w:eastAsia="Times New Roman" w:hAnsi="Times New Roman"/>
                <w:sz w:val="18"/>
                <w:szCs w:val="18"/>
                <w:color w:val="auto"/>
              </w:rPr>
              <w:t>Net income from operations before income</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514,491</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390,014</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124,477</w:t>
            </w:r>
          </w:p>
        </w:tc>
        <w:tc>
          <w:tcPr>
            <w:tcW w:w="12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(173,399)</w:t>
            </w:r>
          </w:p>
        </w:tc>
        <w:tc>
          <w:tcPr>
            <w:tcW w:w="13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(119,090)</w:t>
            </w:r>
          </w:p>
        </w:tc>
        <w:tc>
          <w:tcPr>
            <w:tcW w:w="138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(54,309)</w:t>
            </w:r>
          </w:p>
        </w:tc>
        <w:tc>
          <w:tcPr>
            <w:tcW w:w="12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341,092</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270,924</w:t>
            </w:r>
          </w:p>
        </w:tc>
        <w:tc>
          <w:tcPr>
            <w:tcW w:w="1380" w:type="dxa"/>
            <w:vAlign w:val="bottom"/>
            <w:tcBorders>
              <w:bottom w:val="single" w:sz="8" w:color="CCEEFF"/>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70,168</w:t>
            </w:r>
          </w:p>
        </w:tc>
        <w:tc>
          <w:tcPr>
            <w:tcW w:w="1220" w:type="dxa"/>
            <w:vAlign w:val="bottom"/>
            <w:tcBorders>
              <w:bottom w:val="single" w:sz="8" w:color="CCEEFF"/>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13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138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69,800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42" w:name="page43"/>
    <w:bookmarkEnd w:id="42"/>
    <w:p>
      <w:pPr>
        <w:ind w:left="420"/>
        <w:spacing w:after="0"/>
        <w:rPr>
          <w:sz w:val="20"/>
          <w:szCs w:val="20"/>
          <w:color w:val="auto"/>
        </w:rPr>
      </w:pPr>
      <w:r>
        <w:rPr>
          <w:rFonts w:ascii="Times New Roman" w:cs="Times New Roman" w:eastAsia="Times New Roman" w:hAnsi="Times New Roman"/>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National Networks segment results for the periods indicated.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w w:val="92"/>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2"/>
                <w:szCs w:val="12"/>
                <w:color w:val="auto"/>
              </w:rPr>
            </w:pPr>
          </w:p>
        </w:tc>
        <w:tc>
          <w:tcPr>
            <w:tcW w:w="8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2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1,761,512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1,696,982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64,530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749,856</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713,826</w:t>
            </w:r>
          </w:p>
        </w:tc>
        <w:tc>
          <w:tcPr>
            <w:tcW w:w="13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36,030</w:t>
            </w:r>
          </w:p>
        </w:tc>
        <w:tc>
          <w:tcPr>
            <w:tcW w:w="13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345,539</w:t>
            </w:r>
          </w:p>
        </w:tc>
        <w:tc>
          <w:tcPr>
            <w:tcW w:w="136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355,955</w:t>
            </w:r>
          </w:p>
        </w:tc>
        <w:tc>
          <w:tcPr>
            <w:tcW w:w="13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3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25,315</w:t>
            </w:r>
          </w:p>
        </w:tc>
        <w:tc>
          <w:tcPr>
            <w:tcW w:w="136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w:t>
            </w:r>
          </w:p>
        </w:tc>
        <w:tc>
          <w:tcPr>
            <w:tcW w:w="13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1,253</w:t>
            </w:r>
          </w:p>
        </w:tc>
        <w:tc>
          <w:tcPr>
            <w:tcW w:w="13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(credit)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3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00" w:type="dxa"/>
            <w:vAlign w:val="bottom"/>
          </w:tcPr>
          <w:p>
            <w:pPr>
              <w:spacing w:after="0"/>
              <w:rPr>
                <w:sz w:val="21"/>
                <w:szCs w:val="21"/>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640,855</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594,969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45,886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33,717</w:t>
            </w:r>
          </w:p>
        </w:tc>
        <w:tc>
          <w:tcPr>
            <w:tcW w:w="136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13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11,136</w:t>
            </w:r>
          </w:p>
        </w:tc>
        <w:tc>
          <w:tcPr>
            <w:tcW w:w="13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(credit) expense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3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3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25,315</w:t>
            </w:r>
          </w:p>
        </w:tc>
        <w:tc>
          <w:tcPr>
            <w:tcW w:w="136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24,062</w:t>
            </w:r>
          </w:p>
        </w:tc>
        <w:tc>
          <w:tcPr>
            <w:tcW w:w="136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1,253</w:t>
            </w:r>
          </w:p>
        </w:tc>
        <w:tc>
          <w:tcPr>
            <w:tcW w:w="13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AOI</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699,834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649,782</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50,052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34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330,401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208,639</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205,700</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2,939</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119,174</w:t>
            </w:r>
          </w:p>
        </w:tc>
        <w:tc>
          <w:tcPr>
            <w:tcW w:w="13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117,818</w:t>
            </w:r>
          </w:p>
        </w:tc>
        <w:tc>
          <w:tcPr>
            <w:tcW w:w="13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1,356</w:t>
            </w:r>
          </w:p>
        </w:tc>
        <w:tc>
          <w:tcPr>
            <w:tcW w:w="14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39,405</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13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28,148</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(69,222)</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109.3 %</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1,407</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3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3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28,148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39,722</w:t>
            </w:r>
          </w:p>
        </w:tc>
        <w:tc>
          <w:tcPr>
            <w:tcW w:w="136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39,405</w:t>
            </w:r>
          </w:p>
        </w:tc>
        <w:tc>
          <w:tcPr>
            <w:tcW w:w="13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w:t>
            </w:r>
          </w:p>
        </w:tc>
        <w:tc>
          <w:tcPr>
            <w:tcW w:w="14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b w:val="1"/>
          <w:bCs w:val="1"/>
          <w:color w:val="auto"/>
        </w:rPr>
        <w:t>Revenues,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net increased $52.7 million to $2.1 billion for the nine months ended September 30, 2017 as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The net change by segment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13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3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1,761,512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1,696,982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64,530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330,401</w:t>
            </w: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341,348</w:t>
            </w: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7"/>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2,078,757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2,026,057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52,700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National Networks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increase in National Networks revenues, net was attributable to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3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32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2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690,906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692,483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1,070,606</w:t>
            </w: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1,004,499</w:t>
            </w: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66,107</w:t>
            </w:r>
          </w:p>
        </w:tc>
        <w:tc>
          <w:tcPr>
            <w:tcW w:w="13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1,761,512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1,696,982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64,530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1300" w:hanging="644"/>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revenues decreased $1.6 million primarily driven by ratings, partially offset by pricing, with a decrease at AMC, partially offset by increases at BBC AMERICA, SundanceTV and IFC. Most of our advertising revenues vary based on the timing of our original programming series and the popularity of our programming as measured by Nielsen. Due to these factors, we expect advertising revenues to vary from quarter to quarter.</w:t>
      </w:r>
    </w:p>
    <w:p>
      <w:pPr>
        <w:spacing w:after="0" w:line="180"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revenues increased $66.1 million due to an increase of $34.0 million primarily from digital distribution revenues derived from our original programming, principally at AMC, and an increase of $32.1 million in affiliation fee revenue resulting from an increase in rates. Distribution revenues vary based on the impact of renewals of affiliation agreements and the timing of availability of our programming to distributors. Because of these factors, we expect distribution revenues to vary from quarter to quarter.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International and Other</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decrease in International and Other revenues, net was attributable to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8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2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13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9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2"/>
                <w:szCs w:val="12"/>
                <w:color w:val="auto"/>
              </w:rPr>
            </w:pPr>
          </w:p>
        </w:tc>
        <w:tc>
          <w:tcPr>
            <w:tcW w:w="12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62,134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69,837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268,267</w:t>
            </w: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271,511</w:t>
            </w: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3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330,401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341,348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0" w:firstLine="405"/>
        <w:spacing w:after="0" w:line="256" w:lineRule="auto"/>
        <w:rPr>
          <w:sz w:val="20"/>
          <w:szCs w:val="20"/>
          <w:color w:val="auto"/>
        </w:rPr>
      </w:pPr>
      <w:r>
        <w:rPr>
          <w:rFonts w:ascii="Times New Roman" w:cs="Times New Roman" w:eastAsia="Times New Roman" w:hAnsi="Times New Roman"/>
          <w:sz w:val="18"/>
          <w:szCs w:val="18"/>
          <w:color w:val="auto"/>
        </w:rPr>
        <w:t>The decrease in advertising revenues was primarily due to lower demand in certain international markets. In addition, foreign currency translation had an unfavorable impact of $4.2 million. The decrease in distribution revenues was driven by the absence of $12.0 million of revenues at AMCNI - DMC following its sale in July 2017 and a decrease of $3.3 million at IFC Films primarily due to the strong performance of certain titles in 2016 as compared to 2017. The decreases in distribution revenue were partially offset by an increase in affiliation fee revenue of $8.9 million at AMCNI as a result of expanded distribution and increase in subscription fee revenues of $4.3 million from our developing on-line content distribution initiatives. Foreign currency translation had an unfavorable impact of $2.9 million on distribution revenue.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ectPr>
          <w:pgSz w:w="11900" w:h="16838" w:orient="portrait"/>
          <w:cols w:equalWidth="0" w:num="1">
            <w:col w:w="11420"/>
          </w:cols>
          <w:pgMar w:left="240" w:top="468"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68" w:right="239" w:bottom="1440" w:gutter="0" w:footer="0" w:header="0"/>
          <w:type w:val="continuous"/>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t>Technical and operating expense (excluding depreciation and amortization) increased $40.9 million to $956.2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2017 as compared to the nine months ended September 30, 2016. The net change by segment was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749,856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713,826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36,030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208,639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205,700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2,939</w:t>
            </w:r>
          </w:p>
        </w:tc>
        <w:tc>
          <w:tcPr>
            <w:tcW w:w="16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1,895</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(45.2)</w:t>
            </w:r>
          </w:p>
        </w:tc>
      </w:tr>
      <w:tr>
        <w:trPr>
          <w:trHeight w:val="297"/>
        </w:trPr>
        <w:tc>
          <w:tcPr>
            <w:tcW w:w="5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956,200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915,336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40,864</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5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Percentage of revenues, net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National Networks</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increase in technical and operating expense in the National Networks segment was primarily attributable to an increase of $35.5 million in program rights amortization expense as a result of continued investment in our original programming. Program rights amortization expense includes write-offs of $9.7 million for the nine months ended September 30, 2017 based on management’s assessment of programming usefulness of certain unscripted series primarily at WE tv, scripted series at SundanceTV, and development costs at AMC. Program rights amortization expense includes write-offs of $20.4 million for the nine months ended September 30, 2016 based on management’s assessment of programming usefulness of certain scripted series primarily at AMC and BBC AMERICA.</w:t>
      </w:r>
    </w:p>
    <w:p>
      <w:pPr>
        <w:spacing w:after="0" w:line="18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International and Other</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increase in technical and operating expense in the International and Other segment was driven by an increase of $6.9 million from our developing on-line content distribution initiatives, partially offset by a decrease at IFC Films of $2.7 million due to the timing of investment in the acquisition of films. Technical and operating expense decreased $1.3 million at AMCNI due to the absence of costs related to AMCNI – DMC following its sale in July 2017, partially offset by increased investment in programming. Foreign currency translation had a favorable impact to the change in technical and operating expense of approximately $4.8 million.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components of selling, general and administrative expense primarily include sales, marketing and advertising expenses, administrative costs and costs of facilities.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decreased $9.1 million to $464.7 million for the nine months ended September 30, 2017, as compared to the nine months ended September 30, 2016. The net change by segment was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345,539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355,955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119,174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117,818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1,356</w:t>
            </w:r>
          </w:p>
        </w:tc>
        <w:tc>
          <w:tcPr>
            <w:tcW w:w="16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n/m</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464,670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473,760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Percentage of revenues, net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National Networks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in the National Networks segment decreased $10.4 million principally as a result of a decrease in sales and marketing costs of $20.5 million primarily related to the timing and level of the promotion and marketing of original programming and a decrease in selling related costs, partially offset by a net increase in long-term incentive compensation expense of $9.6 million.</w:t>
      </w:r>
    </w:p>
    <w:p>
      <w:pPr>
        <w:sectPr>
          <w:pgSz w:w="11900" w:h="16838" w:orient="portrait"/>
          <w:cols w:equalWidth="0" w:num="1">
            <w:col w:w="11420"/>
          </w:cols>
          <w:pgMar w:left="240" w:top="472"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72" w:right="239" w:bottom="1440" w:gutter="0" w:footer="0" w:header="0"/>
          <w:type w:val="continuous"/>
        </w:sectPr>
      </w:pPr>
    </w:p>
    <w:bookmarkStart w:id="45" w:name="page46"/>
    <w:bookmarkEnd w:id="45"/>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International and Other</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 the International and Other segment increased $1.4 million for the nine months ended September 30, 2017 as compared to the nine months ended September 30, 2016 due principally to an increase in sales and marketing costs of $4.0 million from our developing on-line content distribution initiatives related to subscriber acquisition costs and an increase of $1.0 million in long-term incentive compensation expense, partially offset by a decrease in selling, general and administrative costs at AMCNI of $4.2 million. Foreign currency translation had a favorable impact to the change in selling, general and administrative expense of approximately $2.1 million.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$1.6 million to $65.0 million for the nine months ended September 30, 2017, as compared to the nine months ended September 30, 2016. The net change by segment was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1,253</w:t>
            </w: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317</w:t>
            </w:r>
          </w:p>
        </w:tc>
        <w:tc>
          <w:tcPr>
            <w:tcW w:w="16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63,467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1,570</w:t>
            </w: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increase in the National Networks was due to an increase in deprecation expense due to property and equipment additions primarily at AMC Networks Broadcasting &amp; Technology. The increase in depreciation and amortization expense in the International and Other segment was primarily attributable to accelerated depreciation expense of certain equipment at AMCNI - DMC recorded during the nine months ended September 30, 2017.</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Impairment and related charges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July 12, 2017, the Company completed the sale of its Amsterdam-based media logistics facility, AMCNI – DMC. In connection with the sale, the Company recognized a pre-tax loss of $11.0 million. In addition, the Company recognized an impairment charge in the second quarter of 2017 of $17.1 million to reflect the AMCNI – DMC assets held for sale at fair value less estimated sale costs.</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Restructuring expense</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Restructuring expense of $3.9 million for the nine months ended September 30, 2017 related to corporate headquarter severance charges and charges incurred at AMCNI related to costs associated with the termination of distribution in certain territories.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Restructuring expense of $19.6 million for the nine months ended September 30, 2016 represented severance charges incurred related to employee terminations primarily associated with the voluntary buyout program launched in the third quarter of 2016. The International and Other segment restructuring expense includes corporate headquarter related charges.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640,855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594,969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45,886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(36,151)</w:t>
            </w:r>
          </w:p>
        </w:tc>
        <w:tc>
          <w:tcPr>
            <w:tcW w:w="16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109.3</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6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34.1</w:t>
            </w:r>
          </w:p>
        </w:tc>
      </w:tr>
      <w:tr>
        <w:trPr>
          <w:trHeight w:val="257"/>
        </w:trPr>
        <w:tc>
          <w:tcPr>
            <w:tcW w:w="5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560,815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553,828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6,987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operating income in the National Networks segment was primarily attributable to an increase in revenue of $64.5 million, a decrease in selling, general and administrative expense of $10.4 million, and a decrease in restructuring charges of $8.2 million, partially offset by an increase in technical and operating expense of $36.0 million.</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operating loss in the International and Other segment was primarily attributable to impairment and related charges of $28.1 million recorded during the nine months ended September 30, 2017, a decrease in revenue of $10.9 million, an increase in technical and operating expense of $3.0 million, partially offset by a decrease in restructuring expense of $7.6 million.</w:t>
      </w:r>
    </w:p>
    <w:p>
      <w:pPr>
        <w:sectPr>
          <w:pgSz w:w="11900" w:h="16838" w:orient="portrait"/>
          <w:cols w:equalWidth="0" w:num="1">
            <w:col w:w="11420"/>
          </w:cols>
          <w:pgMar w:left="240" w:top="472"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72" w:right="239" w:bottom="1440" w:gutter="0" w:footer="0" w:header="0"/>
          <w:type w:val="continuous"/>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our consolidated operating income to AOI:</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560,815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553,828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6,987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28,869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12,543</w:t>
            </w:r>
          </w:p>
        </w:tc>
        <w:tc>
          <w:tcPr>
            <w:tcW w:w="16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43.4</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and related charges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28,148</w:t>
            </w:r>
          </w:p>
        </w:tc>
        <w:tc>
          <w:tcPr>
            <w:tcW w:w="100" w:type="dxa"/>
            <w:vAlign w:val="bottom"/>
          </w:tcPr>
          <w:p>
            <w:pPr>
              <w:spacing w:after="0"/>
              <w:rPr>
                <w:sz w:val="21"/>
                <w:szCs w:val="21"/>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63,467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1,570</w:t>
            </w:r>
          </w:p>
        </w:tc>
        <w:tc>
          <w:tcPr>
            <w:tcW w:w="16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AOI</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699,299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665,830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33,469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AOI increased $33.5 million for the nine months ended September 30, 2017 as compared to the nine months ended September 30, 2016. The net change by segment was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National Networks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699,834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649,782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50,052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and Other</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7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(57.4)</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7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34.1</w:t>
            </w:r>
          </w:p>
        </w:tc>
      </w:tr>
      <w:tr>
        <w:trPr>
          <w:trHeight w:val="25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AOI</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699,299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665,830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33,469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National Networks AOI increased principally due to an increase in revenue of $64.5 million and a decrease in selling, general and administrative expenses (excluding stock based compensation) of $21.6 million, partially offset by an increase in technical and operating expenses of $36.0 million resulting primarily from an increase in program rights expense.</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International and Other AOI decreased due to a decrease in revenue of $10.9 million and an increase in technical and operating expenses of $2.9 million.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decrease in interest expense, net for the nine months ended September 30, 2017 was driven by an increase in interest income of $8.0 million primarily related to interest income earned of $6.3 million on term loans extended to RLJE. The increase in interest income was partially offset by increased interest expense of $3.2 million resulting from the issuance of our $800 million in aggregate principal amount of 4.75% Senior Notes due 2025 on July 28, 2017 and $1.0 billion in aggregate principal amount of 5.00% Senior Notes due 2024 entered into on March 30, 2016, partially offset by a decrease in interest expense related to our early redemption of our 7.75% Notes in March 2016.</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loss on extinguishment of debt of $3.0 million for the nine months ended September 30, 2017 was primarily due to the write-off of a portion of unamortized deferred financing costs following the amendment of our Term Loan A Facility in July 2017.</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loss on extinguishment of debt of $50.6 million for the nine months ended September 30, 2016 represented $41.0 million of premium paid and related fees on the early redemption of our 7.75% Notes as well as the write-off of the related unamortized discount of $8.7 million and unamortized deferred financing costs of $0.9 million.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Miscellaneous, net</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increase in miscellaneous, net of $65.1 million for the nine months ended September 30, 2017 as compared to the nine months ended September 30, 2016 was principally the result of a $45.6 million variance in the foreign currency remeasurement of monetary assets and liabilities that are denominated in currencies other than the underlying functional currency of the applicable entity, primarily intercompany loans. Foreign currency transaction gains were $19.0 million for the nine months ended September 30, 2017 as compared to foreign currency transaction losses of $26.6 million for the nine months ended September 30, 2016. Certain intercompany loans which were the primary driver of transactions losses in 2016 were settled in the third quarter of 2016. Miscellaneous, net also includes gains of $22.3 million on derivative instruments recorded in the fourth quarter of 2016 primarily related to the RLJE derivatives due to an increase in the stock price of RLJE common stock, and a gain in the fair market value of RLJE common shares held by the Company of $1.9 million, which started to be recognized during the second quarter 2017 upon meeting the criteria to be accounted for as an equity method investment following the exercise of warrants, for which we have elected the fair value option.</w:t>
      </w:r>
    </w:p>
    <w:p>
      <w:pPr>
        <w:sectPr>
          <w:pgSz w:w="11900" w:h="16838" w:orient="portrait"/>
          <w:cols w:equalWidth="0" w:num="1">
            <w:col w:w="11420"/>
          </w:cols>
          <w:pgMar w:left="240" w:top="468"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68" w:right="239" w:bottom="1440" w:gutter="0" w:footer="0" w:header="0"/>
          <w:type w:val="continuous"/>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2017, income tax expense was $173.4 million representing an effective tax rate of 34%. The effective tax rate differs from the federal statutory rate of 35% due primarily to tax benefit from the domestic production activities deduction of $13.1 million, tax benefit of $1.2 million from foreign subsidiary earnings indefinitely reinvested outside the U.S., tax benefit of $0.9 million resulting from a decrease in the valuation allowances for foreign and local taxes, tax expense of $2.0 million relating to uncertain tax positions (including accrued interest) and state and local income tax expense of $8.4 million for the nine months ended September 30, 2017.</w:t>
      </w:r>
    </w:p>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2016, income tax expense was $119.1 million representing an effective tax rate of 31%. The effective tax rate differs from the federal statutory rate of 35% due primarily to tax benefit from the domestic production activities deduction of $12.5 million, tax benefit of $12.4 million from foreign subsidiary earnings indefinitely reinvested outside the U.S., tax benefit of $4.0 million relating to uncertain tax positions (including accrued interest), state and local income tax expense of $6.1 million and tax expense of $7.0 million resulting from an increase in the valuation allowances for foreign and local taxes for the nine months ended September 30, 2016. The tax benefit relating to a reduction in uncertain tax positions is primarily due to a lapse of the applicable statute of limitations.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18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March 4, 2016, our Board of Directors authorized a program to repurchase up to $500 million of the Company’s Class A common stock (the “Stock Repurchase Program”). On June 6, 2017, our Board of Directors authorized an increase of $500 million under the Stock Repurchase Program; for a total authorization of $1.0 billion. For the three months ended September 30, 2017, we repurchased 1.8 million shares of our Class A common stock at an aggregate cost of approximately $102.0 million. As of September 30, 2017, the Company had $430.4 million available for repurchase under the Stock Repurchase Program. For the period October 1, 2017 through October 27, 2017, we repurchased approximately 869 thousand additional shares for $48.2 million.</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principal uses of cash include the acquisition and production of programming, investments and acquisitions, debt service, repurchases of outstanding debt and common stock and payments for income taxes. We continue to increase our investment in original programming, the funding of which generally occurs six to nine months in advance of a program’s airing. We expect this increased investment to continue in 2017.</w:t>
      </w:r>
    </w:p>
    <w:p>
      <w:pPr>
        <w:spacing w:after="0" w:line="17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July 28, 2017, AMC Networks issued, and certain of AMC Networks’ subsidiaries (hereinafter, the “Guarantors”) guaranteed, $800 million aggregate principal amount of senior notes due August 1, 2025 (the “4.75% Notes due 2025”) in a registered public offering. AMC Networks used approximately $400 million of the net proceeds to repay loans under the Term Loan A Facility under AMC Networks’ senior secured credit facility and to pay fees and expenses related to the issuance. The remaining proceeds will be used for general corporate purposes. The 4.75% Notes due 2025 were issued pursuant to an indenture, dated as of March 30, 2016, as amended by the Second Supplemental Indenture, dated as of July 28, 2017. The 4.75% Notes due 2025 bear interest at a rate of 4.75% per annum and mature on August 1, 2025. Interest will be payable semiannually on February 1 and August 1 of each year, commencing on February 1, 2018. The 4.75% Notes due 2025 are AMC Networks’ general senior unsecured obligations and will rank equally with all of AMC Networks’ and the Guarantors’ existing and future unsecured and unsubordinated indebtedness, but will be effectively subordinated to all of AMC Networks’ and the guarantors’ existing and future secured indebtedness, including all borrowings and guarantees under the Credit Agreement referred to below, to the extent of the assets securing that indebtedness. The 4.75% Notes due 2025 are subject to redemption on the terms set forth in the Second Supplemental Indenture.</w:t>
      </w:r>
    </w:p>
    <w:p>
      <w:pPr>
        <w:spacing w:after="0" w:line="19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July 28, 2017, AMC Networks entered into a Second Amended and Restated Credit Agreement (the “Credit Agreement”) among AMC Networks and its subsidiary, AMC Network Entertainment LLC, as the Initial Borrowers, certain of AMC Networks’ subsidiaries, as restricted subsidiaries, JPMorgan Chase Bank, N.A., as Administrative Agent, Collateral Agent and an L/C Issuer, the lenders party thereto. The Credit Agreement amends and restates AMC Networks’ prior credit agreement dated December 16, 2013 in its entirety. The Credit Agreement provides the Initial Borrowers with senior secured credit facilities consisting of (a) a $750 million Term Loan A (the “Term Loan A Facility”) after giving effect to the approximate $400 million payment from the proceeds of the 4.75% Notes due 2025 described above and (b) a $500 million revolving credit facility (the “Revolving Facility”)</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68" w:right="239" w:bottom="1440" w:gutter="0" w:footer="0" w:header="0"/>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was not drawn upon initially. Under the Credit Agreement, the maturity date of the Term Loan A Facility was extended to July 28, 2023 and the maturity date of the Revolving Facility was extended to July 28, 2022.</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affirmative and negative covenants applicable to AMC Networks, AMC Network Entertainment LLC and AMC Networks’ restricted subsidiaries. These include restrictions on AMC Networks’ ability to incur indebtedness, make investments in entities that are not “Restricted Subsidiaries” (as defined in the Credit Agreement), place liens on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 Agreement) of 6.00:1 initially and decreasing in steps down to 5.00:1 on and after January 1, 2022, subject to increase if AMC Networks consummates any leveraging acquisition; and (ii) a minimum ratio of annual operating cash flow to annual total interest expense (as defined in the Credit Agreement) of 2.50:1.</w:t>
      </w:r>
    </w:p>
    <w:p>
      <w:pPr>
        <w:spacing w:after="0" w:line="18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of September 30, 2017, our consolidated cash and cash equivalents includes amounts with a value of approximately $108.1 million held by foreign subsidiaries, some of which have earnings that have not been subject to U.S. tax. Repatriation of earnings not previously subject to U.S. tax would generally require us to accrue and pay U.S. tax on such amount. Our consolidated financial statements provide for any related tax liability on amounts that may be repatriated, aside from undistributed earnings of certain of our foreign subsidiaries that are intended to be permanently reinvested or repatriated in a tax-free manner. The amount of such undistributed earnings was approximately $115.0 million as of September 30, 2017. Determination of the amount of unrecognized deferred tax liability for temporary differences related to these earnings is not practicable. Due to the sale of AMCNI - DMC, which was completed on July 12, 2017, we estimated a decrease of undistributed earnings of approximately $90.0 million which was offset by an increase in undistributed earnings due to other transactions.</w:t>
      </w:r>
    </w:p>
    <w:p>
      <w:pPr>
        <w:spacing w:after="0" w:line="18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8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2016 Form 10-K.</w:t>
      </w:r>
    </w:p>
    <w:p>
      <w:pPr>
        <w:spacing w:after="0" w:line="18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revolving credit facility was not drawn upon at September 30, 2017. The total undrawn revolver commitment is available to be drawn for our general corporate purposes.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AMC Networks was in compliance with all of its debt covenants as of September 30, 2017.</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is a summary of cash flows provided by (used in) operating, investing and financing activities for the nine months ended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w:t>
      </w:r>
    </w:p>
    <w:p>
      <w:pPr>
        <w:spacing w:after="0" w:line="155"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38735</wp:posOffset>
            </wp:positionV>
            <wp:extent cx="2101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273,573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426,592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56,164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379,181</w:t>
            </w:r>
          </w:p>
        </w:tc>
      </w:tr>
    </w:tbl>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amounted to $273.6 million for the nine months ended September 30, 2017 as compared to $426.6 million for the nine months ended September 30, 2016. Net cash provided by operating activities for the nine</w:t>
      </w:r>
    </w:p>
    <w:p>
      <w:pPr>
        <w:sectPr>
          <w:pgSz w:w="11900" w:h="16838" w:orient="portrait"/>
          <w:cols w:equalWidth="0" w:num="1">
            <w:col w:w="11420"/>
          </w:cols>
          <w:pgMar w:left="240" w:top="472"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72" w:right="239" w:bottom="1440" w:gutter="0" w:footer="0" w:header="0"/>
          <w:type w:val="continuous"/>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months ended September 30, 2017 primarily resulted from $1.1 billion of net income before amortization of program rights, depreciation and amortization, impairment charges, and other non-cash items, which was partially offset by payments for program rights of $720.2 million, an increase in accounts receivable, trade of $13.3 million primarily related to the timing of cash receipts, a decrease in accounts payable, accrued expenses and other liabilities of $8.6 million primarily related to the timing of cash payments, an increase in prepaid expense and other assets of $69.5 million, a decrease in income taxes payable of $24.5 million related to an increase in tax payments and a decrease in deferred revenue of $6.5 million.</w:t>
      </w:r>
    </w:p>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2016 primarily resulted from $1.1 billion of net income before amortization of program rights, loss on extinguishment of debt, depreciation and amortization, and other non-cash items, which was partially offset by payments for program rights of $687.9 million, and an increase in prepaid expenses and other assets of $43.3 million. Additionally, net cash provided by operating activities increased due to a decrease in accounts receivable, trade of $32.7 million primarily related to timing of cash receipts and an increase in deferred revenue of $30.7 million primarily related to advertising arrangements and an increase in taxes payable of $10.4 million.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2017 and 2016 was $104.8 million and $44.9 million, respectively. For the nine months ended September 30, 2017, cash used in investing activities included investments and loans to investees of $43.0 million and capital expenditures of $61.8 million. For the nine months ended September 30, 2016, cash used in investing activities was primarily related to capital expenditures, which totaled $44.5 million.</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amounted to $112.6 million for the nine months ended September 30, 2017 as compared to $2.6 million for the nine months ended September 30, 2016. For the nine months ended September 30, 2017, financing activities primarily consisted of net proceeds of $786.0 million from the issuance of the 4.75% Notes due 2025 and $750.0 million proceeds for the new Term Loan A Facility partially offset by payments on the old term loan A facility of $1.3 billion. In addition, financing activities included purchases of our common stock of $347.3 million under our Stock Repurchase Program, taxes paid in lieu of shares issued for equity-based compensation of $13.4 million and distributions to a noncontrolling member of $16.1 million.</w:t>
      </w:r>
    </w:p>
    <w:p>
      <w:pPr>
        <w:spacing w:after="0" w:line="1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2016, financing activities primarily consisted of cash provided by the issuance of $1.0 billion of 5.00% Notes, net of an issuance discount of $17.5 million, offset by principal payments on long term debt of $811.0 million which included the repayment of $700.0 million of the Company’s 7.75% Notes pursuant to the Tender Offer and the subsequent redemption of the remaining 7.75% Notes on July 15, 2016, as well as scheduled repayments of principal on the Company’s term loan A facility of $111.0 million. In addition, net cash used in financing activities includes purchases of treasury stock of $110.0 million under our 2016 Stock Repurchase Program, premium payments and fees for the Tender Offer and redemption of the 7.75% Notes of $41.0 million, taxes paid in lieu of shares issued for equity-based compensation of $10.8 million and distributions to a noncontrolling member of $9.0 million and principal payments on capital lease obligations of $3.2 million.</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2017, our contractual obligations not reflected on the condensed consolidated balance sheet increased $57.2 million to $1.4 billion. The increase relates primarily to payment guarantees to a production service company for certain production 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describe our significant accounting policies in Note 2 to the Company’s Consolidated Financial Statements included in our 2016 Form 10-K. We discuss our critical accounting estimates in Item 7, “Management’s Discussion and Analysis of Financial Condition and Results of Operations,” in the same 2016 Form 10-K. There have been no significant changes in our significant accounting policies or critical accounting estimates since December 31,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See Note 1 to the accompanying Condensed Consolidated Financial Statements of the Company for a discussion of recently issued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Based on the level of interest rates prevailing at September 30, 2017, the fair value of our fixed rate debt of $2.46 billion was more than its carrying value of $2.36 billion by approximately $102 million. The fair value of these financial instruments is estimated based on reference to quoted market prices for these or comparable securities. A hypothetical 100 basis point decrease in interest rates prevailing at September 30, 2017 would increase the estimated fair value of our fixed rate debt by approximately $86.5 million to approximately $2.5 billion.</w:t>
      </w:r>
    </w:p>
    <w:p>
      <w:pPr>
        <w:sectPr>
          <w:pgSz w:w="11900" w:h="16838" w:orient="portrait"/>
          <w:cols w:equalWidth="0" w:num="1">
            <w:col w:w="11420"/>
          </w:cols>
          <w:pgMar w:left="240" w:top="472"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72" w:right="2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Managing our Interest Rate Risk</w:t>
      </w:r>
    </w:p>
    <w:p>
      <w:pPr>
        <w:spacing w:after="0" w:line="1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0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2017, we had $3.2 billion of principal amount of debt outstanding (excluding capital leases), of which $750 million is outstanding under the credit facility and is subject to variable interest rates (before consideration of the interest rate swaps contracts described below).</w:t>
      </w:r>
    </w:p>
    <w:p>
      <w:pPr>
        <w:spacing w:after="0" w:line="8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As of September 30, 2017, we had interest rate swap contracts outstanding with notional amounts aggregating $200.0 million. The aggregate fair value of interest rate swap contracts at September 30, 2017 was a net asset of $1.4 million. As a result of these transactions, the interest rate paid on approximately 83% of the Company’s debt (excluding capital leases) as of September 30, 2017 is effectively fixed (76% being fixed rate obligations and 7% effectively fixed through utilization of these interest rate swap contracts). Accumulated other comprehensive loss includes $0.4 million of cumulative unrealized gains, net of tax, on the portion of floating-to-fixed interest rate swap contracts designated as cash flow hedges.</w:t>
      </w:r>
    </w:p>
    <w:p>
      <w:pPr>
        <w:spacing w:after="0" w:line="10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 hypothetical 100 basis point increase in interest rates prevailing at September 30, 2017 would not have a material impact on our annual interest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Foreign Currency Exchange Rate Risk</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$9.9 million and $19.0 million of foreign currency transaction gains, net for the three and nine months ended September 30, 2017, respectively. Such amounts are included in Miscellaneous, net in the condensed consolidated statement of income.</w:t>
      </w:r>
    </w:p>
    <w:p>
      <w:pPr>
        <w:spacing w:after="0" w:line="14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September 30, 2017, the Company’s Chief Executive Officer and Chief Financial Officer concluded that the Company’s disclosure controls and procedures are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2017, there were no changes in the Company’s internal control over financial reporting, that have materially affected, or are reasonably likely to materially affect, the Company’s internal control over financial reporting.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2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 xml:space="preserve">On December 17, 2013, Frank Darabont (“Darabont”), Ferenc, Inc., Darkwoods Productions, Inc., and Creative Artists Agency, LLC (together, “Plaintiffs”), filed a complaint in New York Supreme Court in connection with Darabont’s rendering services as a writer, director and producer of the television series entitled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$280 million or more and indicated that the parties have completed fact and expert discovery. The parties each filed motions for summary judgment. Oral arguments of the summary judgment motions took place on September 15, 2017. The Court has not yet ruled on the summary judgment motions. The Company has opposed the claims in the Complaint, the Amended Complaint and all subsequent complaints. The Company believes that the asserted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Fear the Walking Dead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Talking Dead</w:t>
      </w:r>
      <w:r>
        <w:rPr>
          <w:rFonts w:ascii="Times New Roman" w:cs="Times New Roman" w:eastAsia="Times New Roman" w:hAnsi="Times New Roman"/>
          <w:sz w:val="18"/>
          <w:szCs w:val="18"/>
          <w:color w:val="auto"/>
        </w:rPr>
        <w:t xml:space="preserve">, and the agreements between the parties related thereto (the “California Action”). The California Plaintiffs asserted claims for breach of contract, breach of the covenant of good faith and fair dealing, inducing breach of contract, and liability for violation of Cal. Bus. &amp; Prof. Code § 17200. On August 15, 2017, two of the California Plaintiffs, Gale Anne Hurd and David Alpert (and their associated production companies), along with Charles Eglee and his production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because their agreements contained exclusive New York jurisdiction provisions. On October 23, 2017, the parties stipulated to discontinuing the New York Action without prejudice and consolidating all of the claims in the California Action. While answers and/or dispositive motions have yet to be filed, the Company believes that the asserted claims are without merit and will vigorously defend against them. At this time, no determination can be made as to the ultimate outcome of this litigation or the potential liability, if any, on the part of the Company.</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Set forth below is information concerning acquisitions of AMC Networks Class A Common Stock by the Company during the three months ended September 30, 2017.</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Maximum Number (or</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Units) Purchased as</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 Units) that May Yet</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 Purchased Under the Plans</w:t>
            </w:r>
          </w:p>
        </w:tc>
      </w:tr>
      <w:tr>
        <w:trPr>
          <w:trHeight w:val="212"/>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Units) Purchased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(or Unit)</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or Programs</w:t>
            </w:r>
          </w:p>
        </w:tc>
      </w:tr>
      <w:tr>
        <w:trPr>
          <w:trHeight w:val="33"/>
        </w:trPr>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2017 to July 31, 2017</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925,800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925,800</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480,420,659</w:t>
            </w:r>
          </w:p>
        </w:tc>
      </w:tr>
      <w:tr>
        <w:trPr>
          <w:trHeight w:val="243"/>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 2017 to August 31, 2017</w:t>
            </w: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230,373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230,373</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466,413,791</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2017 to September 30, 2017</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621,502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621,502</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430,427,637</w:t>
            </w:r>
          </w:p>
        </w:tc>
      </w:tr>
      <w:tr>
        <w:trPr>
          <w:trHeight w:val="257"/>
        </w:trPr>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1,777,675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1,777,675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6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Exhibits.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20" w:type="dxa"/>
            <w:vAlign w:val="bottom"/>
            <w:gridSpan w:val="12"/>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Indenture, dated as of March 30, 2016, by and among AMC Networks Inc., as Issuer, each of the guarantors party thereto and U.S. Bank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National Association, as Trustee (incorporated by reference to Exhibit 4.1 to the Company’s Current Report on Form 8-K filed on July 28,</w:t>
              </w:r>
            </w:hyperlink>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6">
              <w:r>
                <w:rPr>
                  <w:rFonts w:ascii="Times New Roman" w:cs="Times New Roman" w:eastAsia="Times New Roman" w:hAnsi="Times New Roman"/>
                  <w:sz w:val="18"/>
                  <w:szCs w:val="18"/>
                  <w:color w:val="0000FF"/>
                  <w:w w:val="94"/>
                </w:rPr>
                <w:t>2017).</w:t>
              </w:r>
            </w:hyperlink>
          </w:p>
        </w:tc>
        <w:tc>
          <w:tcPr>
            <w:tcW w:w="67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1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First Supplemental Indenture, dated as of March 30, 2016, to the Indenture, dated as of March 30, 2016, by and among AMC Networks Inc.,</w:t>
              </w:r>
            </w:hyperlink>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as Issuer, each of the guarantors party thereto and U.S. Bank National Association, as Trustee, relating to the AMC Networks Inc. 5.00%</w:t>
              </w:r>
            </w:hyperlink>
          </w:p>
        </w:tc>
        <w:tc>
          <w:tcPr>
            <w:tcW w:w="2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Senior Notes due April 1, 2024 (incorporated by reference to Exhibit 4.1 to the Company’s Current Report on Form 8-K filed on March 30,</w:t>
              </w:r>
            </w:hyperlink>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7">
              <w:r>
                <w:rPr>
                  <w:rFonts w:ascii="Times New Roman" w:cs="Times New Roman" w:eastAsia="Times New Roman" w:hAnsi="Times New Roman"/>
                  <w:sz w:val="18"/>
                  <w:szCs w:val="18"/>
                  <w:color w:val="0000FF"/>
                  <w:w w:val="94"/>
                </w:rPr>
                <w:t>2016).</w:t>
              </w:r>
            </w:hyperlink>
          </w:p>
        </w:tc>
        <w:tc>
          <w:tcPr>
            <w:tcW w:w="67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1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Second Supplemental Indenture, dated as of July 28, 2017 to the Indenture, dated as of March 30, 2016, by and among AMC Networks Inc.,</w:t>
              </w:r>
            </w:hyperlink>
          </w:p>
        </w:tc>
      </w:tr>
      <w:tr>
        <w:trPr>
          <w:trHeight w:val="196"/>
        </w:trPr>
        <w:tc>
          <w:tcPr>
            <w:tcW w:w="1140" w:type="dxa"/>
            <w:vAlign w:val="bottom"/>
          </w:tcPr>
          <w:p>
            <w:pPr>
              <w:spacing w:after="0"/>
              <w:rPr>
                <w:sz w:val="17"/>
                <w:szCs w:val="17"/>
                <w:color w:val="auto"/>
              </w:rPr>
            </w:pPr>
          </w:p>
        </w:tc>
        <w:tc>
          <w:tcPr>
            <w:tcW w:w="98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as Issuer, each of the guarantors party thereto and U.S. Bank National Association, as Trustee, relating to the AMC Networks Inc. 4.75%</w:t>
              </w:r>
            </w:hyperlink>
          </w:p>
        </w:tc>
        <w:tc>
          <w:tcPr>
            <w:tcW w:w="2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Senior Notes due August 1, 2025 (incorporated by reference to Exhibit 4.2 to the Company’s Current Report on Form 8-K filed on July 28,</w:t>
              </w:r>
            </w:hyperlink>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8">
              <w:r>
                <w:rPr>
                  <w:rFonts w:ascii="Times New Roman" w:cs="Times New Roman" w:eastAsia="Times New Roman" w:hAnsi="Times New Roman"/>
                  <w:sz w:val="18"/>
                  <w:szCs w:val="18"/>
                  <w:color w:val="0000FF"/>
                  <w:w w:val="94"/>
                </w:rPr>
                <w:t>2017).</w:t>
              </w:r>
            </w:hyperlink>
          </w:p>
        </w:tc>
        <w:tc>
          <w:tcPr>
            <w:tcW w:w="67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Second Amended and Restated Credit Agreement, dated July 28, 2017, among AMC Networks Inc. and AMC Network Entertainment LLC,</w:t>
              </w:r>
            </w:hyperlink>
          </w:p>
        </w:tc>
      </w:tr>
      <w:tr>
        <w:trPr>
          <w:trHeight w:val="196"/>
        </w:trPr>
        <w:tc>
          <w:tcPr>
            <w:tcW w:w="114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as the Initial Borrowers, certain subsidiaries of AMC Networks Inc. named therein, as restricted subsidiaries, the lenders party thereto, Bank</w:t>
              </w:r>
            </w:hyperlink>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of America, N.A., as an L/C Issuer, and JPMorgan Chase Bank, N.A., as Administrative Agent, Collateral Agent and an L/C Issuer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44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(incorporated by reference to Exhibit 10.1 to the Company’s Current Report on Form 8-K filed on July 28, 2017).</w:t>
              </w:r>
            </w:hyperlink>
          </w:p>
        </w:tc>
        <w:tc>
          <w:tcPr>
            <w:tcW w:w="680" w:type="dxa"/>
            <w:vAlign w:val="bottom"/>
            <w:gridSpan w:val="7"/>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4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55">
              <w:r>
                <w:rPr>
                  <w:rFonts w:ascii="Times New Roman" w:cs="Times New Roman" w:eastAsia="Times New Roman" w:hAnsi="Times New Roman"/>
                  <w:sz w:val="18"/>
                  <w:szCs w:val="18"/>
                  <w:color w:val="0000FF"/>
                  <w:w w:val="99"/>
                </w:rPr>
                <w:t>Certification of Chief Executive Officer pursuant to Section 302 of the Sarbanes-Oxley Act of 2002.</w:t>
              </w:r>
            </w:hyperlink>
          </w:p>
        </w:tc>
        <w:tc>
          <w:tcPr>
            <w:tcW w:w="940" w:type="dxa"/>
            <w:vAlign w:val="bottom"/>
            <w:tcBorders>
              <w:top w:val="single" w:sz="8" w:color="0000FF"/>
            </w:tcBorders>
          </w:tcPr>
          <w:p>
            <w:pPr>
              <w:spacing w:after="0"/>
              <w:rPr>
                <w:sz w:val="24"/>
                <w:szCs w:val="24"/>
                <w:color w:val="auto"/>
              </w:rPr>
            </w:pPr>
          </w:p>
        </w:tc>
        <w:tc>
          <w:tcPr>
            <w:tcW w:w="1940" w:type="dxa"/>
            <w:vAlign w:val="bottom"/>
            <w:gridSpan w:val="8"/>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20" w:type="dxa"/>
            <w:vAlign w:val="bottom"/>
            <w:gridSpan w:val="12"/>
          </w:tcPr>
          <w:p>
            <w:pPr>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180" w:hanging="1145"/>
        <w:spacing w:after="0" w:line="282" w:lineRule="auto"/>
        <w:tabs>
          <w:tab w:leader="none" w:pos="1180" w:val="left"/>
        </w:tabs>
        <w:numPr>
          <w:ilvl w:val="0"/>
          <w:numId w:val="16"/>
        </w:numPr>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Certifications of Chief Executive Officer and Chief Financial Officer pursuant to Section 906 of the Sarbanes-Oxley Act of 2002, 18 U.S.C.</w:t>
        </w:r>
      </w:hyperlink>
      <w:r>
        <w:rPr>
          <w:rFonts w:ascii="Times New Roman" w:cs="Times New Roman" w:eastAsia="Times New Roman" w:hAnsi="Times New Roman"/>
          <w:sz w:val="18"/>
          <w:szCs w:val="18"/>
          <w:u w:val="single" w:color="auto"/>
          <w:color w:val="0000FF"/>
        </w:rPr>
        <w:t xml:space="preserve"> </w:t>
      </w:r>
      <w:hyperlink w:anchor="page57">
        <w:r>
          <w:rPr>
            <w:rFonts w:ascii="Times New Roman" w:cs="Times New Roman" w:eastAsia="Times New Roman" w:hAnsi="Times New Roman"/>
            <w:sz w:val="18"/>
            <w:szCs w:val="18"/>
            <w:u w:val="single" w:color="auto"/>
            <w:color w:val="0000FF"/>
          </w:rPr>
          <w:t>Section 1350.</w:t>
        </w:r>
      </w:hyperlink>
    </w:p>
    <w:p>
      <w:pPr>
        <w:spacing w:after="0" w:line="121" w:lineRule="exact"/>
        <w:rPr>
          <w:rFonts w:ascii="Times New Roman" w:cs="Times New Roman" w:eastAsia="Times New Roman" w:hAnsi="Times New Roman"/>
          <w:sz w:val="18"/>
          <w:szCs w:val="18"/>
          <w:color w:val="auto"/>
        </w:rPr>
      </w:pPr>
    </w:p>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86"/>
        </w:trPr>
        <w:tc>
          <w:tcPr>
            <w:tcW w:w="900" w:type="dxa"/>
            <w:vAlign w:val="bottom"/>
          </w:tcPr>
          <w:p>
            <w:pPr>
              <w:spacing w:after="0"/>
              <w:rPr>
                <w:sz w:val="24"/>
                <w:szCs w:val="24"/>
                <w:color w:val="auto"/>
              </w:rPr>
            </w:pPr>
          </w:p>
        </w:tc>
        <w:tc>
          <w:tcPr>
            <w:tcW w:w="4860" w:type="dxa"/>
            <w:vAlign w:val="bottom"/>
          </w:tcPr>
          <w:p>
            <w:pPr>
              <w:ind w:left="4680"/>
              <w:spacing w:after="0"/>
              <w:rPr>
                <w:sz w:val="20"/>
                <w:szCs w:val="20"/>
                <w:color w:val="auto"/>
              </w:rPr>
            </w:pPr>
            <w:r>
              <w:rPr>
                <w:rFonts w:ascii="Times New Roman" w:cs="Times New Roman" w:eastAsia="Times New Roman" w:hAnsi="Times New Roman"/>
                <w:sz w:val="18"/>
                <w:szCs w:val="18"/>
                <w:color w:val="auto"/>
                <w:w w:val="88"/>
              </w:rPr>
              <w:t>51</w:t>
            </w:r>
          </w:p>
        </w:tc>
      </w:tr>
    </w:tbl>
    <w:p>
      <w:pPr>
        <w:sectPr>
          <w:pgSz w:w="11900" w:h="16838" w:orient="portrait"/>
          <w:cols w:equalWidth="0" w:num="1">
            <w:col w:w="11380"/>
          </w:cols>
          <w:pgMar w:left="240" w:top="468" w:right="27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their behalf by the undersigned thereunto duly authorized.</w:t>
      </w:r>
    </w:p>
    <w:p>
      <w:pPr>
        <w:spacing w:after="0" w:line="29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AMC Networks Inc.</w:t>
      </w:r>
    </w:p>
    <w:p>
      <w:pPr>
        <w:spacing w:after="0" w:line="252" w:lineRule="exact"/>
        <w:rPr>
          <w:sz w:val="20"/>
          <w:szCs w:val="20"/>
          <w:color w:val="auto"/>
        </w:rPr>
      </w:pPr>
    </w:p>
    <w:p>
      <w:pPr>
        <w:ind w:left="28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2, 2017</w:t>
      </w:r>
      <w:r>
        <w:rPr>
          <w:sz w:val="20"/>
          <w:szCs w:val="20"/>
          <w:color w:val="auto"/>
        </w:rPr>
        <w:tab/>
      </w:r>
      <w:r>
        <w:rPr>
          <w:rFonts w:ascii="Times New Roman" w:cs="Times New Roman" w:eastAsia="Times New Roman" w:hAnsi="Times New Roman"/>
          <w:sz w:val="18"/>
          <w:szCs w:val="18"/>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34290</wp:posOffset>
            </wp:positionV>
            <wp:extent cx="3464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Sean S. Sullivan</w:t>
      </w:r>
    </w:p>
    <w:p>
      <w:pPr>
        <w:spacing w:after="0" w:line="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60"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6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820" w:hanging="164"/>
        <w:spacing w:after="0" w:line="282" w:lineRule="auto"/>
        <w:tabs>
          <w:tab w:leader="none" w:pos="88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6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firstLine="8"/>
        <w:spacing w:after="0" w:line="282" w:lineRule="auto"/>
        <w:tabs>
          <w:tab w:leader="none" w:pos="2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6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Times New Roman" w:cs="Times New Roman" w:eastAsia="Times New Roman" w:hAnsi="Times New Roman"/>
          <w:sz w:val="18"/>
          <w:szCs w:val="18"/>
          <w:color w:val="auto"/>
        </w:rPr>
        <w:t>Date:</w:t>
        <w:tab/>
        <w:t>November 2,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6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9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820" w:hanging="164"/>
        <w:spacing w:after="0" w:line="282" w:lineRule="auto"/>
        <w:tabs>
          <w:tab w:leader="none" w:pos="88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6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firstLine="8"/>
        <w:spacing w:after="0" w:line="282" w:lineRule="auto"/>
        <w:tabs>
          <w:tab w:leader="none" w:pos="2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6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Pursuant to 18 U.S.C. § 1350, each of the undersigned officers of AMC Networks Inc. (“AMC Networks”) hereby certifies, to such officer’s knowledge, that AMC Networks’ Quarterly Report on Form 10-Q for the quarter ended September 30, 2017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396"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8"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26" Type="http://schemas.openxmlformats.org/officeDocument/2006/relationships/hyperlink" Target="http://www.sec.gov/Archives/edgar/data/1514991/000119312517240565/d435389dex41.htm" TargetMode="External"/><Relationship Id="rId27" Type="http://schemas.openxmlformats.org/officeDocument/2006/relationships/hyperlink" Target="http://www.sec.gov/Archives/edgar/data/1514991/000119312516523870/d144606dex41.htm" TargetMode="External"/><Relationship Id="rId28" Type="http://schemas.openxmlformats.org/officeDocument/2006/relationships/hyperlink" Target="http://www.sec.gov/Archives/edgar/data/1514991/000119312517240565/d435389dex42.htm" TargetMode="External"/><Relationship Id="rId29" Type="http://schemas.openxmlformats.org/officeDocument/2006/relationships/hyperlink" Target="http://www.sec.gov/Archives/edgar/data/1514991/000119312517240565/d43538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2019-12-29T04:01:13Z</dcterms:created>
  <dcterms:modified xsi:type="dcterms:W3CDTF">2019-12-29T04:01:13Z</dcterms:modified>
</cp:coreProperties>
</file>