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1-35106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AMC Networks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9"/>
        <w:gridCol w:w="473"/>
        <w:gridCol w:w="473"/>
        <w:gridCol w:w="473"/>
        <w:gridCol w:w="473"/>
        <w:gridCol w:w="494"/>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324-8500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bidi w:val="0"/>
        <w:spacing w:before="0" w:after="0"/>
        <w:jc w:val="center"/>
        <w:rPr/>
      </w:pPr>
      <w:r>
        <w:rPr/>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(as defined in Exchange Act Rule 12b-2).</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as of August 2, 2024:</w:t>
      </w:r>
    </w:p>
    <w:tbl>
      <w:tblPr>
        <w:tblW w:w="4636" w:type="dxa"/>
        <w:jc w:val="left"/>
        <w:tblInd w:w="0" w:type="dxa"/>
        <w:tblLayout w:type="fixed"/>
        <w:tblCellMar>
          <w:top w:w="28" w:type="dxa"/>
          <w:left w:w="28" w:type="dxa"/>
          <w:bottom w:w="28" w:type="dxa"/>
          <w:right w:w="28" w:type="dxa"/>
        </w:tblCellMar>
      </w:tblPr>
      <w:tblGrid>
        <w:gridCol w:w="1332"/>
        <w:gridCol w:w="1167"/>
        <w:gridCol w:w="1176"/>
        <w:gridCol w:w="281"/>
        <w:gridCol w:w="281"/>
        <w:gridCol w:w="399"/>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32,613,713</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11,484,408</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AMC NETWORKS INC.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51" w:type="dxa"/>
        <w:jc w:val="left"/>
        <w:tblInd w:w="0" w:type="dxa"/>
        <w:tblLayout w:type="fixed"/>
        <w:tblCellMar>
          <w:top w:w="28" w:type="dxa"/>
          <w:left w:w="28" w:type="dxa"/>
          <w:bottom w:w="28" w:type="dxa"/>
          <w:right w:w="28" w:type="dxa"/>
        </w:tblCellMar>
      </w:tblPr>
      <w:tblGrid>
        <w:gridCol w:w="2890"/>
        <w:gridCol w:w="2538"/>
        <w:gridCol w:w="2552"/>
        <w:gridCol w:w="167"/>
        <w:gridCol w:w="167"/>
        <w:gridCol w:w="237"/>
      </w:tblGrid>
      <w:tr>
        <w:trPr/>
        <w:tc>
          <w:tcPr>
            <w:tcW w:w="289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0">
              <w:r>
                <w:rPr>
                  <w:rStyle w:val="InternetLink"/>
                  <w:rFonts w:ascii="Times New Roman;sans-serif" w:hAnsi="Times New Roman;sans-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3">
              <w:r>
                <w:rPr>
                  <w:rStyle w:val="InternetLink"/>
                  <w:rFonts w:ascii="Times New Roman;sans-serif" w:hAnsi="Times New Roman;sans-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6">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6">
              <w:r>
                <w:rPr>
                  <w:rStyle w:val="InternetLink"/>
                  <w:rFonts w:ascii="Times New Roman;sans-serif" w:hAnsi="Times New Roman;sans-serif"/>
                  <w:b w:val="false"/>
                  <w:color w:val="0000FF"/>
                  <w:sz w:val="20"/>
                  <w:u w:val="singl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d0055455af44de8857582a0a93305a_19">
              <w:r>
                <w:rPr>
                  <w:rStyle w:val="InternetLink"/>
                  <w:rFonts w:ascii="Times New Roman;sans-serif" w:hAnsi="Times New Roman;sans-serif"/>
                  <w:b w:val="false"/>
                  <w:color w:val="000080"/>
                  <w:sz w:val="20"/>
                  <w:u w:val="single"/>
                </w:rPr>
                <w:t>Condensed Consolidated Statements of Income</w:t>
              </w:r>
            </w:hyperlink>
            <w:r>
              <w:rPr>
                <w:rFonts w:ascii="Times New Roman;sans-serif" w:hAnsi="Times New Roman;sans-serif"/>
                <w:b w:val="false"/>
                <w:color w:val="0000FF"/>
                <w:sz w:val="20"/>
                <w:u w:val="single"/>
              </w:rPr>
              <w:t xml:space="preserve"> (Loss)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9">
              <w:r>
                <w:rPr>
                  <w:rStyle w:val="InternetLink"/>
                  <w:rFonts w:ascii="Times New Roman;sans-serif" w:hAnsi="Times New Roman;sans-serif"/>
                  <w:b w:val="false"/>
                  <w:color w:val="0000FF"/>
                  <w:sz w:val="20"/>
                  <w:u w:val="singl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d0055455af44de8857582a0a93305a_22">
              <w:r>
                <w:rPr>
                  <w:rStyle w:val="InternetLink"/>
                  <w:rFonts w:ascii="Times New Roman;sans-serif" w:hAnsi="Times New Roman;sans-serif"/>
                  <w:b w:val="false"/>
                  <w:color w:val="000080"/>
                  <w:sz w:val="20"/>
                  <w:u w:val="single"/>
                </w:rPr>
                <w:t>Condensed Consolidated Statements of Comprehensive Incom</w:t>
              </w:r>
            </w:hyperlink>
            <w:hyperlink w:anchor="ib4d0055455af44de8857582a0a93305a_22">
              <w:r>
                <w:rPr>
                  <w:rStyle w:val="InternetLink"/>
                  <w:rFonts w:ascii="Times New Roman;sans-serif" w:hAnsi="Times New Roman;sans-serif"/>
                  <w:b w:val="false"/>
                  <w:color w:val="000080"/>
                  <w:sz w:val="20"/>
                  <w:u w:val="single"/>
                </w:rPr>
                <w:t>e</w:t>
              </w:r>
            </w:hyperlink>
            <w:hyperlink w:anchor="ib4d0055455af44de8857582a0a93305a_22">
              <w:r>
                <w:rPr>
                  <w:rStyle w:val="InternetLink"/>
                  <w:rFonts w:ascii="Times New Roman;sans-serif" w:hAnsi="Times New Roman;sans-serif"/>
                  <w:b w:val="false"/>
                  <w:color w:val="000080"/>
                  <w:sz w:val="20"/>
                  <w:u w:val="single"/>
                </w:rPr>
                <w:t xml:space="preserve"> (</w:t>
              </w:r>
            </w:hyperlink>
            <w:hyperlink w:anchor="ib4d0055455af44de8857582a0a93305a_22">
              <w:r>
                <w:rPr>
                  <w:rStyle w:val="InternetLink"/>
                  <w:rFonts w:ascii="Times New Roman;sans-serif" w:hAnsi="Times New Roman;sans-serif"/>
                  <w:b w:val="false"/>
                  <w:color w:val="000080"/>
                  <w:sz w:val="20"/>
                  <w:u w:val="single"/>
                </w:rPr>
                <w:t>L</w:t>
              </w:r>
            </w:hyperlink>
            <w:hyperlink w:anchor="ib4d0055455af44de8857582a0a93305a_22">
              <w:r>
                <w:rPr>
                  <w:rStyle w:val="InternetLink"/>
                  <w:rFonts w:ascii="Times New Roman;sans-serif" w:hAnsi="Times New Roman;sans-serif"/>
                  <w:b w:val="false"/>
                  <w:color w:val="000080"/>
                  <w:sz w:val="20"/>
                  <w:u w:val="single"/>
                </w:rPr>
                <w:t>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22">
              <w:r>
                <w:rPr>
                  <w:rStyle w:val="InternetLink"/>
                  <w:rFonts w:ascii="Times New Roman;sans-serif" w:hAnsi="Times New Roman;sans-serif"/>
                  <w:b w:val="false"/>
                  <w:color w:val="0000FF"/>
                  <w:sz w:val="20"/>
                  <w:u w:val="single"/>
                </w:rPr>
                <w:t>3</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d0055455af44de8857582a0a93305a_25">
              <w:r>
                <w:rPr>
                  <w:rStyle w:val="InternetLink"/>
                  <w:rFonts w:ascii="Times New Roman;sans-serif" w:hAnsi="Times New Roman;sans-serif"/>
                  <w:b w:val="false"/>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25">
              <w:r>
                <w:rPr>
                  <w:rStyle w:val="InternetLink"/>
                  <w:rFonts w:ascii="Times New Roman;sans-serif" w:hAnsi="Times New Roman;sans-serif"/>
                  <w:b w:val="false"/>
                  <w:color w:val="0000FF"/>
                  <w:sz w:val="20"/>
                  <w:u w:val="single"/>
                </w:rPr>
                <w:t>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d0055455af44de8857582a0a93305a_31">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31">
              <w:r>
                <w:rPr>
                  <w:rStyle w:val="InternetLink"/>
                  <w:rFonts w:ascii="Times New Roman;sans-serif" w:hAnsi="Times New Roman;sans-serif"/>
                  <w:b w:val="false"/>
                  <w:color w:val="0000FF"/>
                  <w:sz w:val="20"/>
                  <w:u w:val="single"/>
                </w:rPr>
                <w:t>6</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34">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34">
              <w:r>
                <w:rPr>
                  <w:rStyle w:val="InternetLink"/>
                  <w:rFonts w:ascii="Times New Roman;sans-serif" w:hAnsi="Times New Roman;sans-serif"/>
                  <w:b w:val="false"/>
                  <w:color w:val="0000FF"/>
                  <w:sz w:val="20"/>
                  <w:u w:val="single"/>
                </w:rPr>
                <w:t>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1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12">
              <w:r>
                <w:rPr>
                  <w:rStyle w:val="InternetLink"/>
                  <w:rFonts w:ascii="Times New Roman;sans-serif" w:hAnsi="Times New Roman;sans-serif"/>
                  <w:b w:val="false"/>
                  <w:color w:val="0000FF"/>
                  <w:sz w:val="20"/>
                  <w:u w:val="single"/>
                </w:rPr>
                <w:t>29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39">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39">
              <w:r>
                <w:rPr>
                  <w:rStyle w:val="InternetLink"/>
                  <w:rFonts w:ascii="Times New Roman;sans-serif" w:hAnsi="Times New Roman;sans-serif"/>
                  <w:b w:val="false"/>
                  <w:color w:val="0000FF"/>
                  <w:sz w:val="20"/>
                  <w:u w:val="single"/>
                </w:rPr>
                <w:t>47</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42">
              <w:r>
                <w:rPr>
                  <w:rStyle w:val="InternetLink"/>
                  <w:rFonts w:ascii="Times New Roman;sans-serif" w:hAnsi="Times New Roman;sans-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42">
              <w:r>
                <w:rPr>
                  <w:rStyle w:val="InternetLink"/>
                  <w:rFonts w:ascii="Times New Roman;sans-serif" w:hAnsi="Times New Roman;sans-serif"/>
                  <w:b w:val="false"/>
                  <w:color w:val="0000FF"/>
                  <w:sz w:val="20"/>
                  <w:u w:val="single"/>
                </w:rPr>
                <w:t>48</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45">
              <w:r>
                <w:rPr>
                  <w:rStyle w:val="InternetLink"/>
                  <w:rFonts w:ascii="Times New Roman;sans-serif" w:hAnsi="Times New Roman;sans-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48">
              <w:r>
                <w:rPr>
                  <w:rStyle w:val="InternetLink"/>
                  <w:rFonts w:ascii="Times New Roman;sans-serif" w:hAnsi="Times New Roman;sans-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48">
              <w:r>
                <w:rPr>
                  <w:rStyle w:val="InternetLink"/>
                  <w:rFonts w:ascii="Times New Roman;sans-serif" w:hAnsi="Times New Roman;sans-serif"/>
                  <w:b w:val="false"/>
                  <w:color w:val="0000FF"/>
                  <w:sz w:val="20"/>
                  <w:u w:val="single"/>
                </w:rPr>
                <w:t>49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51">
              <w:r>
                <w:rPr>
                  <w:rStyle w:val="InternetLink"/>
                  <w:rFonts w:ascii="Times New Roman;sans-serif" w:hAnsi="Times New Roman;sans-serif"/>
                  <w:b w:val="false"/>
                  <w:color w:val="000080"/>
                  <w:sz w:val="20"/>
                  <w:u w:val="single"/>
                </w:rPr>
                <w:t>Item 2. Unregistered Sales of Equity Securities</w:t>
              </w:r>
            </w:hyperlink>
            <w:hyperlink w:anchor="ib4d0055455af44de8857582a0a93305a_151">
              <w:r>
                <w:rPr>
                  <w:rStyle w:val="InternetLink"/>
                  <w:rFonts w:ascii="Times New Roman;sans-serif" w:hAnsi="Times New Roman;sans-serif"/>
                  <w:b w:val="false"/>
                  <w:color w:val="000080"/>
                  <w:sz w:val="20"/>
                  <w:u w:val="single"/>
                </w:rPr>
                <w:t xml:space="preserve"> and Use</w:t>
              </w:r>
            </w:hyperlink>
            <w:hyperlink w:anchor="ib4d0055455af44de8857582a0a93305a_151">
              <w:r>
                <w:rPr>
                  <w:rStyle w:val="InternetLink"/>
                  <w:rFonts w:ascii="Times New Roman;sans-serif" w:hAnsi="Times New Roman;sans-serif"/>
                  <w:b w:val="false"/>
                  <w:color w:val="000080"/>
                  <w:sz w:val="20"/>
                  <w:u w:val="single"/>
                </w:rPr>
                <w:t xml:space="preserv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51">
              <w:r>
                <w:rPr>
                  <w:rStyle w:val="InternetLink"/>
                  <w:rFonts w:ascii="Times New Roman;sans-serif" w:hAnsi="Times New Roman;sans-serif"/>
                  <w:b w:val="false"/>
                  <w:color w:val="0000FF"/>
                  <w:sz w:val="20"/>
                  <w:u w:val="single"/>
                </w:rPr>
                <w:t>49</w:t>
              </w:r>
            </w:hyperlink>
          </w:p>
        </w:tc>
      </w:tr>
      <w:tr>
        <w:trPr/>
        <w:tc>
          <w:tcPr>
            <w:tcW w:w="798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57">
              <w:r>
                <w:rPr>
                  <w:rStyle w:val="InternetLink"/>
                  <w:rFonts w:ascii="Times New Roman;sans-serif" w:hAnsi="Times New Roman;sans-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57">
              <w:r>
                <w:rPr>
                  <w:rStyle w:val="InternetLink"/>
                  <w:rFonts w:ascii="Times New Roman;sans-serif" w:hAnsi="Times New Roman;sans-serif"/>
                  <w:b w:val="false"/>
                  <w:color w:val="0000FF"/>
                  <w:sz w:val="20"/>
                  <w:u w:val="single"/>
                </w:rPr>
                <w:t>49</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d0055455af44de8857582a0a93305a_160">
              <w:r>
                <w:rPr>
                  <w:rStyle w:val="InternetLink"/>
                  <w:rFonts w:ascii="Times New Roman;sans-serif" w:hAnsi="Times New Roman;sans-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d0055455af44de8857582a0a93305a_160">
              <w:r>
                <w:rPr>
                  <w:rStyle w:val="InternetLink"/>
                  <w:rFonts w:ascii="Times New Roman;sans-serif" w:hAnsi="Times New Roman;sans-serif"/>
                  <w:b w:val="false"/>
                  <w:color w:val="0000FF"/>
                  <w:sz w:val="20"/>
                  <w:u w:val="single"/>
                </w:rPr>
                <w:t>50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72"/>
        <w:gridCol w:w="2192"/>
        <w:gridCol w:w="2203"/>
        <w:gridCol w:w="196"/>
        <w:gridCol w:w="871"/>
        <w:gridCol w:w="109"/>
        <w:gridCol w:w="109"/>
        <w:gridCol w:w="109"/>
        <w:gridCol w:w="109"/>
        <w:gridCol w:w="230"/>
        <w:gridCol w:w="1022"/>
        <w:gridCol w:w="183"/>
      </w:tblGrid>
      <w:tr>
        <w:trPr/>
        <w:tc>
          <w:tcPr>
            <w:tcW w:w="287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trade (less allowance for doubtful accounts of $9,329 and $9,488)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1,623,370 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$434,044 and $403,708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1,802,653 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626,496 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4,872,720 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4,969,787 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portion of lease obligations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943,423 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2,294,249 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3,710,544 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360,000 shares authorized, 66,730 and 66,670 shares issued and 32,614 and 32,077 shares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B Common Stock, $0.01 par value, 90,000 shares authorized, 11,484 shares issued and outstanding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45,000 shares authorized; none issued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378,877 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2,321,105 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(34,117 and 34,593 shares Class A Common Stock,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(1,419,882)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(232,831)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AMC Networks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1,048,051 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1,073,946 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4,969,787 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80"/>
        <w:gridCol w:w="1314"/>
        <w:gridCol w:w="129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8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1,117,070 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AMC Networks'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AMC Networks' stockholders:</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64"/>
        <w:gridCol w:w="1539"/>
        <w:gridCol w:w="1547"/>
        <w:gridCol w:w="211"/>
        <w:gridCol w:w="779"/>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176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AMC Networks'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194,371 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(245,803)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 adjustment to redemption fair value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2,335,526 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(1,408,832)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(248,120)</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1,053,709 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28,383 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1,082,092 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(228,470)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2,279,490 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(219,276)</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32,585 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1,040,251 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left"/>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(232,831)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2,335,526 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(1,408,832)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(248,120)</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1,053,709 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28,383 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1,082,092 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member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2,279,490 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(219,276)</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32,585 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1,040,251 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 (unaudited)</w:t>
      </w:r>
    </w:p>
    <w:tbl>
      <w:tblPr>
        <w:tblW w:w="8993" w:type="dxa"/>
        <w:jc w:val="center"/>
        <w:tblInd w:w="0" w:type="dxa"/>
        <w:tblLayout w:type="fixed"/>
        <w:tblCellMar>
          <w:top w:w="28" w:type="dxa"/>
          <w:left w:w="28" w:type="dxa"/>
          <w:bottom w:w="28" w:type="dxa"/>
          <w:right w:w="28" w:type="dxa"/>
        </w:tblCellMar>
      </w:tblPr>
      <w:tblGrid>
        <w:gridCol w:w="2289"/>
        <w:gridCol w:w="2018"/>
        <w:gridCol w:w="2022"/>
        <w:gridCol w:w="211"/>
        <w:gridCol w:w="826"/>
        <w:gridCol w:w="109"/>
        <w:gridCol w:w="109"/>
        <w:gridCol w:w="109"/>
        <w:gridCol w:w="109"/>
        <w:gridCol w:w="211"/>
        <w:gridCol w:w="826"/>
        <w:gridCol w:w="154"/>
      </w:tblGrid>
      <w:tr>
        <w:trPr/>
        <w:tc>
          <w:tcPr>
            <w:tcW w:w="228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impairment and 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 related to equity classified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write-off of program rights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carriage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transaction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discounts on indebtedness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trade (including amounts due from related parties,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and obligations,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liabilities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10.25% Senior Secured Notes due 2029,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4.25% Convertible Senior Notes due 2029,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Tender and redemption of 4.75% Senior Notes due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Term Loan A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4.25% Senior Notes due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repurchases of 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40"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Business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Inc. ("AMC Networks") and its subsidiaries (collectively referred to as the "Company," "we," "us," or "our") own and operate entertainment businesses and assets. The Company is comprised of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five national programming networks, our streaming services, our AMC Studios operation and our film 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International</w:t>
      </w:r>
      <w:r>
        <w:rPr>
          <w:rFonts w:ascii="Times New Roman;sans-serif" w:hAnsi="Times New Roman;sans-serif"/>
          <w:b w:val="false"/>
          <w:color w:val="000000"/>
          <w:sz w:val="20"/>
        </w:rPr>
        <w:t xml:space="preserve">: AMC Networks International ("AMCNI"), our international programming businesses consisting of a portfolio of channels distributed around the world.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updated the name of its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business entities in which the Company lacks control but does have the ability to exercise significant influence over operating and financial policies are accounted for using the equity method of accounting.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Interim Financial Statements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2023 contained in the Company's Annual Report on Form 10-K (our "2023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the results that might be expected for future interim periods or for the full year ending December 31, 2024.</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were made to the prior period amounts to conform to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Financial Accounting Standards Board ("FASB") issued Accounting Standards Update ("ASU") No. 2023-09, Income Taxes (Topic 740): Improvements to Income Tax Disclosures. ASU 2023-09 is intended to enhance the transparency and decision usefulness of income tax information through improvements to income tax disclosures primarily related to the rate reconciliation and income taxes paid information. The Company will incorporate the required disclosure updates for the 2025 annual financial statements.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(Topic 280): Improvements to Reportable Segment Disclosures,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Company will incorporate the required disclosure updates for the 2024 annual financial statements. </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Transaction Price Allocated to Future Performance Obligations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As of June 30, 2024, other than contracts for which the Company has applied the practical expedients, the aggregate amount of transaction price allocated to future performance obligations was </w:t>
      </w:r>
      <w:r>
        <w:rPr>
          <w:rFonts w:ascii="Times New Roman;sans-serif" w:hAnsi="Times New Roman;sans-serif"/>
          <w:b w:val="false"/>
          <w:color w:val="000000"/>
          <w:sz w:val="20"/>
          <w:shd w:fill="FFFFFF" w:val="clear"/>
        </w:rPr>
        <w:t>not material</w:t>
      </w:r>
      <w:r>
        <w:rPr>
          <w:color w:val="000000"/>
        </w:rPr>
        <w:t xml:space="preserve"> </w:t>
      </w:r>
      <w:r>
        <w:rPr>
          <w:rFonts w:ascii="Times New Roman;sans-serif" w:hAnsi="Times New Roman;sans-serif"/>
          <w:b w:val="false"/>
          <w:color w:val="000000"/>
          <w:sz w:val="20"/>
        </w:rPr>
        <w:t>to our consolidated revenues.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Contract Balances from Contracts with Customers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receivables, contract assets, and contract liabilities from contracts with customers. </w:t>
      </w:r>
    </w:p>
    <w:tbl>
      <w:tblPr>
        <w:tblW w:w="10205" w:type="dxa"/>
        <w:jc w:val="left"/>
        <w:tblInd w:w="0" w:type="dxa"/>
        <w:tblLayout w:type="fixed"/>
        <w:tblCellMar>
          <w:top w:w="28" w:type="dxa"/>
          <w:left w:w="28" w:type="dxa"/>
          <w:bottom w:w="28" w:type="dxa"/>
          <w:right w:w="28" w:type="dxa"/>
        </w:tblCellMar>
      </w:tblPr>
      <w:tblGrid>
        <w:gridCol w:w="2471"/>
        <w:gridCol w:w="2173"/>
        <w:gridCol w:w="2177"/>
        <w:gridCol w:w="109"/>
        <w:gridCol w:w="109"/>
        <w:gridCol w:w="109"/>
        <w:gridCol w:w="211"/>
        <w:gridCol w:w="832"/>
        <w:gridCol w:w="109"/>
        <w:gridCol w:w="109"/>
        <w:gridCol w:w="109"/>
        <w:gridCol w:w="109"/>
        <w:gridCol w:w="278"/>
        <w:gridCol w:w="1093"/>
        <w:gridCol w:w="207"/>
      </w:tblGrid>
      <w:tr>
        <w:trPr/>
        <w:tc>
          <w:tcPr>
            <w:tcW w:w="2471"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(including long-term receivables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750,390 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assets, short-term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liabilities, short-term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Revenue recognized for the six months ended June 30, 2024 and 2023 relating to the contract liabilities at December 31, 2023 and 2022 was $38.8 million </w:t>
      </w:r>
      <w:r>
        <w:rPr>
          <w:rFonts w:ascii="Times New Roman;sans-serif" w:hAnsi="Times New Roman;sans-serif"/>
          <w:b w:val="false"/>
          <w:color w:val="000000"/>
          <w:sz w:val="20"/>
          <w:shd w:fill="FFFFFF" w:val="clear"/>
        </w:rPr>
        <w:t>and $97.4 million, respectively</w:t>
      </w:r>
      <w:r>
        <w:rPr>
          <w:rFonts w:ascii="Times New Roman;sans-serif" w:hAnsi="Times New Roman;sans-serif"/>
          <w:b w:val="false"/>
          <w:color w:val="000000"/>
          <w:sz w:val="20"/>
        </w:rPr>
        <w:t xml:space="preserve">. </w:t>
      </w:r>
    </w:p>
    <w:p>
      <w:pPr>
        <w:pStyle w:val="TextBody"/>
        <w:bidi w:val="0"/>
        <w:spacing w:lineRule="auto" w:line="276"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and six months ended June 30, 2024, we recognized revenues of $13.4 million for a one-time retroactive adjustment reported and paid by a third party, for which our performance obligation was satisfied in a prior period.</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 xml:space="preserve">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the Company had not yet sold any customer receivables under this agreement.</w:t>
      </w:r>
    </w:p>
    <w:p>
      <w:pPr>
        <w:pStyle w:val="TextBody"/>
        <w:bidi w:val="0"/>
        <w:spacing w:before="120" w:after="120"/>
        <w:ind w:left="0" w:right="0" w:firstLine="495"/>
        <w:jc w:val="both"/>
        <w:rPr/>
      </w:pPr>
      <w:r>
        <w:rPr/>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3. Net Income per Share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per basic share is based upon net income (loss) attributable to AMC Networks' stockholders divided by the weighted average number of shares of Class A and Class B Common Stock outstanding during the period. Net income (loss) per diluted share reflects the dilutive effects of AMC Networks' outstanding equity-based awards and the assumed conversion of the 4.25% Convertible Senior Notes due 2029 (the "Convertible Notes") issued in June 2024. </w:t>
      </w:r>
    </w:p>
    <w:tbl>
      <w:tblPr>
        <w:tblW w:w="10205" w:type="dxa"/>
        <w:jc w:val="left"/>
        <w:tblInd w:w="0" w:type="dxa"/>
        <w:tblLayout w:type="fixed"/>
        <w:tblCellMar>
          <w:top w:w="28" w:type="dxa"/>
          <w:left w:w="28" w:type="dxa"/>
          <w:bottom w:w="28" w:type="dxa"/>
          <w:right w:w="28" w:type="dxa"/>
        </w:tblCellMar>
      </w:tblPr>
      <w:tblGrid>
        <w:gridCol w:w="1839"/>
        <w:gridCol w:w="1510"/>
        <w:gridCol w:w="1515"/>
        <w:gridCol w:w="211"/>
        <w:gridCol w:w="765"/>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6"/>
      </w:tblGrid>
      <w:tr>
        <w:trPr/>
        <w:tc>
          <w:tcPr>
            <w:tcW w:w="183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864" w:type="dxa"/>
            <w:gridSpan w:val="3"/>
            <w:vMerge w:val="continue"/>
            <w:tcBorders/>
            <w:tcMar>
              <w:top w:w="0" w:type="dxa"/>
              <w:left w:w="0" w:type="dxa"/>
              <w:bottom w:w="0" w:type="dxa"/>
              <w:right w:w="0" w:type="dxa"/>
            </w:tcMar>
            <w:vAlign w:val="center"/>
          </w:tcPr>
          <w:p>
            <w:pPr>
              <w:pStyle w:val="Normal"/>
              <w:bidi w:val="0"/>
              <w:jc w:val="left"/>
              <w:rPr/>
            </w:pPr>
            <w:r>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AMC Networks' stockholders used for basic net income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Convertible Notes interest expense,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AMC Networks' stockholders used for diluted net income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dilution:</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AMC Networks' stockholders: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all 3.4 million of our restricted stock units and the weighted average impact of 11.3 million common shares related to the assumed conversion of the Company's Convertible Notes were excluded from the calculation of diluted net income (loss) per share because their inclusion would have been antidilutive since we reported a net loss. </w:t>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 xml:space="preserve">For the six months ended June 30, 2024,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 xml:space="preserve">of restricted stock units have been excluded from the diluted weighted average common shares outstanding, as their impact would have been antidilutive. </w:t>
      </w:r>
    </w:p>
    <w:p>
      <w:pPr>
        <w:pStyle w:val="TextBody"/>
        <w:bidi w:val="0"/>
        <w:spacing w:lineRule="auto" w:line="26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2.1 million of restricted stock units have been excluded from diluted weighted average common shares outstanding, as their impact would have been antidilutive. </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The Company's Board of Directors previously authorized a program to repurchase up to </w:t>
      </w:r>
      <w:r>
        <w:rPr>
          <w:rFonts w:ascii="Times New Roman;sans-serif" w:hAnsi="Times New Roman;sans-serif"/>
          <w:b w:val="false"/>
          <w:color w:val="000000"/>
          <w:sz w:val="20"/>
          <w:shd w:fill="FFFFFF" w:val="clear"/>
        </w:rPr>
        <w:t>$1.5 billion</w:t>
      </w:r>
      <w:r>
        <w:rPr>
          <w:color w:val="000000"/>
        </w:rPr>
        <w:t xml:space="preserve"> </w:t>
      </w:r>
      <w:r>
        <w:rPr>
          <w:rFonts w:ascii="Times New Roman;sans-serif" w:hAnsi="Times New Roman;sans-serif"/>
          <w:b w:val="false"/>
          <w:color w:val="000000"/>
          <w:sz w:val="20"/>
        </w:rPr>
        <w:t xml:space="preserve">of its outstanding shares of common stock (the "Stock Repurchase Program"). The Stock Repurchase Program has no pre-established closing date and may be suspended or discontinued at any time. For the three and six months ended June 30, 2024 and 2023, the Company did not repurchase any shares of its Class A Common Stock. As of June 30, 2024,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4. Restructuring and Other Related Charges</w:t>
      </w:r>
    </w:p>
    <w:p>
      <w:pPr>
        <w:pStyle w:val="TextBody"/>
        <w:bidi w:val="0"/>
        <w:spacing w:lineRule="auto" w:line="268" w:before="120" w:after="120"/>
        <w:ind w:left="0" w:right="0" w:firstLine="495"/>
        <w:jc w:val="both"/>
        <w:rPr/>
      </w:pPr>
      <w:r>
        <w:rPr>
          <w:rFonts w:ascii="Times New Roman;sans-serif" w:hAnsi="Times New Roman;sans-serif"/>
          <w:b w:val="false"/>
          <w:color w:val="000000"/>
          <w:sz w:val="20"/>
          <w:shd w:fill="FFFFFF" w:val="clear"/>
        </w:rPr>
        <w:t xml:space="preserve">Restructuring and other related charges were </w:t>
      </w:r>
      <w:r>
        <w:rPr>
          <w:rFonts w:ascii="Times New Roman;sans-serif" w:hAnsi="Times New Roman;sans-serif"/>
          <w:b w:val="false"/>
          <w:color w:val="000000"/>
          <w:sz w:val="20"/>
        </w:rPr>
        <w:t>$2.9 million</w:t>
      </w:r>
      <w:r>
        <w:rPr>
          <w:color w:val="000000"/>
          <w:shd w:fill="FFFFFF" w:val="clear"/>
        </w:rPr>
        <w:t xml:space="preserve"> </w:t>
      </w:r>
      <w:r>
        <w:rPr>
          <w:rFonts w:ascii="Times New Roman;sans-serif" w:hAnsi="Times New Roman;sans-serif"/>
          <w:b w:val="false"/>
          <w:color w:val="000000"/>
          <w:sz w:val="20"/>
          <w:shd w:fill="FFFFFF" w:val="clear"/>
        </w:rPr>
        <w:t>for t</w:t>
      </w:r>
      <w:r>
        <w:rPr>
          <w:rFonts w:ascii="Times New Roman;sans-serif" w:hAnsi="Times New Roman;sans-serif"/>
          <w:b w:val="false"/>
          <w:color w:val="000000"/>
          <w:sz w:val="20"/>
        </w:rPr>
        <w:t>he three and six months ended June 30, 2024, consisting</w:t>
      </w:r>
      <w:r>
        <w:rPr>
          <w:color w:val="000000"/>
          <w:shd w:fill="FFFFFF" w:val="clear"/>
        </w:rPr>
        <w:t xml:space="preserve"> </w:t>
      </w:r>
      <w:r>
        <w:rPr>
          <w:rFonts w:ascii="Times New Roman;sans-serif" w:hAnsi="Times New Roman;sans-serif"/>
          <w:b w:val="false"/>
          <w:color w:val="000000"/>
          <w:sz w:val="20"/>
          <w:shd w:fill="FFFFFF" w:val="clear"/>
        </w:rPr>
        <w:t>primarily of content impairments in connection wit</w:t>
      </w:r>
      <w:r>
        <w:rPr>
          <w:rFonts w:ascii="Times New Roman;sans-serif" w:hAnsi="Times New Roman;sans-serif"/>
          <w:b w:val="false"/>
          <w:color w:val="000000"/>
          <w:sz w:val="20"/>
        </w:rPr>
        <w:t>h WE tv shifting to a reduced originals strategy, a</w:t>
      </w:r>
      <w:r>
        <w:rPr>
          <w:rFonts w:ascii="Times New Roman;sans-serif" w:hAnsi="Times New Roman;sans-serif"/>
          <w:b w:val="false"/>
          <w:color w:val="000000"/>
          <w:sz w:val="20"/>
          <w:shd w:fill="FFFFFF" w:val="clear"/>
        </w:rPr>
        <w:t>nd severance costs.</w:t>
      </w:r>
    </w:p>
    <w:p>
      <w:pPr>
        <w:pStyle w:val="TextBody"/>
        <w:bidi w:val="0"/>
        <w:spacing w:lineRule="auto" w:line="268" w:before="120" w:after="120"/>
        <w:ind w:left="0" w:right="0" w:firstLine="495"/>
        <w:jc w:val="both"/>
        <w:rPr/>
      </w:pPr>
      <w:r>
        <w:rPr>
          <w:rFonts w:ascii="Times New Roman;sans-serif" w:hAnsi="Times New Roman;sans-serif"/>
          <w:b w:val="false"/>
          <w:color w:val="000000"/>
          <w:sz w:val="20"/>
          <w:shd w:fill="FFFFFF" w:val="clear"/>
        </w:rPr>
        <w:t xml:space="preserve">Restructuring and other related charges were </w:t>
      </w:r>
      <w:r>
        <w:rPr>
          <w:rFonts w:ascii="Times New Roman;sans-serif" w:hAnsi="Times New Roman;sans-serif"/>
          <w:b w:val="false"/>
          <w:color w:val="000000"/>
          <w:sz w:val="20"/>
        </w:rPr>
        <w:t>$6.0 million</w:t>
      </w:r>
      <w:r>
        <w:rPr>
          <w:color w:val="000000"/>
          <w:shd w:fill="FFFFFF" w:val="clear"/>
        </w:rPr>
        <w:t xml:space="preserve"> </w:t>
      </w:r>
      <w:r>
        <w:rPr>
          <w:rFonts w:ascii="Times New Roman;sans-serif" w:hAnsi="Times New Roman;sans-serif"/>
          <w:b w:val="false"/>
          <w:color w:val="000000"/>
          <w:sz w:val="20"/>
          <w:shd w:fill="FFFFFF" w:val="clear"/>
        </w:rPr>
        <w:t>and $12.0 million for t</w:t>
      </w:r>
      <w:r>
        <w:rPr>
          <w:rFonts w:ascii="Times New Roman;sans-serif" w:hAnsi="Times New Roman;sans-serif"/>
          <w:b w:val="false"/>
          <w:color w:val="000000"/>
          <w:sz w:val="20"/>
        </w:rPr>
        <w:t>he three and six months ended June 30, 2023</w:t>
      </w:r>
      <w:r>
        <w:rPr>
          <w:rFonts w:ascii="Times New Roman;sans-serif" w:hAnsi="Times New Roman;sans-serif"/>
          <w:b w:val="false"/>
          <w:color w:val="000000"/>
          <w:sz w:val="20"/>
          <w:shd w:fill="FFFFFF" w:val="clear"/>
        </w:rPr>
        <w:t xml:space="preserve">, respectively, consisting primarily of severance and other personnel costs related to a restructuring plan (the "Plan") that commenced on November 28, 2022. The Plan was designed to </w:t>
      </w:r>
      <w:r>
        <w:rPr>
          <w:rFonts w:ascii="Times New Roman;sans-serif" w:hAnsi="Times New Roman;sans-serif"/>
          <w:b w:val="false"/>
          <w:color w:val="000000"/>
          <w:sz w:val="20"/>
        </w:rPr>
        <w:t>achieve significant cost reductions</w:t>
      </w:r>
      <w:r>
        <w:rPr>
          <w:color w:val="000000"/>
          <w:shd w:fill="FFFFFF" w:val="clear"/>
        </w:rPr>
        <w:t xml:space="preserve"> </w:t>
      </w:r>
      <w:r>
        <w:rPr>
          <w:rFonts w:ascii="Times New Roman;sans-serif" w:hAnsi="Times New Roman;sans-serif"/>
          <w:b w:val="false"/>
          <w:color w:val="000000"/>
          <w:sz w:val="20"/>
          <w:shd w:fill="FFFFFF" w:val="clear"/>
        </w:rPr>
        <w:t xml:space="preserve">in light of “cord cutting” and the related impacts being felt across the media industry as well as the broader economic outlook. The Plan encompassed </w:t>
      </w:r>
      <w:r>
        <w:rPr>
          <w:rFonts w:ascii="Times New Roman;sans-serif" w:hAnsi="Times New Roman;sans-serif"/>
          <w:b w:val="false"/>
          <w:color w:val="000000"/>
          <w:sz w:val="20"/>
        </w:rPr>
        <w:t>initiatives that included, among other things, strategic programming assessments and organizational restructuring costs</w:t>
      </w:r>
      <w:r>
        <w:rPr>
          <w:rFonts w:ascii="Times New Roman;sans-serif" w:hAnsi="Times New Roman;sans-serif"/>
          <w:b w:val="false"/>
          <w:color w:val="000000"/>
          <w:sz w:val="20"/>
          <w:shd w:fill="FFFFFF" w:val="clear"/>
        </w:rPr>
        <w:t xml:space="preserve">. The Plan was intended to improve the organizational design of the Company through the elimination of certain roles and centralization of certain functional areas of the Company. The programming assessments pertained to a broad mix of owned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6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and licensed content, including legacy television series and films that will no longer be in active rotation on the Company’s linear or streaming platforms.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and other related charges recognized by operating segment:</w:t>
      </w:r>
    </w:p>
    <w:tbl>
      <w:tblPr>
        <w:tblW w:w="8824" w:type="dxa"/>
        <w:jc w:val="left"/>
        <w:tblInd w:w="0" w:type="dxa"/>
        <w:tblLayout w:type="fixed"/>
        <w:tblCellMar>
          <w:top w:w="28" w:type="dxa"/>
          <w:left w:w="28" w:type="dxa"/>
          <w:bottom w:w="28" w:type="dxa"/>
          <w:right w:w="28" w:type="dxa"/>
        </w:tblCellMar>
      </w:tblPr>
      <w:tblGrid>
        <w:gridCol w:w="1339"/>
        <w:gridCol w:w="1182"/>
        <w:gridCol w:w="1184"/>
        <w:gridCol w:w="234"/>
        <w:gridCol w:w="685"/>
        <w:gridCol w:w="121"/>
        <w:gridCol w:w="121"/>
        <w:gridCol w:w="121"/>
        <w:gridCol w:w="121"/>
        <w:gridCol w:w="234"/>
        <w:gridCol w:w="685"/>
        <w:gridCol w:w="121"/>
        <w:gridCol w:w="109"/>
        <w:gridCol w:w="109"/>
        <w:gridCol w:w="109"/>
        <w:gridCol w:w="211"/>
        <w:gridCol w:w="616"/>
        <w:gridCol w:w="109"/>
        <w:gridCol w:w="109"/>
        <w:gridCol w:w="109"/>
        <w:gridCol w:w="109"/>
        <w:gridCol w:w="211"/>
        <w:gridCol w:w="72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705" w:type="dxa"/>
            <w:gridSpan w:val="3"/>
            <w:vMerge w:val="continue"/>
            <w:tcBorders/>
            <w:tcMar>
              <w:top w:w="0" w:type="dxa"/>
              <w:left w:w="0" w:type="dxa"/>
              <w:bottom w:w="0" w:type="dxa"/>
              <w:right w:w="0" w:type="dxa"/>
            </w:tcMar>
            <w:vAlign w:val="center"/>
          </w:tcPr>
          <w:p>
            <w:pPr>
              <w:pStyle w:val="Normal"/>
              <w:bidi w:val="0"/>
              <w:jc w:val="left"/>
              <w:rPr/>
            </w:pPr>
            <w:r>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other related charges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accrued restructuring and other related costs:</w:t>
      </w:r>
    </w:p>
    <w:tbl>
      <w:tblPr>
        <w:tblW w:w="10205" w:type="dxa"/>
        <w:jc w:val="left"/>
        <w:tblInd w:w="0" w:type="dxa"/>
        <w:tblLayout w:type="fixed"/>
        <w:tblCellMar>
          <w:top w:w="28" w:type="dxa"/>
          <w:left w:w="28" w:type="dxa"/>
          <w:bottom w:w="28" w:type="dxa"/>
          <w:right w:w="28" w:type="dxa"/>
        </w:tblCellMar>
      </w:tblPr>
      <w:tblGrid>
        <w:gridCol w:w="887"/>
        <w:gridCol w:w="752"/>
        <w:gridCol w:w="755"/>
        <w:gridCol w:w="657"/>
        <w:gridCol w:w="1919"/>
        <w:gridCol w:w="341"/>
        <w:gridCol w:w="109"/>
        <w:gridCol w:w="109"/>
        <w:gridCol w:w="109"/>
        <w:gridCol w:w="708"/>
        <w:gridCol w:w="2074"/>
        <w:gridCol w:w="368"/>
        <w:gridCol w:w="109"/>
        <w:gridCol w:w="109"/>
        <w:gridCol w:w="109"/>
        <w:gridCol w:w="211"/>
        <w:gridCol w:w="721"/>
        <w:gridCol w:w="158"/>
      </w:tblGrid>
      <w:tr>
        <w:trPr/>
        <w:tc>
          <w:tcPr>
            <w:tcW w:w="88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and Employee-Related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Content Impairments and 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2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w:t>
            </w:r>
          </w:p>
        </w:tc>
        <w:tc>
          <w:tcPr>
            <w:tcW w:w="2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restructuring and other related costs of $5.4 million are included in Accrued liabilities in the condensed consolidated balance sheet at June 30, 2024. Accrued restructuring and other related costs of $12.1 million and $1.6 million are included in Accrued liabilities and Other liabilities, respectively, in the condensed consolidated balance sheet at December 31, 2023. </w:t>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5. Program Rights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capitalized produced and licensed content by predominant monetization strategy is as follows:</w:t>
      </w:r>
    </w:p>
    <w:tbl>
      <w:tblPr>
        <w:tblW w:w="10205" w:type="dxa"/>
        <w:jc w:val="left"/>
        <w:tblInd w:w="0" w:type="dxa"/>
        <w:tblLayout w:type="fixed"/>
        <w:tblCellMar>
          <w:top w:w="28" w:type="dxa"/>
          <w:left w:w="28" w:type="dxa"/>
          <w:bottom w:w="28" w:type="dxa"/>
          <w:right w:w="28" w:type="dxa"/>
        </w:tblCellMar>
      </w:tblPr>
      <w:tblGrid>
        <w:gridCol w:w="1119"/>
        <w:gridCol w:w="830"/>
        <w:gridCol w:w="833"/>
        <w:gridCol w:w="559"/>
        <w:gridCol w:w="1918"/>
        <w:gridCol w:w="292"/>
        <w:gridCol w:w="109"/>
        <w:gridCol w:w="109"/>
        <w:gridCol w:w="109"/>
        <w:gridCol w:w="431"/>
        <w:gridCol w:w="1999"/>
        <w:gridCol w:w="225"/>
        <w:gridCol w:w="109"/>
        <w:gridCol w:w="109"/>
        <w:gridCol w:w="109"/>
        <w:gridCol w:w="211"/>
        <w:gridCol w:w="976"/>
        <w:gridCol w:w="158"/>
      </w:tblGrid>
      <w:tr>
        <w:trPr/>
        <w:tc>
          <w:tcPr>
            <w:tcW w:w="11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97,148 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252,746 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97,148 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877,264 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594,298 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823,123 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1,790,978 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1,798,067 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vAlign w:val="center"/>
          </w:tcPr>
          <w:p>
            <w:pPr>
              <w:pStyle w:val="TableContents"/>
              <w:bidi w:val="0"/>
              <w:spacing w:before="0" w:after="283"/>
              <w:jc w:val="left"/>
              <w:rPr>
                <w:sz w:val="4"/>
                <w:szCs w:val="4"/>
              </w:rPr>
            </w:pPr>
            <w:r>
              <w:rPr>
                <w:sz w:val="4"/>
                <w:szCs w:val="4"/>
              </w:rPr>
            </w:r>
          </w:p>
        </w:tc>
        <w:tc>
          <w:tcPr>
            <w:tcW w:w="2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119"/>
        <w:gridCol w:w="830"/>
        <w:gridCol w:w="833"/>
        <w:gridCol w:w="508"/>
        <w:gridCol w:w="1995"/>
        <w:gridCol w:w="265"/>
        <w:gridCol w:w="109"/>
        <w:gridCol w:w="109"/>
        <w:gridCol w:w="109"/>
        <w:gridCol w:w="431"/>
        <w:gridCol w:w="1999"/>
        <w:gridCol w:w="225"/>
        <w:gridCol w:w="109"/>
        <w:gridCol w:w="109"/>
        <w:gridCol w:w="109"/>
        <w:gridCol w:w="211"/>
        <w:gridCol w:w="976"/>
        <w:gridCol w:w="159"/>
      </w:tblGrid>
      <w:tr>
        <w:trPr/>
        <w:tc>
          <w:tcPr>
            <w:tcW w:w="111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532,839 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672,202 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139,363 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817,294 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956,657 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other production costs</w:t>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5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851,348 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853,876 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141,891 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1,668,642 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1,802,653 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1,810,533 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including write-offs, of owned and licensed program rights, included in Technical and operating expenses in the condensed consolidated statements of income (loss), is as follows:</w:t>
      </w:r>
    </w:p>
    <w:tbl>
      <w:tblPr>
        <w:tblW w:w="10205" w:type="dxa"/>
        <w:jc w:val="left"/>
        <w:tblInd w:w="0" w:type="dxa"/>
        <w:tblLayout w:type="fixed"/>
        <w:tblCellMar>
          <w:top w:w="28" w:type="dxa"/>
          <w:left w:w="28" w:type="dxa"/>
          <w:bottom w:w="28" w:type="dxa"/>
          <w:right w:w="28" w:type="dxa"/>
        </w:tblCellMar>
      </w:tblPr>
      <w:tblGrid>
        <w:gridCol w:w="497"/>
        <w:gridCol w:w="320"/>
        <w:gridCol w:w="321"/>
        <w:gridCol w:w="273"/>
        <w:gridCol w:w="903"/>
        <w:gridCol w:w="152"/>
        <w:gridCol w:w="109"/>
        <w:gridCol w:w="109"/>
        <w:gridCol w:w="109"/>
        <w:gridCol w:w="247"/>
        <w:gridCol w:w="933"/>
        <w:gridCol w:w="140"/>
        <w:gridCol w:w="109"/>
        <w:gridCol w:w="109"/>
        <w:gridCol w:w="109"/>
        <w:gridCol w:w="196"/>
        <w:gridCol w:w="736"/>
        <w:gridCol w:w="109"/>
        <w:gridCol w:w="109"/>
        <w:gridCol w:w="109"/>
        <w:gridCol w:w="109"/>
        <w:gridCol w:w="273"/>
        <w:gridCol w:w="903"/>
        <w:gridCol w:w="152"/>
        <w:gridCol w:w="109"/>
        <w:gridCol w:w="109"/>
        <w:gridCol w:w="109"/>
        <w:gridCol w:w="247"/>
        <w:gridCol w:w="933"/>
        <w:gridCol w:w="140"/>
        <w:gridCol w:w="109"/>
        <w:gridCol w:w="109"/>
        <w:gridCol w:w="109"/>
        <w:gridCol w:w="196"/>
        <w:gridCol w:w="736"/>
        <w:gridCol w:w="163"/>
      </w:tblGrid>
      <w:tr>
        <w:trPr/>
        <w:tc>
          <w:tcPr>
            <w:tcW w:w="4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78,564 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138,670 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116,086 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232,049 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17,514 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194,650 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43,997 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370,719 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414,716 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7"/>
        <w:gridCol w:w="320"/>
        <w:gridCol w:w="321"/>
        <w:gridCol w:w="273"/>
        <w:gridCol w:w="903"/>
        <w:gridCol w:w="152"/>
        <w:gridCol w:w="109"/>
        <w:gridCol w:w="109"/>
        <w:gridCol w:w="109"/>
        <w:gridCol w:w="247"/>
        <w:gridCol w:w="933"/>
        <w:gridCol w:w="140"/>
        <w:gridCol w:w="109"/>
        <w:gridCol w:w="109"/>
        <w:gridCol w:w="109"/>
        <w:gridCol w:w="196"/>
        <w:gridCol w:w="736"/>
        <w:gridCol w:w="109"/>
        <w:gridCol w:w="109"/>
        <w:gridCol w:w="109"/>
        <w:gridCol w:w="109"/>
        <w:gridCol w:w="273"/>
        <w:gridCol w:w="903"/>
        <w:gridCol w:w="152"/>
        <w:gridCol w:w="109"/>
        <w:gridCol w:w="109"/>
        <w:gridCol w:w="109"/>
        <w:gridCol w:w="247"/>
        <w:gridCol w:w="933"/>
        <w:gridCol w:w="140"/>
        <w:gridCol w:w="109"/>
        <w:gridCol w:w="109"/>
        <w:gridCol w:w="109"/>
        <w:gridCol w:w="196"/>
        <w:gridCol w:w="736"/>
        <w:gridCol w:w="163"/>
      </w:tblGrid>
      <w:tr>
        <w:trPr/>
        <w:tc>
          <w:tcPr>
            <w:tcW w:w="4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Owned original program rights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59,528 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80,831 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101,747 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182,578 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Licensed program rights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amortization</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59,999 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183,314 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82,966 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347,420 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430,386 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495"/>
        <w:jc w:val="both"/>
        <w:rPr/>
      </w:pPr>
      <w:r>
        <w:rPr>
          <w:rFonts w:ascii="Times New Roman;sans-serif" w:hAnsi="Times New Roman;sans-serif"/>
          <w:b w:val="false"/>
          <w:color w:val="000000"/>
          <w:sz w:val="20"/>
          <w:shd w:fill="FFFFFF" w:val="clear"/>
        </w:rPr>
        <w:t>For programming rights predominantly monetized individually or as a group, 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condensed consolidated statements of income (loss). Program rights with no future programming usefulness are substantively abandoned resulting in the write-off of remaining unamortized cost. There were</w:t>
      </w:r>
      <w:r>
        <w:rPr>
          <w:color w:val="000000"/>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significant program rights write-offs included in technical and operating expenses f</w:t>
      </w:r>
      <w:r>
        <w:rPr>
          <w:rFonts w:ascii="Times New Roman;sans-serif" w:hAnsi="Times New Roman;sans-serif"/>
          <w:b w:val="false"/>
          <w:color w:val="000000"/>
          <w:sz w:val="20"/>
        </w:rPr>
        <w:t>or the three and six months ended June 30, 2024 or 2023.</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may qualify for tax incentives through eligible investments in productions. Receivables related to tax incentives earned on production spend as of June 30, 2024 consisted of $196.1 million recorded in Prepaid expenses and other current assets and $38.6 million recorded in Other assets. Receivables related to tax incentives earned on production spend as of December 31, 2023 consisted of $230.3 million recorded in Prepaid expenses and other current assets and $49.9 million recorded in Other assets.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Investments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several investments in and loans to non-consolidated entities which are included in Other assets in the condensed consolidated balance sheet.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Equity method investments were</w:t>
      </w:r>
      <w:r>
        <w:rPr>
          <w:color w:val="000000"/>
          <w:shd w:fill="FFFFFF" w:val="clear"/>
        </w:rPr>
        <w:t xml:space="preserve"> </w:t>
      </w:r>
      <w:r>
        <w:rPr>
          <w:rFonts w:ascii="Times New Roman;sans-serif" w:hAnsi="Times New Roman;sans-serif"/>
          <w:b w:val="false"/>
          <w:color w:val="000000"/>
          <w:sz w:val="20"/>
        </w:rPr>
        <w:t>$85.7 million</w:t>
      </w:r>
      <w:r>
        <w:rPr>
          <w:color w:val="000000"/>
          <w:shd w:fill="FFFFFF" w:val="clear"/>
        </w:rPr>
        <w:t xml:space="preserve"> </w:t>
      </w:r>
      <w:r>
        <w:rPr>
          <w:rFonts w:ascii="Times New Roman;sans-serif" w:hAnsi="Times New Roman;sans-serif"/>
          <w:b w:val="false"/>
          <w:color w:val="000000"/>
          <w:sz w:val="20"/>
        </w:rPr>
        <w:t>and $83.1 million at June 30, 2024 and December 31, 2023, respectively.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Non-marketable Equity Securities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Investments in non-marketable equity securities were </w:t>
      </w:r>
      <w:r>
        <w:rPr>
          <w:rFonts w:ascii="Times New Roman;sans-serif" w:hAnsi="Times New Roman;sans-serif"/>
          <w:b w:val="false"/>
          <w:color w:val="000000"/>
          <w:sz w:val="20"/>
          <w:shd w:fill="FFFFFF" w:val="clear"/>
        </w:rPr>
        <w:t>$42.6 million and $41.6 million a</w:t>
      </w:r>
      <w:r>
        <w:rPr>
          <w:rFonts w:ascii="Times New Roman;sans-serif" w:hAnsi="Times New Roman;sans-serif"/>
          <w:b w:val="false"/>
          <w:color w:val="000000"/>
          <w:sz w:val="20"/>
        </w:rPr>
        <w:t>t June 30, 2024 and December 31, 2023, respectively. No gains or losses were recorded on non-marketable equity securities for the three and six months ended June 30, 2024. During the three and six months ended June 30, 2023, the Company recognized impairment charges of $0.5 million and $1.7 million, respectively, on certain investments, which is included in Miscellaneous, net in the condensed consolidated statements of income (loss).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7. Goodwill and Other Intangible Assets</w:t>
      </w:r>
    </w:p>
    <w:p>
      <w:pPr>
        <w:pStyle w:val="TextBody"/>
        <w:bidi w:val="0"/>
        <w:spacing w:lineRule="auto" w:line="288" w:before="120" w:after="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by operating segment is as follows:</w:t>
      </w:r>
    </w:p>
    <w:tbl>
      <w:tblPr>
        <w:tblW w:w="7116" w:type="dxa"/>
        <w:jc w:val="left"/>
        <w:tblInd w:w="0" w:type="dxa"/>
        <w:tblLayout w:type="fixed"/>
        <w:tblCellMar>
          <w:top w:w="28" w:type="dxa"/>
          <w:left w:w="28" w:type="dxa"/>
          <w:bottom w:w="28" w:type="dxa"/>
          <w:right w:w="28" w:type="dxa"/>
        </w:tblCellMar>
      </w:tblPr>
      <w:tblGrid>
        <w:gridCol w:w="872"/>
        <w:gridCol w:w="770"/>
        <w:gridCol w:w="773"/>
        <w:gridCol w:w="315"/>
        <w:gridCol w:w="1233"/>
        <w:gridCol w:w="162"/>
        <w:gridCol w:w="109"/>
        <w:gridCol w:w="109"/>
        <w:gridCol w:w="109"/>
        <w:gridCol w:w="211"/>
        <w:gridCol w:w="826"/>
        <w:gridCol w:w="109"/>
        <w:gridCol w:w="109"/>
        <w:gridCol w:w="109"/>
        <w:gridCol w:w="109"/>
        <w:gridCol w:w="211"/>
        <w:gridCol w:w="82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and other charges for the three and six months ended June 30, 2024 included a $68.0 million goodwill impairment charge at AMCNI, as further discussed below. </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accumulated impairment charges in the International segment totaled $253.5 million and $185.5 million, respectively, inclusive of the 25/7 Media impairment charges recorded in 2023 prior to divestiture.</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relating to the Company's identifiable intangible assets:</w:t>
      </w:r>
    </w:p>
    <w:tbl>
      <w:tblPr>
        <w:tblW w:w="10205" w:type="dxa"/>
        <w:jc w:val="left"/>
        <w:tblInd w:w="0" w:type="dxa"/>
        <w:tblLayout w:type="fixed"/>
        <w:tblCellMar>
          <w:top w:w="28" w:type="dxa"/>
          <w:left w:w="28" w:type="dxa"/>
          <w:bottom w:w="28" w:type="dxa"/>
          <w:right w:w="28" w:type="dxa"/>
        </w:tblCellMar>
      </w:tblPr>
      <w:tblGrid>
        <w:gridCol w:w="1286"/>
        <w:gridCol w:w="1073"/>
        <w:gridCol w:w="1084"/>
        <w:gridCol w:w="211"/>
        <w:gridCol w:w="826"/>
        <w:gridCol w:w="109"/>
        <w:gridCol w:w="109"/>
        <w:gridCol w:w="109"/>
        <w:gridCol w:w="109"/>
        <w:gridCol w:w="326"/>
        <w:gridCol w:w="1377"/>
        <w:gridCol w:w="168"/>
        <w:gridCol w:w="109"/>
        <w:gridCol w:w="109"/>
        <w:gridCol w:w="109"/>
        <w:gridCol w:w="211"/>
        <w:gridCol w:w="826"/>
        <w:gridCol w:w="109"/>
        <w:gridCol w:w="109"/>
        <w:gridCol w:w="109"/>
        <w:gridCol w:w="109"/>
        <w:gridCol w:w="471"/>
        <w:gridCol w:w="471"/>
        <w:gridCol w:w="676"/>
      </w:tblGrid>
      <w:tr>
        <w:trPr/>
        <w:tc>
          <w:tcPr>
            <w:tcW w:w="1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(446,764)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 to 25 years</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to 20 years</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(537,911)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(537,911)</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(421,968)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(507,536)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(507,536)</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Aggregate amortization expense for amortizable intangible assets for the three months ended June 30, 2024 and 2023 was $9.6 million</w:t>
      </w:r>
      <w:r>
        <w:rPr>
          <w:color w:val="000000"/>
          <w:shd w:fill="FFFFFF" w:val="clear"/>
        </w:rPr>
        <w:t xml:space="preserve"> </w:t>
      </w:r>
      <w:r>
        <w:rPr>
          <w:rFonts w:ascii="Times New Roman;sans-serif" w:hAnsi="Times New Roman;sans-serif"/>
          <w:b w:val="false"/>
          <w:color w:val="000000"/>
          <w:sz w:val="20"/>
        </w:rPr>
        <w:t xml:space="preserve">and $10.5 million, respectively, and for the six months ended June 30, 2024 and 2023 was $18.2 million and $20.9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Excluding the $15.7 million impairment charge associated with BBCA recorded in the second quarter of 2024, as discussed below, estimated aggregate amortization expense for intangible assets subject to amortization for each of the following five years is:</w:t>
      </w:r>
    </w:p>
    <w:tbl>
      <w:tblPr>
        <w:tblW w:w="3350" w:type="dxa"/>
        <w:jc w:val="left"/>
        <w:tblInd w:w="0" w:type="dxa"/>
        <w:tblLayout w:type="fixed"/>
        <w:tblCellMar>
          <w:top w:w="28" w:type="dxa"/>
          <w:left w:w="28" w:type="dxa"/>
          <w:bottom w:w="28" w:type="dxa"/>
          <w:right w:w="28" w:type="dxa"/>
        </w:tblCellMar>
      </w:tblPr>
      <w:tblGrid>
        <w:gridCol w:w="818"/>
        <w:gridCol w:w="722"/>
        <w:gridCol w:w="724"/>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Impairment Test of Long-Lived Assets and Goodwill</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and other charges of $96.8 million for the three and six months ended June 30, 2024 primarily consisted of a $68.0 million goodwill impairment charge at AMCNI and $29.2 million of long-lived asset impairment charges at BBCA. Impairment and other charges of $24.9 million for the three and six months ended June 30, 2023 consisted of goodwill and long-lived asset impairment charges at 25/7 Media.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Goodwill is not amortized, but instead is tested for impairment at the reporting unit annually as of December 1, or more frequently upon the occurrence of certain events or substantive changes in circumstances. During the second quarter of 2024, the Company determined that a triggering event had occurred with respect to the Company's decline in stock price. Accordingly, the Company performed quantitative assessments for all reporting units. The fair values were determined using a combination of an income approach, using a discounted cash flow ("DCF") model and a market comparables approach. The DCF model includes significant assumptions about revenue growth rates, long-term growth rates, and enterprise specific discount rates. Additionally, the market comparables approach uses guideline company valuation multiples. Given the uncertainty in determining assumptions underlying the DCF approach, actual results may differ from those used in the valuation</w:t>
      </w:r>
      <w:r>
        <w:rPr>
          <w:rFonts w:ascii="Times New Roman;sans-serif" w:hAnsi="Times New Roman;sans-serif"/>
          <w:b w:val="false"/>
          <w:color w:val="000000"/>
          <w:sz w:val="20"/>
          <w:shd w:fill="FFFFFF" w:val="clear"/>
        </w:rPr>
        <w:t xml:space="preserve">s. </w:t>
      </w:r>
      <w:r>
        <w:rPr>
          <w:rFonts w:ascii="Times New Roman;sans-serif" w:hAnsi="Times New Roman;sans-serif"/>
          <w:b w:val="false"/>
          <w:color w:val="000000"/>
          <w:sz w:val="20"/>
        </w:rPr>
        <w:t>Based on the valuations performed, the Company concluded that the estimated fair value of the AMCNI reporting unit declined to less than its carrying amount. As a result, the Company recognized an impairment charge of</w:t>
      </w:r>
      <w:r>
        <w:rPr>
          <w:color w:val="000000"/>
          <w:shd w:fill="FFFFFF" w:val="clear"/>
        </w:rPr>
        <w:t xml:space="preserve"> </w:t>
      </w:r>
      <w:r>
        <w:rPr>
          <w:rFonts w:ascii="Times New Roman;sans-serif" w:hAnsi="Times New Roman;sans-serif"/>
          <w:b w:val="false"/>
          <w:color w:val="000000"/>
          <w:sz w:val="20"/>
          <w:shd w:fill="FFFFFF" w:val="clear"/>
        </w:rPr>
        <w:t>$68.0 million rel</w:t>
      </w:r>
      <w:r>
        <w:rPr>
          <w:rFonts w:ascii="Times New Roman;sans-serif" w:hAnsi="Times New Roman;sans-serif"/>
          <w:b w:val="false"/>
          <w:color w:val="000000"/>
          <w:sz w:val="20"/>
        </w:rPr>
        <w:t xml:space="preserve">ated to the AMCNI reporting unit, included in Impairment and other charges in the condensed consolidated statements of income (loss). No impairment charges were required for our other reporting unit. </w:t>
      </w:r>
    </w:p>
    <w:p>
      <w:pPr>
        <w:pStyle w:val="TextBody"/>
        <w:bidi w:val="0"/>
        <w:spacing w:lineRule="auto" w:line="26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the second quarter of 2024, given continued market challenges and linear declines, the Company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$15.7 million was recorded for identifiable intangible assets and $13.5 million for other long-lived assets, which is included in Impairment and other charges in the condensed consolidated statements of income (loss) within the Domestic Operations operating segment. Fair values were determined using a market approach. </w:t>
      </w:r>
    </w:p>
    <w:p>
      <w:pPr>
        <w:pStyle w:val="TextBody"/>
        <w:bidi w:val="0"/>
        <w:spacing w:lineRule="auto" w:line="268" w:before="120" w:after="120"/>
        <w:ind w:left="0" w:right="0" w:firstLine="450"/>
        <w:jc w:val="both"/>
        <w:rPr/>
      </w:pPr>
      <w:r>
        <w:rPr>
          <w:rFonts w:ascii="Times New Roman;sans-serif" w:hAnsi="Times New Roman;sans-serif"/>
          <w:b w:val="false"/>
          <w:color w:val="000000"/>
          <w:sz w:val="20"/>
        </w:rPr>
        <w:t>During the second quarter of 2023, and prior to its divestiture in December 2023, the Company revised its outlook for the 25/7 Media business, resulting in lower expected future cash flows.</w:t>
      </w:r>
      <w:r>
        <w:rPr>
          <w:color w:val="000000"/>
        </w:rPr>
        <w:t xml:space="preserve"> </w:t>
      </w:r>
      <w:r>
        <w:rPr>
          <w:rFonts w:ascii="Times New Roman;sans-serif" w:hAnsi="Times New Roman;sans-serif"/>
          <w:b w:val="false"/>
          <w:color w:val="000000"/>
          <w:sz w:val="20"/>
        </w:rPr>
        <w:t xml:space="preserve">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condensed consolidated statements of income (loss) within the International operating segment. Fair values used to determine the impairment charge were determined using an income approach, specifically a DCF model, and a market comparables approach.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the Company also determined that a triggering event had occurred with respect to the 25/7 Media reporting unit, which required an interim goodwill impairment test to be performed. Accordingly, the Company performed a quantitative assessment using an income approach, specifically a DCF model, and a market comparables approach. Based on the valuations performed, a $1.9 million goodwill impairment charge was recorded, which is included in Impairment and other charges in the condensed consolidated statements of income (loss) within the International operating segment.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Note 8. Accrued Liabilities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w:t>
      </w:r>
    </w:p>
    <w:tbl>
      <w:tblPr>
        <w:tblW w:w="5425" w:type="dxa"/>
        <w:jc w:val="left"/>
        <w:tblInd w:w="0" w:type="dxa"/>
        <w:tblLayout w:type="fixed"/>
        <w:tblCellMar>
          <w:top w:w="28" w:type="dxa"/>
          <w:left w:w="28" w:type="dxa"/>
          <w:bottom w:w="28" w:type="dxa"/>
          <w:right w:w="28" w:type="dxa"/>
        </w:tblCellMar>
      </w:tblPr>
      <w:tblGrid>
        <w:gridCol w:w="851"/>
        <w:gridCol w:w="751"/>
        <w:gridCol w:w="753"/>
        <w:gridCol w:w="212"/>
        <w:gridCol w:w="833"/>
        <w:gridCol w:w="109"/>
        <w:gridCol w:w="109"/>
        <w:gridCol w:w="109"/>
        <w:gridCol w:w="109"/>
        <w:gridCol w:w="281"/>
        <w:gridCol w:w="1103"/>
        <w:gridCol w:w="205"/>
      </w:tblGrid>
      <w:tr>
        <w:trPr/>
        <w:tc>
          <w:tcPr>
            <w:tcW w:w="8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related costs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Participations and residuals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164,375 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385,838 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Long-term Debt</w:t>
      </w:r>
    </w:p>
    <w:p>
      <w:pPr>
        <w:pStyle w:val="TextBody"/>
        <w:bidi w:val="0"/>
        <w:spacing w:lineRule="auto" w:line="288" w:before="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long-term debt included in the condensed consolidated balance sheet as follows:</w:t>
      </w:r>
    </w:p>
    <w:tbl>
      <w:tblPr>
        <w:tblW w:w="7952" w:type="dxa"/>
        <w:jc w:val="left"/>
        <w:tblInd w:w="0" w:type="dxa"/>
        <w:tblLayout w:type="fixed"/>
        <w:tblCellMar>
          <w:top w:w="28" w:type="dxa"/>
          <w:left w:w="28" w:type="dxa"/>
          <w:bottom w:w="28" w:type="dxa"/>
          <w:right w:w="28" w:type="dxa"/>
        </w:tblCellMar>
      </w:tblPr>
      <w:tblGrid>
        <w:gridCol w:w="1713"/>
        <w:gridCol w:w="1511"/>
        <w:gridCol w:w="1516"/>
        <w:gridCol w:w="211"/>
        <w:gridCol w:w="976"/>
        <w:gridCol w:w="109"/>
        <w:gridCol w:w="109"/>
        <w:gridCol w:w="109"/>
        <w:gridCol w:w="109"/>
        <w:gridCol w:w="250"/>
        <w:gridCol w:w="1157"/>
        <w:gridCol w:w="182"/>
      </w:tblGrid>
      <w:tr>
        <w:trPr/>
        <w:tc>
          <w:tcPr>
            <w:tcW w:w="171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Credit Facility: </w:t>
            </w:r>
            <w:r>
              <w:rPr>
                <w:rFonts w:ascii="Times New Roman;sans-serif" w:hAnsi="Times New Roman;sans-serif"/>
                <w:b w:val="false"/>
                <w:color w:val="000000"/>
                <w:sz w:val="14"/>
              </w:rPr>
              <w:t>(a)</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August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10.25% Senior Secured Notes due January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Senior Notes due February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Convertible Senior Notes due February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2,382,229 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2,361,749 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2,294,249 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Company's Revolving Credit Facility (as defined below) remained undrawn at June 30, 2024. Total undrawn revolver commitments are available to be drawn for general corporate purposes of the Company.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4.25% Senior Notes due 2029</w:t>
      </w:r>
    </w:p>
    <w:p>
      <w:pPr>
        <w:pStyle w:val="TextBody"/>
        <w:bidi w:val="0"/>
        <w:spacing w:lineRule="auto" w:line="276"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repurchased $15.0 million of its outstanding 4.25% Senior Notes due 2029 through open market repurchases, at a discount of $4.9 million, and retired the repurchased notes. The Company recorded a $4.7 million gain which reflects the discount, net of $0.2 million to write-off a portion of the unamortized discount and deferred financing costs associated with the notes. The $4.7 million gain is included in Gain on extinguishment of debt, net within the condensed consolidated statements of income (loss).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4.25% Convertible Senior Notes due 2029</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the Company completed a private unregistered offering of $143.8 million aggregate principal amount of its Convertible Notes, which amount includes the full exercise of the initial purchasers’ option to purchase additional Convertible Notes. The Company received net proceeds of $139.4 million, after deducting initial purchasers' discounts. The Convertible Notes are guaranteed by each of the Company’s existing and future domestic subsidiaries that guarantee the Company’s credit facilities and the Company’s 4.25% Senior Notes due 2029 and 10.25% Senior Secured Notes due 2029 (the “Guarantors”), subject to certain exceptions, on a senior, unsecured basis.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were issued pursuant to an Indenture, dated as of June 21, 2024 (the “Convertible Notes Indenture”), among the Company, the Guarantors and U.S. Bank Trust Company, National Association, as trustee (“Trustee”).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bear interest at a rate of 4.25% per year, payable semi-annually in arrears on February 15 and August 15 of each year, beginning on February 15, 2025. The Convertible Notes will mature on February 15, 2029, unless earlier redeemed, repurchased or converted.</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Convertible Notes Indenture, the Convertible Notes may be converted at an initial conversion rate of 78.5083 shares of Class A common stock, par value $0.01 per share, of the Company (“Class A Common Stock”) per $1,000 principal amount of Convertible Notes (equivalent to an initial conversion price of approximately $12.74 per share of Class A Common Stock). Upon conversion of the Convertible Notes, the Company will pay or deliver, as the case may be, cash, shares of Class A Common Stock or a combination of cash and shares of Class A Common Stock, at the Company’s election, as described in the Convertible Notes Indenture. Holders of the Convertible Notes may convert their Convertible Notes at their option at any time on or after November 15, 2028 until the close of business on the second scheduled trading day immediately preceding the maturity date. Holders of the Convertible Notes will also have the right to convert the Convertible Notes prior to November 15, 2028, but only upon the occurrence of specified events described in the Convertible Notes Indenture. The conversion rate is subject to antidilution adjustments if certain events occur.</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Prior to August 20, 2027, the Convertible Notes will not be redeemable. On or after August 20, 2027, the Company may redeem for cash all or part of the Convertible Notes (subject to certain exceptions), at its option, if the last reported sale price of the Class A Common Stock has been at least 130% of the conversion price then in effect for at least 20 trading days (whether or not consecutive) during any period of 30 consecutive trading days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not including, the redemption date. No sinking fund is provided for the Convertible Notes.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certain corporate events (each defined in the Convertible Notes Indenture as a “Make-Whole Fundamental Change”) occur prior to the maturity date of the Convertible Notes, and a holder elects to convert its Convertible Notes in connection with such corporate event, the Company will, under certain circumstances, increase the conversion rate for the Convertible Notes so surrendered for conversion by a number of additional shares of Class A Common Stock as specified in the Convertible Notes Indenture. No adjustment to the conversion rate will be made if the price paid or deemed to be paid per share of Class A Common Stock in such corporate event is either less than $10.19 per share or exceeds $130.00 per share.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 specified “Fundamental Change” (as defined in the Convertible Notes Indenture) occurs prior to the maturity date of the Convertible Notes, under certain circumstances each holder may require the Company to repurchase all or part of its Convertible Notes at a repurchase price equal to 100% of the principal amount, plus accrued and unpaid interest to, but not including, the repurchase date.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Convertible Notes Indenture, the Convertible Notes may be accelerated upon the occurrence of certain events of default. In the case of an event of default with respect to the Convertible Notes arising from specified events of bankruptcy or insolvency of the Company or the Company’s Significant Subsidiaries (as defined in the Convertible Notes Indenture), 100% of the principal of and accrued and unpaid interest on the Convertible Notes will automatically become due and payable. If any other event of default with respect to the Convertible Notes under the Convertible Notes Indenture occurs or is continuing, the Trustee or holders of at least 25% in aggregate principal amount of the then outstanding Convertible Notes may declare the principal amount of and accrued and unpaid interest, if any, on the Convertible Notes to be immediately due and payable.</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Amendment to Credit Agreement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entered into Amendment No. 3 ("Amendment No. 3") to the Second Amended and Restated Credit Agreement, dated as of July 28, 2017 (as amended to date and by Amendment No. 3,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Amendment No. 3, AMC Networks made a $165.6 million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addition, pursuant to Amendment No. 3, the maturity date of $325 million principal amount of loans under the Term Loan A Facility as well as all of the commitments under the Revolving Credit Facility has been extended to April 9, 2028. The maturity date of the remaining $100 million principal amount of loans under the Term Loan A Facility continues to be February 8, 2026. Amendment No. 3 also includes certain other modifications to covenants and other provisions of the Credit Agreement. In connection with the $165.6 million partial prepayment of the Term Loan A Facility and the modification of the revolving loan commitments, the Company recorded a charge of $1.3 million to write-off a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unamortized discount and deferred financing costs associated with the Credit Agreement, which is included in Gain on extinguishment of debt, net within the condensed consolidated statements of income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the Company repaid $8.1 million of borrowings under the Term Loan A Facility in accordance with the terms of the amended agreement. The Company also repaid $16.9 million of borrowings under the Term Loan A Facility in March 2024 in accordance with the previous agreement.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10.25% Senior Secured Notes due 2029</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issued $875 million aggregate principal amount of 10.25% Senior Secured Notes due 2029 (the “Secured Notes”). AMC Networks received net proceeds of $863 million, after deducting initial purchasers' discounts. The Secured Notes are guaranteed by AMC Network Entertainment and AMC Networks' subsidiaries that guarantee the Credit Agreement.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Notes were issued pursuant to an Indenture, dated as of April 9, 2024 (the “Secured Notes Indenture”), among AMC Networks, the Guarantors and U.S. Bank Trust Company, National Association, as Trustee.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Secured Notes accrue interest at a rate of 10.25% per annum and mature on January 15, 2029. Interest is payable semiannually on January 15 and July 15 of each year, commencing on July 15, 2024. The Secured Notes are AMC Networks’ general senior secured obligations, secured on a first-priority basis by substantially all of AMC Networks’ and the Guarantors’ assets and property, subject to certain liens permitted under the Secured Notes Indenture, and rank equally with all of AMC 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Secured Notes, in each case, to the extent of the value of the collateral.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January 15, 2026, AMC Networks may redeem the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January 15 of the years indicated below:</w:t>
      </w:r>
    </w:p>
    <w:tbl>
      <w:tblPr>
        <w:tblW w:w="3011" w:type="dxa"/>
        <w:jc w:val="left"/>
        <w:tblInd w:w="0" w:type="dxa"/>
        <w:tblLayout w:type="fixed"/>
        <w:tblCellMar>
          <w:top w:w="28" w:type="dxa"/>
          <w:left w:w="28" w:type="dxa"/>
          <w:bottom w:w="28" w:type="dxa"/>
          <w:right w:w="28" w:type="dxa"/>
        </w:tblCellMar>
      </w:tblPr>
      <w:tblGrid>
        <w:gridCol w:w="610"/>
        <w:gridCol w:w="537"/>
        <w:gridCol w:w="547"/>
        <w:gridCol w:w="109"/>
        <w:gridCol w:w="109"/>
        <w:gridCol w:w="109"/>
        <w:gridCol w:w="289"/>
        <w:gridCol w:w="289"/>
        <w:gridCol w:w="412"/>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105.125%</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102.563%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optional redemption of the Secured Notes described above, at any time prior to January 15, 2026, AMC Networks may redeem up to 40% of the aggregate principal amount of the Secured Notes at a redemption price equal to 110.250% of the principal amount thereof, plus accrued and unpaid interest and additional interest, if any, using the net proceeds of certain equity offerings. At any time prior to January 15, 2026, AMC Networks may also redeem up to 10% of the aggregate principal amount of the Secured Notes during any twelve month period at a redemption price equal to 103.000% of the aggregate principal amount thereof, plus accrued and unpaid interest thereon to, but excluding, the redemption date.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at any time prior to January 15, 2026, AMC Networks may redeem the Secured Notes, at its option in whole or in part, at any time, at a redemption price equal to 100% of the principal amount thereof to be redeemed plus the “Applicable Premium” calculated as described in the Secured Notes Indenture at the Treasury rate + 50 basis points, and accrued and unpaid interest thereon, if any, to, but excluding, the redemption date.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Tender Offer and Redemption of 4.75% Senior Notes due 2025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AMC Networks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 In connection with the Offer and redemption, the Company recorded a charge of $3.1 million to write-off the remaining unamortized discount and deferred financing costs associated with the 4.75% Senior Notes due 2025, which is included in Gain on extinguishment of debt, net within the condensed consolidated statements of income (loss).</w:t>
      </w:r>
    </w:p>
    <w:p>
      <w:pPr>
        <w:pStyle w:val="TextBody"/>
        <w:bidi w:val="0"/>
        <w:spacing w:before="120" w:after="283"/>
        <w:ind w:left="0" w:right="0" w:firstLine="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leases included in the condensed consolidated balance sheets as follows:</w:t>
      </w:r>
    </w:p>
    <w:tbl>
      <w:tblPr>
        <w:tblW w:w="8226" w:type="dxa"/>
        <w:jc w:val="left"/>
        <w:tblInd w:w="0" w:type="dxa"/>
        <w:tblLayout w:type="fixed"/>
        <w:tblCellMar>
          <w:top w:w="28" w:type="dxa"/>
          <w:left w:w="28" w:type="dxa"/>
          <w:bottom w:w="28" w:type="dxa"/>
          <w:right w:w="28" w:type="dxa"/>
        </w:tblCellMar>
      </w:tblPr>
      <w:tblGrid>
        <w:gridCol w:w="661"/>
        <w:gridCol w:w="584"/>
        <w:gridCol w:w="585"/>
        <w:gridCol w:w="999"/>
        <w:gridCol w:w="999"/>
        <w:gridCol w:w="1001"/>
        <w:gridCol w:w="109"/>
        <w:gridCol w:w="109"/>
        <w:gridCol w:w="109"/>
        <w:gridCol w:w="212"/>
        <w:gridCol w:w="833"/>
        <w:gridCol w:w="109"/>
        <w:gridCol w:w="109"/>
        <w:gridCol w:w="109"/>
        <w:gridCol w:w="109"/>
        <w:gridCol w:w="281"/>
        <w:gridCol w:w="1103"/>
        <w:gridCol w:w="205"/>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Fair Value Measurement</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 - Quoted prices for identical instruments in active markets.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III - Instruments whose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these hierarchy levels, the Company's financial assets and liabilities that are measured at fair value on a recurring basis at June 30, 2024 and December 31, 2023:</w:t>
      </w:r>
    </w:p>
    <w:tbl>
      <w:tblPr>
        <w:tblW w:w="8210" w:type="dxa"/>
        <w:jc w:val="left"/>
        <w:tblInd w:w="0" w:type="dxa"/>
        <w:tblLayout w:type="fixed"/>
        <w:tblCellMar>
          <w:top w:w="28" w:type="dxa"/>
          <w:left w:w="28" w:type="dxa"/>
          <w:bottom w:w="28" w:type="dxa"/>
          <w:right w:w="28" w:type="dxa"/>
        </w:tblCellMar>
      </w:tblPr>
      <w:tblGrid>
        <w:gridCol w:w="1029"/>
        <w:gridCol w:w="910"/>
        <w:gridCol w:w="911"/>
        <w:gridCol w:w="109"/>
        <w:gridCol w:w="109"/>
        <w:gridCol w:w="109"/>
        <w:gridCol w:w="211"/>
        <w:gridCol w:w="826"/>
        <w:gridCol w:w="109"/>
        <w:gridCol w:w="109"/>
        <w:gridCol w:w="109"/>
        <w:gridCol w:w="109"/>
        <w:gridCol w:w="211"/>
        <w:gridCol w:w="616"/>
        <w:gridCol w:w="109"/>
        <w:gridCol w:w="109"/>
        <w:gridCol w:w="109"/>
        <w:gridCol w:w="109"/>
        <w:gridCol w:w="226"/>
        <w:gridCol w:w="436"/>
        <w:gridCol w:w="117"/>
        <w:gridCol w:w="109"/>
        <w:gridCol w:w="109"/>
        <w:gridCol w:w="109"/>
        <w:gridCol w:w="211"/>
        <w:gridCol w:w="826"/>
        <w:gridCol w:w="154"/>
      </w:tblGrid>
      <w:tr>
        <w:trPr/>
        <w:tc>
          <w:tcPr>
            <w:tcW w:w="102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(comprised of money market mutual funds) are classified within Level I of the fair value hierarchy because they are valued using quoted market prices.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the Company did not have any material assets or liabilities measured at fair value on a recurring basis that would be considered Level III.</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Credit Facility Debt and Senior Notes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each of the Company's debt instruments are based on quoted market prices for the same or similar issues or on the current rates offered to the Company for instruments of the same remaining maturities.</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of the Company's financial instruments, excluding those that are carried at fair value in the condensed consolidated balance sheets, are summarized as follows:</w:t>
      </w:r>
    </w:p>
    <w:tbl>
      <w:tblPr>
        <w:tblW w:w="6938" w:type="dxa"/>
        <w:jc w:val="left"/>
        <w:tblInd w:w="0" w:type="dxa"/>
        <w:tblLayout w:type="fixed"/>
        <w:tblCellMar>
          <w:top w:w="28" w:type="dxa"/>
          <w:left w:w="28" w:type="dxa"/>
          <w:bottom w:w="28" w:type="dxa"/>
          <w:right w:w="28" w:type="dxa"/>
        </w:tblCellMar>
      </w:tblPr>
      <w:tblGrid>
        <w:gridCol w:w="1437"/>
        <w:gridCol w:w="1265"/>
        <w:gridCol w:w="1272"/>
        <w:gridCol w:w="211"/>
        <w:gridCol w:w="976"/>
        <w:gridCol w:w="109"/>
        <w:gridCol w:w="109"/>
        <w:gridCol w:w="109"/>
        <w:gridCol w:w="109"/>
        <w:gridCol w:w="211"/>
        <w:gridCol w:w="97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97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 Senior Secured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2,061,997 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5498" w:type="dxa"/>
        <w:jc w:val="center"/>
        <w:tblInd w:w="0" w:type="dxa"/>
        <w:tblLayout w:type="fixed"/>
        <w:tblCellMar>
          <w:top w:w="28" w:type="dxa"/>
          <w:left w:w="28" w:type="dxa"/>
          <w:bottom w:w="28" w:type="dxa"/>
          <w:right w:w="28" w:type="dxa"/>
        </w:tblCellMar>
      </w:tblPr>
      <w:tblGrid>
        <w:gridCol w:w="916"/>
        <w:gridCol w:w="807"/>
        <w:gridCol w:w="811"/>
        <w:gridCol w:w="211"/>
        <w:gridCol w:w="976"/>
        <w:gridCol w:w="109"/>
        <w:gridCol w:w="109"/>
        <w:gridCol w:w="109"/>
        <w:gridCol w:w="109"/>
        <w:gridCol w:w="211"/>
        <w:gridCol w:w="97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2,104,231 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12. Derivative Financial Instruments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as follows:</w:t>
      </w:r>
    </w:p>
    <w:tbl>
      <w:tblPr>
        <w:tblW w:w="10205" w:type="dxa"/>
        <w:jc w:val="left"/>
        <w:tblInd w:w="0" w:type="dxa"/>
        <w:tblLayout w:type="fixed"/>
        <w:tblCellMar>
          <w:top w:w="28" w:type="dxa"/>
          <w:left w:w="28" w:type="dxa"/>
          <w:bottom w:w="28" w:type="dxa"/>
          <w:right w:w="28" w:type="dxa"/>
        </w:tblCellMar>
      </w:tblPr>
      <w:tblGrid>
        <w:gridCol w:w="1321"/>
        <w:gridCol w:w="1165"/>
        <w:gridCol w:w="1159"/>
        <w:gridCol w:w="1115"/>
        <w:gridCol w:w="1115"/>
        <w:gridCol w:w="1117"/>
        <w:gridCol w:w="109"/>
        <w:gridCol w:w="109"/>
        <w:gridCol w:w="109"/>
        <w:gridCol w:w="248"/>
        <w:gridCol w:w="727"/>
        <w:gridCol w:w="128"/>
        <w:gridCol w:w="109"/>
        <w:gridCol w:w="109"/>
        <w:gridCol w:w="109"/>
        <w:gridCol w:w="312"/>
        <w:gridCol w:w="911"/>
        <w:gridCol w:w="233"/>
      </w:tblGrid>
      <w:tr>
        <w:trPr/>
        <w:tc>
          <w:tcPr>
            <w:tcW w:w="132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related to the Company's derivative financial instruments not designated as hedging instruments are as follows:</w:t>
      </w:r>
    </w:p>
    <w:tbl>
      <w:tblPr>
        <w:tblW w:w="10205" w:type="dxa"/>
        <w:jc w:val="left"/>
        <w:tblInd w:w="0" w:type="dxa"/>
        <w:tblLayout w:type="fixed"/>
        <w:tblCellMar>
          <w:top w:w="28" w:type="dxa"/>
          <w:left w:w="28" w:type="dxa"/>
          <w:bottom w:w="28" w:type="dxa"/>
          <w:right w:w="28" w:type="dxa"/>
        </w:tblCellMar>
      </w:tblPr>
      <w:tblGrid>
        <w:gridCol w:w="671"/>
        <w:gridCol w:w="576"/>
        <w:gridCol w:w="546"/>
        <w:gridCol w:w="1192"/>
        <w:gridCol w:w="1014"/>
        <w:gridCol w:w="1017"/>
        <w:gridCol w:w="109"/>
        <w:gridCol w:w="109"/>
        <w:gridCol w:w="109"/>
        <w:gridCol w:w="223"/>
        <w:gridCol w:w="652"/>
        <w:gridCol w:w="114"/>
        <w:gridCol w:w="114"/>
        <w:gridCol w:w="114"/>
        <w:gridCol w:w="114"/>
        <w:gridCol w:w="223"/>
        <w:gridCol w:w="652"/>
        <w:gridCol w:w="114"/>
        <w:gridCol w:w="111"/>
        <w:gridCol w:w="111"/>
        <w:gridCol w:w="111"/>
        <w:gridCol w:w="216"/>
        <w:gridCol w:w="527"/>
        <w:gridCol w:w="111"/>
        <w:gridCol w:w="111"/>
        <w:gridCol w:w="111"/>
        <w:gridCol w:w="111"/>
        <w:gridCol w:w="216"/>
        <w:gridCol w:w="632"/>
        <w:gridCol w:w="174"/>
      </w:tblGrid>
      <w:tr>
        <w:trPr/>
        <w:tc>
          <w:tcPr>
            <w:tcW w:w="6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7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(Loss) Recognized in Earnings on Derivatives</w:t>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3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32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13. Income Taxes</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income tax expense was $10.9 million on income (loss) from operations before income taxes of $(21.4) million, and $34.5 million on income from operations before income taxes of $59.6 million, respectively, representing an effective tax rate of (51)% and 58%, respectively. The effective tax rate for both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three and six months ended June 30, 2024 was impacted by the $68.0 million nondeductible goodwill impairment charge at AMCNI. Inclusive of the nondeductible goodwill impairment charge, items resulting in variances from the federal statutory rate of 21% for the three and six months ended June 30, 2024 primarily consist of state and local income tax expense, tax expense from foreign operations, tax expense for an increase in the valuation allowance for foreign taxes and tax expense related to non-deductible compensation. </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income tax expense was $22.2 million on income from operations before income taxes of $84.3 million, and $59.1 million on income from operations before income taxes of $232.4 million, respectively, representing an effective tax rate of 26% and 25%, respectively. The items resulting in variances from the federal statutory rate of 21% for the three and six months ended June 30, 2023 primarily consist of state and local income tax expense and tax expense related to non-deductible compensation. </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had foreign tax credit carry forwards of approximately $52.4 million, expiring on various dates from 2024 through 2034. These carryforwards have been reduced to zero by a valuation allowance of $52.4 million as it is more likely than not that these carry forwards will not be realized.</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approximately $28.6 million of cash and cash equivalents, previously held by foreign subsidiaries, was repatriated to the United States. Our consolidated cash and cash equivalents balance of $802.6 million, as of June 30, 2024, included approximately $129.0 million held by foreign subsidiaries. Of this amount, approximately $25.0 million is expected to be repatriated to the United States with the remaining amount continuing to be reinvested in foreign operations. Tax expense related to the repatriated amount, as well as the expected remaining repatriation amount, has been accrued and the Company does not expect to incur any significant, additional taxes related to the remaining balance.</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Organization for Economic Co-operation and Development (OECD) released the Pillar Two Model Rules, which aim to reform international corporate taxation rules, including the implementation of a global minimum tax rate. The Company began the phased implementation of the Pillar Two Model Rules in the first quarter of 2024 and as of June 30, 2024, the Pillar Two minimum tax requirement is not expected to have a material impact upon the Company's full year results of operations or financial position. </w:t>
      </w:r>
    </w:p>
    <w:p>
      <w:pPr>
        <w:pStyle w:val="TextBody"/>
        <w:bidi w:val="0"/>
        <w:spacing w:before="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As of June 30, 2024, the Company's contractual obligations not reflected on the Company's condensed consolidated balance sheet decreased</w:t>
      </w:r>
      <w:r>
        <w:rPr>
          <w:color w:val="000000"/>
        </w:rPr>
        <w:t xml:space="preserve"> </w:t>
      </w:r>
      <w:r>
        <w:rPr>
          <w:rFonts w:ascii="Times New Roman;sans-serif" w:hAnsi="Times New Roman;sans-serif"/>
          <w:b w:val="false"/>
          <w:color w:val="000000"/>
          <w:sz w:val="20"/>
        </w:rPr>
        <w:t>$3.2 million, as compared to December 31, 2023, to</w:t>
      </w:r>
      <w:r>
        <w:rPr>
          <w:color w:val="000000"/>
        </w:rPr>
        <w:t xml:space="preserve"> </w:t>
      </w:r>
      <w:r>
        <w:rPr>
          <w:rFonts w:ascii="Times New Roman;sans-serif" w:hAnsi="Times New Roman;sans-serif"/>
          <w:b w:val="false"/>
          <w:color w:val="000000"/>
          <w:sz w:val="20"/>
        </w:rPr>
        <w:t>$870.4 million. The decrease was primarily driven by payments for program rights, partially offset by additional program rights commitments.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26, 2023, the Plaintiffs filed a notice of appeal of the court’s post-trial, demurrer, and summary adjudication decisions.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the sum of approximately $7.8 million. The arbitral panel's decision did not have a material impact on the Company's financial condition or results of operations.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and the parties are currently conducting discovery. The trial for this matter, previously scheduled for September 17, 2024, has been rescheduled to May 6, 2025</w:t>
      </w:r>
      <w:r>
        <w:rPr>
          <w:rFonts w:ascii="Calibri;sans-serif" w:hAnsi="Calibri;sans-serif"/>
          <w:b w:val="false"/>
          <w:color w:val="000000"/>
          <w:sz w:val="20"/>
        </w:rPr>
        <w:t>.</w:t>
      </w:r>
      <w:r>
        <w:rPr>
          <w:color w:val="000000"/>
        </w:rPr>
        <w:t xml:space="preserve"> </w:t>
      </w:r>
      <w:r>
        <w:rPr>
          <w:rFonts w:ascii="Times New Roman;sans-serif" w:hAnsi="Times New Roman;sans-serif"/>
          <w:b w:val="false"/>
          <w:color w:val="000000"/>
          <w:sz w:val="20"/>
        </w:rPr>
        <w:t>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a party to actions and claims arising from alleged violations of the federal Video Privacy Protection Act (the “VPPA”) and analogous state laws. In addition to putative class actions, the Company faced a series of arbitration claims managed by multiple plaintiffs’ law firms. The class action complaints and the arbitration claims all alleged that the Company’s use of a Meta Platforms, Inc. pixel on the websites for certain of its subscription video services and channels violated the privacy protection provisions of the VPPA and its state law analogues. On October 27, 2023, the Company reached a settlement with multiple plaintiffs relating to their pending class actions alleging violations of the VPPA and analogous state laws with respect to the Company's subscription video services. On May 16, 2024, the class action settlement was approved by the United States District Court for the Southern District of New York. The Company has also reached settlements to resolve the arbitration claims. All of the settlements reached by the Company in connection with these matters were reimbursed by the Company’s insurance carriers.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15. Equity Plans</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second quarter of 2024, AMC Networks granted 104,546 restricted stock units ("RSUs") under the 2011 Stock Plan for Non-Employee Directors to non-employee directors that vested on the date of grant.</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shd w:fill="FFFFFF" w:val="clear"/>
        </w:rPr>
        <w:t xml:space="preserve">During the first quarter of 2024, AMC Networks granted </w:t>
      </w:r>
      <w:r>
        <w:rPr>
          <w:rFonts w:ascii="Times New Roman;sans-serif" w:hAnsi="Times New Roman;sans-serif"/>
          <w:b w:val="false"/>
          <w:color w:val="000000"/>
          <w:sz w:val="20"/>
        </w:rPr>
        <w:t>2,025,265</w:t>
      </w:r>
      <w:r>
        <w:rPr>
          <w:color w:val="000000"/>
          <w:shd w:fill="FFFFFF" w:val="clear"/>
        </w:rPr>
        <w:t xml:space="preserve"> </w:t>
      </w:r>
      <w:r>
        <w:rPr>
          <w:rFonts w:ascii="Times New Roman;sans-serif" w:hAnsi="Times New Roman;sans-serif"/>
          <w:b w:val="false"/>
          <w:color w:val="000000"/>
          <w:sz w:val="20"/>
          <w:shd w:fill="FFFFFF" w:val="clear"/>
        </w:rPr>
        <w:t xml:space="preserve">RSUs to certain executive officers and employees under the AMC Networks Inc. Amended and Restated 2016 Employee Stock Plan, which vest ratably over a three-year period. </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During the three months ended June 30, 2024, 101,185</w:t>
      </w:r>
      <w:r>
        <w:rPr>
          <w:color w:val="000000"/>
          <w:shd w:fill="FFFFFF" w:val="clear"/>
        </w:rPr>
        <w:t xml:space="preserve"> </w:t>
      </w:r>
      <w:r>
        <w:rPr>
          <w:rFonts w:ascii="Times New Roman;sans-serif" w:hAnsi="Times New Roman;sans-serif"/>
          <w:b w:val="false"/>
          <w:color w:val="000000"/>
          <w:sz w:val="20"/>
          <w:shd w:fill="FFFFFF" w:val="clear"/>
        </w:rPr>
        <w:t xml:space="preserve">RSUs </w:t>
      </w:r>
      <w:r>
        <w:rPr>
          <w:rFonts w:ascii="Times New Roman;sans-serif" w:hAnsi="Times New Roman;sans-serif"/>
          <w:b w:val="false"/>
          <w:color w:val="000000"/>
          <w:sz w:val="20"/>
        </w:rPr>
        <w:t>of AMC Networks Class A Common Stock previously issued to an employee of the Company vested. On the vesting dat</w:t>
      </w:r>
      <w:r>
        <w:rPr>
          <w:rFonts w:ascii="Times New Roman;sans-serif" w:hAnsi="Times New Roman;sans-serif"/>
          <w:b w:val="false"/>
          <w:color w:val="000000"/>
          <w:sz w:val="20"/>
          <w:shd w:fill="FFFFFF" w:val="clear"/>
        </w:rPr>
        <w:t xml:space="preserve">e, 46,334 RSUs </w:t>
      </w:r>
      <w:r>
        <w:rPr>
          <w:rFonts w:ascii="Times New Roman;sans-serif" w:hAnsi="Times New Roman;sans-serif"/>
          <w:b w:val="false"/>
          <w:color w:val="000000"/>
          <w:sz w:val="20"/>
        </w:rPr>
        <w:t>were surrendered to AMC Networks to cover the required statutory tax withholding obligations an</w:t>
      </w:r>
      <w:r>
        <w:rPr>
          <w:rFonts w:ascii="Times New Roman;sans-serif" w:hAnsi="Times New Roman;sans-serif"/>
          <w:b w:val="false"/>
          <w:color w:val="000000"/>
          <w:sz w:val="20"/>
          <w:shd w:fill="FFFFFF" w:val="clear"/>
        </w:rPr>
        <w:t>d 54,851</w:t>
      </w:r>
      <w:r>
        <w:rPr>
          <w:color w:val="000000"/>
        </w:rPr>
        <w:t xml:space="preserve"> </w:t>
      </w:r>
      <w:r>
        <w:rPr>
          <w:rFonts w:ascii="Times New Roman;sans-serif" w:hAnsi="Times New Roman;sans-serif"/>
          <w:b w:val="false"/>
          <w:color w:val="000000"/>
          <w:sz w:val="20"/>
        </w:rPr>
        <w:t>shares of AMC Networks Class A Common Stock were issued. During the six months ended June 30, 2024, 914,296</w:t>
      </w:r>
      <w:r>
        <w:rPr>
          <w:color w:val="000000"/>
          <w:shd w:fill="FFFFFF" w:val="clear"/>
        </w:rPr>
        <w:t xml:space="preserve"> </w:t>
      </w:r>
      <w:r>
        <w:rPr>
          <w:rFonts w:ascii="Times New Roman;sans-serif" w:hAnsi="Times New Roman;sans-serif"/>
          <w:b w:val="false"/>
          <w:color w:val="000000"/>
          <w:sz w:val="20"/>
          <w:shd w:fill="FFFFFF" w:val="clear"/>
        </w:rPr>
        <w:t xml:space="preserve">RSUs </w:t>
      </w:r>
      <w:r>
        <w:rPr>
          <w:rFonts w:ascii="Times New Roman;sans-serif" w:hAnsi="Times New Roman;sans-serif"/>
          <w:b w:val="false"/>
          <w:color w:val="000000"/>
          <w:sz w:val="20"/>
        </w:rPr>
        <w:t>of AMC Networks Class A Common Stock previously issued to employees of the Company vested. On the vesting dat</w:t>
      </w:r>
      <w:r>
        <w:rPr>
          <w:rFonts w:ascii="Times New Roman;sans-serif" w:hAnsi="Times New Roman;sans-serif"/>
          <w:b w:val="false"/>
          <w:color w:val="000000"/>
          <w:sz w:val="20"/>
          <w:shd w:fill="FFFFFF" w:val="clear"/>
        </w:rPr>
        <w:t xml:space="preserve">e, 377,717 RSUs </w:t>
      </w:r>
      <w:r>
        <w:rPr>
          <w:rFonts w:ascii="Times New Roman;sans-serif" w:hAnsi="Times New Roman;sans-serif"/>
          <w:b w:val="false"/>
          <w:color w:val="000000"/>
          <w:sz w:val="20"/>
        </w:rPr>
        <w:t>were surrendered to AMC Networks to cover the required statutory tax withholding obligations an</w:t>
      </w:r>
      <w:r>
        <w:rPr>
          <w:rFonts w:ascii="Times New Roman;sans-serif" w:hAnsi="Times New Roman;sans-serif"/>
          <w:b w:val="false"/>
          <w:color w:val="000000"/>
          <w:sz w:val="20"/>
          <w:shd w:fill="FFFFFF" w:val="clear"/>
        </w:rPr>
        <w:t>d 536,579</w:t>
      </w:r>
      <w:r>
        <w:rPr>
          <w:color w:val="000000"/>
        </w:rPr>
        <w:t xml:space="preserve"> </w:t>
      </w:r>
      <w:r>
        <w:rPr>
          <w:rFonts w:ascii="Times New Roman;sans-serif" w:hAnsi="Times New Roman;sans-serif"/>
          <w:b w:val="false"/>
          <w:color w:val="000000"/>
          <w:sz w:val="20"/>
        </w:rPr>
        <w:t>shares of AMC Networks Class A Common Stock were issued. Units are surrendered to satisfy the employees' statutory minimu</w:t>
      </w:r>
      <w:r>
        <w:rPr>
          <w:rFonts w:ascii="Times New Roman;sans-serif" w:hAnsi="Times New Roman;sans-serif"/>
          <w:b w:val="false"/>
          <w:color w:val="000000"/>
          <w:sz w:val="20"/>
          <w:shd w:fill="FFFFFF" w:val="clear"/>
        </w:rPr>
        <w:t>m tax withholding obligations for the applicable income and other employment tax. The units surrendered during the</w:t>
      </w:r>
      <w:r>
        <w:rPr>
          <w:color w:val="000000"/>
        </w:rPr>
        <w:t xml:space="preserve"> </w:t>
      </w:r>
      <w:r>
        <w:rPr>
          <w:rFonts w:ascii="Times New Roman;sans-serif" w:hAnsi="Times New Roman;sans-serif"/>
          <w:b w:val="false"/>
          <w:color w:val="000000"/>
          <w:sz w:val="20"/>
        </w:rPr>
        <w:t>six months ended June 30, 2024 h</w:t>
      </w:r>
      <w:r>
        <w:rPr>
          <w:rFonts w:ascii="Times New Roman;sans-serif" w:hAnsi="Times New Roman;sans-serif"/>
          <w:b w:val="false"/>
          <w:color w:val="000000"/>
          <w:sz w:val="20"/>
          <w:shd w:fill="FFFFFF" w:val="clear"/>
        </w:rPr>
        <w:t xml:space="preserve">ad an aggregate value of </w:t>
      </w:r>
      <w:r>
        <w:rPr>
          <w:rFonts w:ascii="Times New Roman;sans-serif" w:hAnsi="Times New Roman;sans-serif"/>
          <w:b w:val="false"/>
          <w:color w:val="000000"/>
          <w:sz w:val="20"/>
        </w:rPr>
        <w:t>$4.6 million</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which has been reflected as a financing activity in the condensed consolidated statement of cash flows for the six months ended June 30, 2024.</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share-based compensation expenses of $8.5 million and $14.5 million for the three and six months ended June 30, 2024, respectively, and $7.6 million and $13.5 million (including $0.2 million recorded as part of Restructuring and other related charges) for the three and six months ended June 30, 2023, respectively. Share-based compensation expenses are recognized in the condensed consolidated statements of income (loss) as part of Selling, general and administrative expenses.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As of June 30, 2024, there was </w:t>
      </w:r>
      <w:r>
        <w:rPr>
          <w:rFonts w:ascii="Times New Roman;sans-serif" w:hAnsi="Times New Roman;sans-serif"/>
          <w:b w:val="false"/>
          <w:color w:val="000000"/>
          <w:sz w:val="20"/>
          <w:shd w:fill="FFFFFF" w:val="clear"/>
        </w:rPr>
        <w:t xml:space="preserve">$35.2 million </w:t>
      </w:r>
      <w:r>
        <w:rPr>
          <w:rFonts w:ascii="Times New Roman;sans-serif" w:hAnsi="Times New Roman;sans-serif"/>
          <w:b w:val="false"/>
          <w:color w:val="000000"/>
          <w:sz w:val="20"/>
        </w:rPr>
        <w:t>of total unrecognized share-based compensation cost related to outstanding unvested share-based awards. The unrecognized compensation cost is expected to be recognized over a weighted average remaining period of approximately</w:t>
      </w:r>
      <w:r>
        <w:rPr>
          <w:color w:val="000000"/>
          <w:shd w:fill="FFFFFF" w:val="clear"/>
        </w:rPr>
        <w:t xml:space="preserve"> </w:t>
      </w:r>
      <w:r>
        <w:rPr>
          <w:rFonts w:ascii="Times New Roman;sans-serif" w:hAnsi="Times New Roman;sans-serif"/>
          <w:b w:val="false"/>
          <w:color w:val="000000"/>
          <w:sz w:val="20"/>
        </w:rPr>
        <w:t>2.3 years</w:t>
      </w:r>
      <w:r>
        <w:rPr>
          <w:rFonts w:ascii="Times New Roman;sans-serif" w:hAnsi="Times New Roman;sans-serif"/>
          <w:b w:val="false"/>
          <w:color w:val="000000"/>
          <w:sz w:val="20"/>
          <w:shd w:fill="FFFFFF" w:val="clear"/>
        </w:rPr>
        <w:t>.</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16. Redeemable Noncontrolling Interests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previous acquisitions of New Video Channel America L.L.C (owner of the cable channel BBCA) and RLJ Entertainment, the terms of the acquisition agreements provide the noncontrolling members with a right to put all of their noncontrolling interest to subsidiaries of the Company at a future time. Since the exercise of these put rights is outside the Company's control, the noncontrolling interest in each entity is presented as a redeemable noncontrolling interest outside of stockholders' equity on the Company's condensed consolidated balance sheet.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activity related to redeemable noncontrolling interest for the three and six months ended June 30, 2024 and 2023: </w:t>
      </w:r>
    </w:p>
    <w:tbl>
      <w:tblPr>
        <w:tblW w:w="5955" w:type="dxa"/>
        <w:jc w:val="left"/>
        <w:tblInd w:w="0" w:type="dxa"/>
        <w:tblLayout w:type="fixed"/>
        <w:tblCellMar>
          <w:top w:w="28" w:type="dxa"/>
          <w:left w:w="28" w:type="dxa"/>
          <w:bottom w:w="28" w:type="dxa"/>
          <w:right w:w="28" w:type="dxa"/>
        </w:tblCellMar>
      </w:tblPr>
      <w:tblGrid>
        <w:gridCol w:w="1106"/>
        <w:gridCol w:w="975"/>
        <w:gridCol w:w="979"/>
        <w:gridCol w:w="513"/>
        <w:gridCol w:w="2008"/>
        <w:gridCol w:w="374"/>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fair value</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180,065 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304" w:type="dxa"/>
        <w:jc w:val="left"/>
        <w:tblInd w:w="0" w:type="dxa"/>
        <w:tblLayout w:type="fixed"/>
        <w:tblCellMar>
          <w:top w:w="28" w:type="dxa"/>
          <w:left w:w="28" w:type="dxa"/>
          <w:bottom w:w="28" w:type="dxa"/>
          <w:right w:w="28" w:type="dxa"/>
        </w:tblCellMar>
      </w:tblPr>
      <w:tblGrid>
        <w:gridCol w:w="509"/>
        <w:gridCol w:w="449"/>
        <w:gridCol w:w="451"/>
        <w:gridCol w:w="513"/>
        <w:gridCol w:w="2008"/>
        <w:gridCol w:w="374"/>
      </w:tblGrid>
      <w:tr>
        <w:trPr/>
        <w:tc>
          <w:tcPr>
            <w:tcW w:w="5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249,919 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241,486 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5743" w:type="dxa"/>
        <w:jc w:val="left"/>
        <w:tblInd w:w="0" w:type="dxa"/>
        <w:tblLayout w:type="fixed"/>
        <w:tblCellMar>
          <w:top w:w="28" w:type="dxa"/>
          <w:left w:w="28" w:type="dxa"/>
          <w:bottom w:w="28" w:type="dxa"/>
          <w:right w:w="28" w:type="dxa"/>
        </w:tblCellMar>
      </w:tblPr>
      <w:tblGrid>
        <w:gridCol w:w="1105"/>
        <w:gridCol w:w="975"/>
        <w:gridCol w:w="979"/>
        <w:gridCol w:w="475"/>
        <w:gridCol w:w="1862"/>
        <w:gridCol w:w="347"/>
      </w:tblGrid>
      <w:tr>
        <w:trPr/>
        <w:tc>
          <w:tcPr>
            <w:tcW w:w="110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185,297 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fair value</w:t>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180,065 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378" w:type="dxa"/>
        <w:jc w:val="left"/>
        <w:tblInd w:w="0" w:type="dxa"/>
        <w:tblLayout w:type="fixed"/>
        <w:tblCellMar>
          <w:top w:w="28" w:type="dxa"/>
          <w:left w:w="28" w:type="dxa"/>
          <w:bottom w:w="28" w:type="dxa"/>
          <w:right w:w="28" w:type="dxa"/>
        </w:tblCellMar>
      </w:tblPr>
      <w:tblGrid>
        <w:gridCol w:w="612"/>
        <w:gridCol w:w="540"/>
        <w:gridCol w:w="542"/>
        <w:gridCol w:w="475"/>
        <w:gridCol w:w="1862"/>
        <w:gridCol w:w="347"/>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253,669 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(25,253)</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241,486 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17. Related Party Transactions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related parties enter into transactions with each other in the ordinary course of business. Revenues, net from related parties amounted to $1.3 million and $1.3 million for the three months ended June 30, 2024 and 2023, respectively, and $2.6 million and $2.6 million for the six months ended June 30, 2024 and 2023, respectively. Amounts charged to the Company, included in Selling, general and administrative expenses, pursuant to transactions with its related parties amounted to $0.1 million and $3.3 million for the three months ended June 30, 2024 and 2023, respectively, and $0.5 million and $6.6 million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18. Cash Flows</w:t>
      </w:r>
    </w:p>
    <w:p>
      <w:pPr>
        <w:pStyle w:val="TextBody"/>
        <w:bidi w:val="0"/>
        <w:spacing w:lineRule="auto" w:line="288" w:before="1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Company's non-cash investing and financing activities and other supplemental data:</w:t>
      </w:r>
    </w:p>
    <w:tbl>
      <w:tblPr>
        <w:tblW w:w="6145" w:type="dxa"/>
        <w:jc w:val="left"/>
        <w:tblInd w:w="0" w:type="dxa"/>
        <w:tblLayout w:type="fixed"/>
        <w:tblCellMar>
          <w:top w:w="28" w:type="dxa"/>
          <w:left w:w="28" w:type="dxa"/>
          <w:bottom w:w="28" w:type="dxa"/>
          <w:right w:w="28" w:type="dxa"/>
        </w:tblCellMar>
      </w:tblPr>
      <w:tblGrid>
        <w:gridCol w:w="1398"/>
        <w:gridCol w:w="1234"/>
        <w:gridCol w:w="1237"/>
        <w:gridCol w:w="214"/>
        <w:gridCol w:w="626"/>
        <w:gridCol w:w="110"/>
        <w:gridCol w:w="110"/>
        <w:gridCol w:w="110"/>
        <w:gridCol w:w="110"/>
        <w:gridCol w:w="214"/>
        <w:gridCol w:w="626"/>
        <w:gridCol w:w="15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Non-Cash Investing and Financing Activities: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additions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incurred but not yet paid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Data:</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 payments,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Segment Information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two operating segments: Domestic Operations and International. These operating segments represent strategic business units that are managed separately.</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updated the name of its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169"/>
        <w:gridCol w:w="1011"/>
        <w:gridCol w:w="1006"/>
        <w:gridCol w:w="306"/>
        <w:gridCol w:w="1199"/>
        <w:gridCol w:w="157"/>
        <w:gridCol w:w="109"/>
        <w:gridCol w:w="109"/>
        <w:gridCol w:w="109"/>
        <w:gridCol w:w="224"/>
        <w:gridCol w:w="795"/>
        <w:gridCol w:w="118"/>
        <w:gridCol w:w="109"/>
        <w:gridCol w:w="109"/>
        <w:gridCol w:w="109"/>
        <w:gridCol w:w="407"/>
        <w:gridCol w:w="1425"/>
        <w:gridCol w:w="212"/>
        <w:gridCol w:w="109"/>
        <w:gridCol w:w="109"/>
        <w:gridCol w:w="109"/>
        <w:gridCol w:w="211"/>
        <w:gridCol w:w="826"/>
        <w:gridCol w:w="158"/>
      </w:tblGrid>
      <w:tr>
        <w:trPr/>
        <w:tc>
          <w:tcPr>
            <w:tcW w:w="116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3186" w:type="dxa"/>
            <w:gridSpan w:val="3"/>
            <w:vMerge w:val="continue"/>
            <w:tcBorders/>
            <w:tcMar>
              <w:top w:w="0" w:type="dxa"/>
              <w:left w:w="0" w:type="dxa"/>
              <w:bottom w:w="0" w:type="dxa"/>
              <w:right w:w="0" w:type="dxa"/>
            </w:tcMar>
            <w:vAlign w:val="center"/>
          </w:tcPr>
          <w:p>
            <w:pPr>
              <w:pStyle w:val="Normal"/>
              <w:bidi w:val="0"/>
              <w:jc w:val="left"/>
              <w:rPr/>
            </w:pPr>
            <w:r>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other</w:t>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102,735 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(43,795)</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(48,152)</w:t>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69"/>
        <w:gridCol w:w="1011"/>
        <w:gridCol w:w="1006"/>
        <w:gridCol w:w="306"/>
        <w:gridCol w:w="1199"/>
        <w:gridCol w:w="157"/>
        <w:gridCol w:w="109"/>
        <w:gridCol w:w="109"/>
        <w:gridCol w:w="109"/>
        <w:gridCol w:w="224"/>
        <w:gridCol w:w="795"/>
        <w:gridCol w:w="118"/>
        <w:gridCol w:w="109"/>
        <w:gridCol w:w="109"/>
        <w:gridCol w:w="109"/>
        <w:gridCol w:w="407"/>
        <w:gridCol w:w="1425"/>
        <w:gridCol w:w="212"/>
        <w:gridCol w:w="109"/>
        <w:gridCol w:w="109"/>
        <w:gridCol w:w="109"/>
        <w:gridCol w:w="211"/>
        <w:gridCol w:w="826"/>
        <w:gridCol w:w="158"/>
      </w:tblGrid>
      <w:tr>
        <w:trPr/>
        <w:tc>
          <w:tcPr>
            <w:tcW w:w="116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3186" w:type="dxa"/>
            <w:gridSpan w:val="3"/>
            <w:vMerge w:val="continue"/>
            <w:tcBorders/>
            <w:tcMar>
              <w:top w:w="0" w:type="dxa"/>
              <w:left w:w="0" w:type="dxa"/>
              <w:bottom w:w="0" w:type="dxa"/>
              <w:right w:w="0" w:type="dxa"/>
            </w:tcMar>
            <w:vAlign w:val="center"/>
          </w:tcPr>
          <w:p>
            <w:pPr>
              <w:pStyle w:val="Normal"/>
              <w:bidi w:val="0"/>
              <w:jc w:val="left"/>
              <w:rPr/>
            </w:pPr>
            <w:r>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other</w:t>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(45,124)</w:t>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105,701 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184,806 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143"/>
        <w:gridCol w:w="975"/>
        <w:gridCol w:w="964"/>
        <w:gridCol w:w="268"/>
        <w:gridCol w:w="1245"/>
        <w:gridCol w:w="138"/>
        <w:gridCol w:w="109"/>
        <w:gridCol w:w="109"/>
        <w:gridCol w:w="109"/>
        <w:gridCol w:w="211"/>
        <w:gridCol w:w="826"/>
        <w:gridCol w:w="109"/>
        <w:gridCol w:w="109"/>
        <w:gridCol w:w="109"/>
        <w:gridCol w:w="109"/>
        <w:gridCol w:w="398"/>
        <w:gridCol w:w="1393"/>
        <w:gridCol w:w="208"/>
        <w:gridCol w:w="109"/>
        <w:gridCol w:w="109"/>
        <w:gridCol w:w="109"/>
        <w:gridCol w:w="211"/>
        <w:gridCol w:w="976"/>
        <w:gridCol w:w="159"/>
      </w:tblGrid>
      <w:tr>
        <w:trPr/>
        <w:tc>
          <w:tcPr>
            <w:tcW w:w="11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3082" w:type="dxa"/>
            <w:gridSpan w:val="3"/>
            <w:vMerge w:val="continue"/>
            <w:tcBorders/>
            <w:tcMar>
              <w:top w:w="0" w:type="dxa"/>
              <w:left w:w="0" w:type="dxa"/>
              <w:bottom w:w="0" w:type="dxa"/>
              <w:right w:w="0" w:type="dxa"/>
            </w:tcMar>
            <w:vAlign w:val="center"/>
          </w:tcPr>
          <w:p>
            <w:pPr>
              <w:pStyle w:val="Normal"/>
              <w:bidi w:val="0"/>
              <w:jc w:val="left"/>
              <w:rPr/>
            </w:pPr>
            <w:r>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773,463 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874,294 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244,752 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(88,600)</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120,966 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317,667 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(58,401)</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35"/>
        <w:gridCol w:w="971"/>
        <w:gridCol w:w="961"/>
        <w:gridCol w:w="269"/>
        <w:gridCol w:w="1249"/>
        <w:gridCol w:w="138"/>
        <w:gridCol w:w="109"/>
        <w:gridCol w:w="109"/>
        <w:gridCol w:w="109"/>
        <w:gridCol w:w="211"/>
        <w:gridCol w:w="826"/>
        <w:gridCol w:w="109"/>
        <w:gridCol w:w="109"/>
        <w:gridCol w:w="109"/>
        <w:gridCol w:w="109"/>
        <w:gridCol w:w="400"/>
        <w:gridCol w:w="1401"/>
        <w:gridCol w:w="209"/>
        <w:gridCol w:w="109"/>
        <w:gridCol w:w="109"/>
        <w:gridCol w:w="109"/>
        <w:gridCol w:w="211"/>
        <w:gridCol w:w="976"/>
        <w:gridCol w:w="158"/>
      </w:tblGrid>
      <w:tr>
        <w:trPr/>
        <w:tc>
          <w:tcPr>
            <w:tcW w:w="113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3067" w:type="dxa"/>
            <w:gridSpan w:val="3"/>
            <w:vMerge w:val="continue"/>
            <w:tcBorders/>
            <w:tcMar>
              <w:top w:w="0" w:type="dxa"/>
              <w:left w:w="0" w:type="dxa"/>
              <w:bottom w:w="0" w:type="dxa"/>
              <w:right w:w="0" w:type="dxa"/>
            </w:tcMar>
            <w:vAlign w:val="center"/>
          </w:tcPr>
          <w:p>
            <w:pPr>
              <w:pStyle w:val="Normal"/>
              <w:bidi w:val="0"/>
              <w:jc w:val="left"/>
              <w:rPr/>
            </w:pPr>
            <w:r>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 Inter-segment</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865,461 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1,028,975 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1,193,673 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1,396,075 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362,018 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(85,450)</w:t>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279,005 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404,194 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(51,977)</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392,540 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revenues in the Domestic Operations segment include revenues related to the Company's streaming services of $150.2 million and $137.4 million for the three months ended June 30, 2024 and 2023, respectively, and $295.3 million and $278.3 million for the six months ended June 30, 2024 and 2023, respectively.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costs such as executive salaries and benefits and costs of maintaining corporate headquarters, facilities and common support functions.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 are primarily licensing revenues recognized between the Domestic Operations and International segments.</w:t>
      </w:r>
    </w:p>
    <w:tbl>
      <w:tblPr>
        <w:tblW w:w="7246" w:type="dxa"/>
        <w:jc w:val="left"/>
        <w:tblInd w:w="0" w:type="dxa"/>
        <w:tblLayout w:type="fixed"/>
        <w:tblCellMar>
          <w:top w:w="28" w:type="dxa"/>
          <w:left w:w="28" w:type="dxa"/>
          <w:bottom w:w="28" w:type="dxa"/>
          <w:right w:w="28" w:type="dxa"/>
        </w:tblCellMar>
      </w:tblPr>
      <w:tblGrid>
        <w:gridCol w:w="752"/>
        <w:gridCol w:w="664"/>
        <w:gridCol w:w="668"/>
        <w:gridCol w:w="219"/>
        <w:gridCol w:w="719"/>
        <w:gridCol w:w="113"/>
        <w:gridCol w:w="113"/>
        <w:gridCol w:w="113"/>
        <w:gridCol w:w="113"/>
        <w:gridCol w:w="219"/>
        <w:gridCol w:w="719"/>
        <w:gridCol w:w="113"/>
        <w:gridCol w:w="109"/>
        <w:gridCol w:w="109"/>
        <w:gridCol w:w="109"/>
        <w:gridCol w:w="211"/>
        <w:gridCol w:w="691"/>
        <w:gridCol w:w="109"/>
        <w:gridCol w:w="109"/>
        <w:gridCol w:w="109"/>
        <w:gridCol w:w="109"/>
        <w:gridCol w:w="211"/>
        <w:gridCol w:w="69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84"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revenues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revenues based on customer location:</w:t>
      </w:r>
    </w:p>
    <w:tbl>
      <w:tblPr>
        <w:tblW w:w="7109" w:type="dxa"/>
        <w:jc w:val="left"/>
        <w:tblInd w:w="0" w:type="dxa"/>
        <w:tblLayout w:type="fixed"/>
        <w:tblCellMar>
          <w:top w:w="28" w:type="dxa"/>
          <w:left w:w="28" w:type="dxa"/>
          <w:bottom w:w="28" w:type="dxa"/>
          <w:right w:w="28" w:type="dxa"/>
        </w:tblCellMar>
      </w:tblPr>
      <w:tblGrid>
        <w:gridCol w:w="433"/>
        <w:gridCol w:w="382"/>
        <w:gridCol w:w="38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customer within the Domestic Operations segment accounted for approximately 15% of consolidated revenues, net for the three and six months ended June 30, 2024. For the three and six months ended June 30, 2023, one customer within the Domestic Operations segment accounted for approximately 13% of consolidated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property and equipment based on asset location: </w:t>
      </w:r>
    </w:p>
    <w:tbl>
      <w:tblPr>
        <w:tblW w:w="5589" w:type="dxa"/>
        <w:jc w:val="left"/>
        <w:tblInd w:w="0" w:type="dxa"/>
        <w:tblLayout w:type="fixed"/>
        <w:tblCellMar>
          <w:top w:w="28" w:type="dxa"/>
          <w:left w:w="28" w:type="dxa"/>
          <w:bottom w:w="28" w:type="dxa"/>
          <w:right w:w="28" w:type="dxa"/>
        </w:tblCellMar>
      </w:tblPr>
      <w:tblGrid>
        <w:gridCol w:w="910"/>
        <w:gridCol w:w="803"/>
        <w:gridCol w:w="806"/>
        <w:gridCol w:w="212"/>
        <w:gridCol w:w="833"/>
        <w:gridCol w:w="109"/>
        <w:gridCol w:w="109"/>
        <w:gridCol w:w="109"/>
        <w:gridCol w:w="109"/>
        <w:gridCol w:w="281"/>
        <w:gridCol w:w="1103"/>
        <w:gridCol w:w="205"/>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6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pStyle w:val="TextBody"/>
        <w:bidi w:val="0"/>
        <w:spacing w:lineRule="auto" w:line="288" w:before="20" w:after="60"/>
        <w:ind w:left="0" w:right="0" w:hanging="360"/>
        <w:jc w:val="both"/>
        <w:rPr/>
      </w:pPr>
      <w:r>
        <w:rPr>
          <w:color w:val="000000"/>
        </w:rPr>
        <w:t>•</w:t>
      </w:r>
      <w:r>
        <w:rPr>
          <w:rFonts w:ascii="Times New Roman;sans-serif" w:hAnsi="Times New Roman;sans-serif"/>
          <w:b w:val="false"/>
          <w:color w:val="000000"/>
          <w:sz w:val="20"/>
        </w:rPr>
        <w:t>the level of our revenues;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market demand, including changes in viewer consumption patterns, for our programming networks, our subscription streaming services, our programming, and our production services;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demand for advertising inventory and our ability to deliver guaranteed viewer ratings;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highly competitive nature of the cable, telecommunications, streaming and programming industries;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cost of, and our ability to obtain or produce, desirable content for our programming services, other forms of distribution, including digital and licensing in international markets, as well as our film distribution businesses;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market demand for our owned original programming and our film content;</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loss of any of our key personnel and artistic talent;</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impact of strikes, including those related to the Writers, Directors, and Screen Actors guilds;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security of our program rights and other electronic data;</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our ability to maintain and renew distribution or affiliation agreements with distributors;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operate, including increases in inflation rates and recession risk;</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changes in domestic and foreign laws or regulations under which we operate;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changes in laws or treaties relating to taxation, or the interpretation thereof, in the United States or in the countries in which we operate;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the impact of existing and proposed federal, state and international laws and regulations relating to data protection, privacy and security, including the European Union's General Data Protection Regulation, the California Consumer Privacy Act and other similar comprehensive privacy and security laws that have been or may be enacted in other states;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our substantial debt and high leverage;</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reduced access to, or inability to access, capital or credit markets, or significant increases in costs to borrow;</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level of our expenses;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future acquisitions and dispositions of assets;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our ability to successfully acquire new businesses and, if acquired, to integrate, and implement our plan with respect to businesses we acquire;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 of businesses we acquire;</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outcome of litigation, arbitration and other proceedings;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whether pending uncompleted transactions, if any, are completed on the terms and at the times set forth (if at all);</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financial community and rating agency perceptions of our business, operations, financial condition and the industry in which we operate;</w:t>
      </w:r>
    </w:p>
    <w:p>
      <w:pPr>
        <w:pStyle w:val="TextBody"/>
        <w:bidi w:val="0"/>
        <w:spacing w:lineRule="auto" w:line="288" w:before="20" w:after="283"/>
        <w:ind w:left="0" w:right="0" w:hanging="360"/>
        <w:jc w:val="both"/>
        <w:rPr/>
      </w:pPr>
      <w:r>
        <w:rPr>
          <w:color w:val="000000"/>
        </w:rPr>
        <w:t>•</w:t>
      </w:r>
      <w:r>
        <w:rPr>
          <w:rFonts w:ascii="Times New Roman;sans-serif" w:hAnsi="Times New Roman;sans-serif"/>
          <w:b w:val="false"/>
          <w:color w:val="000000"/>
          <w:sz w:val="20"/>
        </w:rPr>
        <w:t>the impact of pandemics or other health emergencies on the economy and our business;</w:t>
      </w:r>
    </w:p>
    <w:p>
      <w:pPr>
        <w:pStyle w:val="TextBody"/>
        <w:bidi w:val="0"/>
        <w:spacing w:lineRule="auto" w:line="288" w:before="20" w:after="283"/>
        <w:ind w:left="0" w:right="0" w:hanging="360"/>
        <w:jc w:val="left"/>
        <w:rPr/>
      </w:pPr>
      <w:r>
        <w:rPr>
          <w:color w:val="000000"/>
        </w:rPr>
        <w:t>•</w:t>
      </w:r>
      <w:r>
        <w:rPr>
          <w:rFonts w:ascii="Times New Roman;sans-serif" w:hAnsi="Times New Roman;sans-serif"/>
          <w:b w:val="false"/>
          <w:color w:val="000000"/>
          <w:sz w:val="20"/>
        </w:rPr>
        <w:t xml:space="preserve">events that are outside our control, such as political unrest in international markets, terrorist attacks, natural disasters and other similar events; and </w:t>
      </w:r>
    </w:p>
    <w:p>
      <w:pPr>
        <w:pStyle w:val="TextBody"/>
        <w:bidi w:val="0"/>
        <w:spacing w:lineRule="auto" w:line="288" w:before="20" w:after="60"/>
        <w:ind w:left="0" w:right="0" w:hanging="360"/>
        <w:jc w:val="left"/>
        <w:rPr/>
      </w:pPr>
      <w:r>
        <w:rPr>
          <w:color w:val="000000"/>
        </w:rPr>
        <w:t>•</w:t>
      </w:r>
      <w:r>
        <w:rPr>
          <w:rFonts w:ascii="Times New Roman;sans-serif" w:hAnsi="Times New Roman;sans-serif"/>
          <w:b w:val="false"/>
          <w:color w:val="000000"/>
          <w:sz w:val="20"/>
        </w:rPr>
        <w:t>the factors described under Item 1A, "Risk Factors" in our 2023 Annual Report on Form 10-K (the "2023 Form 10-K"), as filed with the Securities and Exchange Commission ("SEC").</w:t>
      </w:r>
    </w:p>
    <w:p>
      <w:pPr>
        <w:pStyle w:val="TextBody"/>
        <w:bidi w:val="0"/>
        <w:spacing w:lineRule="auto" w:line="288" w:before="2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disclaim any obligation to update or revise the forward-looking statements contained herein, except as otherwise required by applicable federal securities laws.</w:t>
      </w:r>
    </w:p>
    <w:p>
      <w:pPr>
        <w:pStyle w:val="TextBody"/>
        <w:bidi w:val="0"/>
        <w:spacing w:before="60" w:after="6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Introduction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or MD&amp;A, is a supplement to and should be read in conjunction with the unaudited condensed consolidated financial statements and notes thereto included elsewhere herein and our 2023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Business Overview.</w:t>
      </w:r>
      <w:r>
        <w:rPr>
          <w:color w:val="000000"/>
        </w:rPr>
        <w:t xml:space="preserve"> </w:t>
      </w:r>
      <w:r>
        <w:rPr>
          <w:rFonts w:ascii="Times New Roman;sans-serif" w:hAnsi="Times New Roman;sans-serif"/>
          <w:b w:val="false"/>
          <w:color w:val="000000"/>
          <w:sz w:val="20"/>
        </w:rPr>
        <w:t>This section provides a general description of our business and our operating segments, as well as other matters that we believe are important in understanding our results of operations and financial condition and in anticipating future trends.</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Consolidated 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three and six months ended June 30, 2024 compared to the three and six months ended June 30, 2023. Our discussion is presented on both a consolidated and segment basis.</w:t>
      </w:r>
      <w:r>
        <w:rPr>
          <w:color w:val="000000"/>
          <w:shd w:fill="FFFFFF" w:val="clear"/>
        </w:rPr>
        <w:t xml:space="preserve"> </w:t>
      </w:r>
      <w:r>
        <w:rPr>
          <w:rFonts w:ascii="Times New Roman;sans-serif" w:hAnsi="Times New Roman;sans-serif"/>
          <w:b w:val="false"/>
          <w:color w:val="000000"/>
          <w:sz w:val="20"/>
          <w:shd w:fill="FFFFFF" w:val="clear"/>
        </w:rPr>
        <w:t>Our two segments are: (i) Domestic Operations and (ii) International.</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 discussion of our financial condition as of June 30, 2024, as well as an analysis of our cash flows for the six months ended June 30, 2024 and 2023. The discussion of our financial condition and liquidity also includes summaries of (i) our primary sources of liquidity and (ii) our contractual obligations that existed at June 30, 2024 as compared to December 31, 2023.</w:t>
      </w:r>
    </w:p>
    <w:p>
      <w:pPr>
        <w:pStyle w:val="TextBody"/>
        <w:bidi w:val="0"/>
        <w:spacing w:lineRule="auto" w:line="288" w:before="120" w:after="120"/>
        <w:ind w:left="0" w:right="0" w:firstLine="495"/>
        <w:jc w:val="both"/>
        <w:rPr/>
      </w:pPr>
      <w:r>
        <w:rPr>
          <w:rFonts w:ascii="Times New Roman;sans-serif" w:hAnsi="Times New Roman;sans-serif"/>
          <w:b w:val="false"/>
          <w:i/>
          <w:color w:val="000000"/>
          <w:sz w:val="20"/>
        </w:rPr>
        <w:t>Critical Accounting Policies and Estimates</w:t>
      </w:r>
      <w:r>
        <w:rPr>
          <w:rFonts w:ascii="Times New Roman;sans-serif" w:hAnsi="Times New Roman;sans-serif"/>
          <w:b w:val="false"/>
          <w:color w:val="000000"/>
          <w:sz w:val="20"/>
        </w:rPr>
        <w:t xml:space="preserve">. This section provides an update, if any, to our significant accounting policies or critical accounting estimates since December 31, 2023.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Financial Highlights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The tables presented below set forth our consolidated revenues, net, operating income (loss) and adjusted operating income (loss) ("AOI")</w:t>
      </w:r>
      <w:r>
        <w:rPr>
          <w:rFonts w:ascii="Times New Roman;sans-serif" w:hAnsi="Times New Roman;sans-serif"/>
          <w:b w:val="false"/>
          <w:color w:val="000000"/>
          <w:sz w:val="13"/>
        </w:rPr>
        <w:t>1</w:t>
      </w:r>
      <w:r>
        <w:rPr>
          <w:rFonts w:ascii="Times New Roman;sans-serif" w:hAnsi="Times New Roman;sans-serif"/>
          <w:b w:val="false"/>
          <w:color w:val="000000"/>
          <w:sz w:val="20"/>
        </w:rPr>
        <w:t>, for the periods indicated.</w:t>
      </w:r>
    </w:p>
    <w:tbl>
      <w:tblPr>
        <w:tblW w:w="9255" w:type="dxa"/>
        <w:jc w:val="left"/>
        <w:tblInd w:w="0" w:type="dxa"/>
        <w:tblLayout w:type="fixed"/>
        <w:tblCellMar>
          <w:top w:w="28" w:type="dxa"/>
          <w:left w:w="28" w:type="dxa"/>
          <w:bottom w:w="28" w:type="dxa"/>
          <w:right w:w="28" w:type="dxa"/>
        </w:tblCellMar>
      </w:tblPr>
      <w:tblGrid>
        <w:gridCol w:w="1186"/>
        <w:gridCol w:w="1049"/>
        <w:gridCol w:w="1050"/>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 net</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625,934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678,628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1,222,395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1,396,075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Income (Loss)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105,701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279,005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Operating Income (Loss)</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 Inter-segment Eliminations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152,807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176,777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301,931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392,540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Adjusted Operating Income (Loss), is a non-GAAP financial measure. See the "Non-GAAP Financial Measures" section on page 45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business through the following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Includes our five programming networks, our streaming services, our AMC Studios operation and our film 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240"/>
        <w:ind w:left="0" w:right="0" w:hanging="360"/>
        <w:jc w:val="both"/>
        <w:rPr/>
      </w:pPr>
      <w:r>
        <w:rPr>
          <w:color w:val="000000"/>
          <w:shd w:fill="FFFFFF" w:val="clear"/>
        </w:rPr>
        <w:t>•</w:t>
      </w:r>
      <w:r>
        <w:rPr>
          <w:rFonts w:ascii="Times New Roman;sans-serif" w:hAnsi="Times New Roman;sans-serif"/>
          <w:b w:val="false"/>
          <w:i/>
          <w:color w:val="000000"/>
          <w:sz w:val="20"/>
        </w:rPr>
        <w:t>International</w:t>
      </w:r>
      <w:r>
        <w:rPr>
          <w:rFonts w:ascii="Times New Roman;sans-serif" w:hAnsi="Times New Roman;sans-serif"/>
          <w:b w:val="false"/>
          <w:color w:val="000000"/>
          <w:sz w:val="20"/>
        </w:rPr>
        <w:t>: AMC Networks International ("AMCNI"), our international programming businesses consisting of a portfolio of channels distributed around the world.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updated the name of our previously titled "International and Other" operating segment to "International" due to the divestiture of the 25/7 Media business on December 29, 2023, which was the sole component of the operating segment that comprised “Other.” This update does not constitute a change in segment reporting, but rather an update in name only. Prior period segment information contained in this report includes the results of the 25/7 Media business through the date of divestiture.</w:t>
      </w:r>
    </w:p>
    <w:p>
      <w:pPr>
        <w:pStyle w:val="TextBody"/>
        <w:bidi w:val="0"/>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Domestic Operations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 includes fees paid by distributors and consumers for our programming networks and streaming services. Subscription fees paid by distributors represent the largest component of distribution revenue. Substantially all of our subscription revenues for our programming networks are based on a per subscriber fee, commonly referred to as "affiliation agreements". The subscription revenues we earn vary from period to period, distributor to distributor and also vary among our programming services, but are generally based on the impact of renewals of affiliation agreements and upon the number of each distributor's subscribers who receive our programming, referred to as viewing subscribers. Subscription fees for our streaming services are typically based on a per subscriber fee and are generally paid by distributors and consumers on a monthly basis.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Most of our advertising revenues vary based on the timing of our original programming series and the popularity of our programming as measured by Nielsen.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of availability of programming to distributors.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typically resulting in an accelerated amortization pattern and, to a lesser extent, program rights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predominantly monetized individually are amortized based on the individual-film-forecast-computation method.</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condensed consolidated statements of income (loss). Program rights with no future programming usefulness are substantively abandoned resulting in the write-off of remaining unamortized cost. </w:t>
      </w:r>
    </w:p>
    <w:p>
      <w:pPr>
        <w:pStyle w:val="TextBody"/>
        <w:bidi w:val="0"/>
        <w:spacing w:lineRule="auto" w:line="288" w:before="120" w:after="120"/>
        <w:ind w:left="0" w:right="0" w:firstLine="18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Our International segment consists of the operations of AMCNI, which earns revenue principally from the international distribution of programming and, to a lesser extent, the sale of advertising from our AMCNI programming networks. For the six</w:t>
      </w:r>
      <w:r>
        <w:rPr>
          <w:color w:val="000000"/>
          <w:shd w:fill="FFFFFF" w:val="clear"/>
        </w:rPr>
        <w:t xml:space="preserve"> </w:t>
      </w:r>
      <w:r>
        <w:rPr>
          <w:rFonts w:ascii="Times New Roman;sans-serif" w:hAnsi="Times New Roman;sans-serif"/>
          <w:b w:val="false"/>
          <w:color w:val="000000"/>
          <w:sz w:val="20"/>
          <w:shd w:fill="FFFFFF" w:val="clear"/>
        </w:rPr>
        <w:t>months ended June 30, 2024, distribution revenues represented 64% of the revenues of the International segm</w:t>
      </w:r>
      <w:r>
        <w:rPr>
          <w:rFonts w:ascii="Times New Roman;sans-serif" w:hAnsi="Times New Roman;sans-serif"/>
          <w:b w:val="false"/>
          <w:color w:val="000000"/>
          <w:sz w:val="20"/>
        </w:rPr>
        <w:t xml:space="preserve">ent. Distribution revenue primarily includes subscription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Programming expenses and program operating costs are included in technical and operating expenses, and represent the largest expense of the International segment. Programming expenses primarily consist of amortization of acquired content, costs of dubbing and sub-titling of programs, and production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condensed consolidated statements of income (loss). Program rights with no future programming usefulness are substantively abandoned, resulting in the write-off of remaining unamortized cost. </w:t>
      </w:r>
    </w:p>
    <w:p>
      <w:pPr>
        <w:pStyle w:val="TextBody"/>
        <w:bidi w:val="0"/>
        <w:spacing w:lineRule="auto" w:line="288" w:before="120" w:after="120"/>
        <w:ind w:left="0" w:right="0" w:firstLine="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 Inter-segment Eliminations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operations primarily consist of executive management and administrative support services, such as executive salaries and benefits costs, costs of maintaining corporate headquarters, facilities and common support functions. The segment financial information set forth below, including the discussion related to individual line items, does not reflect inter-segment eliminations unless specifically indicated.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Economic Conditions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factors and circumstances, particularly high inflation and interest rates, may adversely impact our results of operations, cash flows and financial position or our ability to refinance our indebtedness on terms favorable to us, or at all.</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Capital and credit market disruptions, as well as other events such as pandemics or other health emergencies,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and discussed below represent 100% of each operating segment's revenues, net and expenses. Where we have management control of an entity, we consolidate 100% of such entity in our condensed consolidated statements of income (loss) notwithstanding that a third-party owns an interest, which may be significant, in such entity. The noncontrolling owner's interest in the operating results of consolidated subsidiaries are reflected in net income or loss attributable to noncontrolling interests in our condensed consolidated statements of income (loss).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Three and Six Months Ended June 30, 2024 and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881"/>
        <w:gridCol w:w="582"/>
        <w:gridCol w:w="460"/>
        <w:gridCol w:w="211"/>
        <w:gridCol w:w="826"/>
        <w:gridCol w:w="109"/>
        <w:gridCol w:w="109"/>
        <w:gridCol w:w="109"/>
        <w:gridCol w:w="109"/>
        <w:gridCol w:w="211"/>
        <w:gridCol w:w="826"/>
        <w:gridCol w:w="109"/>
        <w:gridCol w:w="109"/>
        <w:gridCol w:w="109"/>
        <w:gridCol w:w="109"/>
        <w:gridCol w:w="316"/>
        <w:gridCol w:w="321"/>
        <w:gridCol w:w="367"/>
        <w:gridCol w:w="109"/>
        <w:gridCol w:w="109"/>
        <w:gridCol w:w="109"/>
        <w:gridCol w:w="211"/>
        <w:gridCol w:w="826"/>
        <w:gridCol w:w="109"/>
        <w:gridCol w:w="109"/>
        <w:gridCol w:w="109"/>
        <w:gridCol w:w="109"/>
        <w:gridCol w:w="211"/>
        <w:gridCol w:w="826"/>
        <w:gridCol w:w="109"/>
        <w:gridCol w:w="109"/>
        <w:gridCol w:w="109"/>
        <w:gridCol w:w="109"/>
        <w:gridCol w:w="316"/>
        <w:gridCol w:w="321"/>
        <w:gridCol w:w="422"/>
      </w:tblGrid>
      <w:tr>
        <w:trPr/>
        <w:tc>
          <w:tcPr>
            <w:tcW w:w="8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AMC Networks'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creased 3.3% in our Domestic Operations segment due to a decline in affiliate revenues, partially offset by an increase in streaming revenues, and decreased 13.4% in our International segment primarily due to the non-renewal of an AMCNI distribution agreement in the United Kingdom ("U.K.") in the fourth quarter of 2023. We expect linear subscriber declines to continue in our Domestic Operations segment, consistent with the declines across the cable ecosystem.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Content licensing and other r</w:t>
      </w:r>
      <w:r>
        <w:rPr>
          <w:rFonts w:ascii="Times New Roman;sans-serif" w:hAnsi="Times New Roman;sans-serif"/>
          <w:b w:val="false"/>
          <w:color w:val="000000"/>
          <w:sz w:val="20"/>
        </w:rPr>
        <w:t>evenues decreased 17.8% in our Domestic Operations segment due to the availability of deliveries, primarily the impact of $20.3 million recognized in the second quarter of 2023 associated with the early termination of an output agreement that resulted in the acceleration of revenue into 2023. Content licensing and other revenues decreased 86.3% in our International segment due to the divestiture of the 25/7 Media business on December 29, 2023. We expect content licensing revenues to face continued pressure in 2024 due to reduced availability of original programming.</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10.7% in our Domestic Operations segment primarily due to linear ratings declines and continued softness in the advertising market, partially offset by digital and advanced advertising revenue growth. The decrease in our Domestic Operations segment was partially offset by an 84.2% increase in our International segment primarily due to the recognition of a one-time retroactive adjustment reported and paid by a third party for $13.4 million. We expect advertising revenue to continue to decline as the advertising market gravitates toward other distribution platforms.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5.3% in our Domestic Operations segment due to a decline in affiliate revenues, partially offset by an increase in streaming revenues, and decreased 11.9% in our International segment primarily due to the non-renewal of an AMCNI distribution agreement in the U.K. in the fourth quarter of 2023. </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shd w:fill="FFFFFF" w:val="clear"/>
        </w:rPr>
        <w:t>Content licensing and other revenues decreased</w:t>
      </w:r>
      <w:r>
        <w:rPr>
          <w:color w:val="000000"/>
        </w:rPr>
        <w:t xml:space="preserve"> </w:t>
      </w:r>
      <w:r>
        <w:rPr>
          <w:rFonts w:ascii="Times New Roman;sans-serif" w:hAnsi="Times New Roman;sans-serif"/>
          <w:b w:val="false"/>
          <w:color w:val="000000"/>
          <w:sz w:val="20"/>
        </w:rPr>
        <w:t xml:space="preserve">30.3% in our Domestic Operations segment due to the availability of deliveries in the period, including $56.1 million of revenue associated with the 2023 delivery of the remaining episodes of </w:t>
      </w:r>
      <w:r>
        <w:rPr>
          <w:rFonts w:ascii="Times New Roman;sans-serif" w:hAnsi="Times New Roman;sans-serif"/>
          <w:b w:val="false"/>
          <w:i/>
          <w:color w:val="000000"/>
          <w:sz w:val="20"/>
        </w:rPr>
        <w:t xml:space="preserve">Silo, </w:t>
      </w:r>
      <w:r>
        <w:rPr>
          <w:rFonts w:ascii="Times New Roman;sans-serif" w:hAnsi="Times New Roman;sans-serif"/>
          <w:b w:val="false"/>
          <w:color w:val="000000"/>
          <w:sz w:val="20"/>
        </w:rPr>
        <w:t xml:space="preserve">an AMC Studios produced series, and decreased 88.6% in our International segment due to the divestiture of the 25/7 Media business on December 29, 2023.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decreased 11.9% in our Domestic Operations segment primarily due to linear ratings declines and continued softness in the advertising market, partially offset by digital and advanced advertising revenue growth. The decrease in our Domestic Operations segment was partially offset by an increase of 51.8% in our International segment, primarily due to the recognition of a one-time retroactive adjustment reported and paid by a third party for $13.4 million, digital and advanced advertising growth in the U.K., and increased ratings and growth across Central and Northern Europe advertising markets. </w:t>
      </w:r>
    </w:p>
    <w:p>
      <w:pPr>
        <w:pStyle w:val="TextBody"/>
        <w:bidi w:val="0"/>
        <w:spacing w:lineRule="auto" w:line="28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technical and operating expenses primarily include the amortization of program rights, such as those for original programming, feature films and licensed series, and other direct programming costs, such as participation and residual costs, distribution and production related costs and program delivery costs, such as transmission, encryption, hosting, and formatting.</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decreased 9.3% in our Domestic Operations segment primarily due to the impact in 2023 associated with the early termination of an output agreement that resulted in the acceleration of program rights amortization into 2023 and a current year decrease in other direct programming costs. Technical and operating expenses (excluding depreciation and amortization) decreased 33.9% in our International segment primarily due to the divestiture of the 25/7 Media business on December 29, 2023.</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rPr>
        <w:t xml:space="preserve">Technical and operating expenses (excluding depreciation and amortization) decreased 10.1% in our Domestic Operations segment primarily due to the impacts in 2023 associated with the </w:t>
      </w:r>
      <w:r>
        <w:rPr>
          <w:rFonts w:ascii="Times New Roman;sans-serif" w:hAnsi="Times New Roman;sans-serif"/>
          <w:b w:val="false"/>
          <w:color w:val="000000"/>
          <w:sz w:val="20"/>
          <w:shd w:fill="FFFFFF" w:val="clear"/>
        </w:rPr>
        <w:t xml:space="preserve">delivery </w:t>
      </w:r>
      <w:r>
        <w:rPr>
          <w:rFonts w:ascii="Times New Roman;sans-serif" w:hAnsi="Times New Roman;sans-serif"/>
          <w:b w:val="false"/>
          <w:color w:val="000000"/>
          <w:sz w:val="20"/>
        </w:rPr>
        <w:t xml:space="preserve">of the remaining episodes of </w:t>
      </w:r>
      <w:r>
        <w:rPr>
          <w:rFonts w:ascii="Times New Roman;sans-serif" w:hAnsi="Times New Roman;sans-serif"/>
          <w:b w:val="false"/>
          <w:i/>
          <w:color w:val="000000"/>
          <w:sz w:val="20"/>
        </w:rPr>
        <w:t xml:space="preserve">Silo, </w:t>
      </w:r>
      <w:r>
        <w:rPr>
          <w:rFonts w:ascii="Times New Roman;sans-serif" w:hAnsi="Times New Roman;sans-serif"/>
          <w:b w:val="false"/>
          <w:color w:val="000000"/>
          <w:sz w:val="20"/>
        </w:rPr>
        <w:t>an AMC Studios produced series, and the early termination of an output agreement that resulted in the acceleration of program rights amortization into 2023. Technical and operating expenses (excluding depreciation and amortization) decreased 39.7% in our International segment primarily due to the divestiture of the 25/7 Media business on December 29, 2023.</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selling, general and administrative expenses primarily include sales, marketing and advertising expenses, administrative costs and costs of non-production facilities.</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and may continue to be significant changes in the level of our selling, general and administrative expenses due to the timing of promotions and marketing of original programming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(including share-based compensation expenses) increased 11.4% in our Domestic Operations segment primarily due to higher marketing and subscriber acquisition expenses in support of a larger content slate and decreased 7.5% in our International segment primarily due to the divestiture of the 25/7 Media business on December 29,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(including share-based compensation expenses) increased 6.4% in our Domestic Operations segment primarily due to higher marketing and subscriber acquisition expenses in support of a larger content slate and decreased 0.3% in our International segment primarily due to the divestiture of the 25/7 Media business on December 29, 2023, partially offset by an increase in corporate overhead costs allocated to AMCNI. </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and other charges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and six months ended June 30, 2024 </w:t>
      </w:r>
    </w:p>
    <w:p>
      <w:pPr>
        <w:pStyle w:val="TextBody"/>
        <w:bidi w:val="0"/>
        <w:spacing w:lineRule="auto" w:line="276" w:before="120" w:after="120"/>
        <w:ind w:left="0" w:right="0" w:firstLine="495"/>
        <w:jc w:val="both"/>
        <w:rPr/>
      </w:pPr>
      <w:r>
        <w:rPr>
          <w:rFonts w:ascii="Times New Roman;sans-serif" w:hAnsi="Times New Roman;sans-serif"/>
          <w:b w:val="false"/>
          <w:color w:val="000000"/>
          <w:sz w:val="20"/>
        </w:rPr>
        <w:t>During the second quarter of 2024, we determined that the decline in our stock price was an indicator of potential impairment of goodwill. Accordingly, we performed quantitative assessments for all of our reporting units and concluded that the fair value of the AMCNI reporting unit declined to less than its carrying amount. As a result, we recognized an impairment charge of</w:t>
      </w:r>
      <w:r>
        <w:rPr>
          <w:color w:val="000000"/>
          <w:shd w:fill="FFFFFF" w:val="clear"/>
        </w:rPr>
        <w:t xml:space="preserve"> </w:t>
      </w:r>
      <w:r>
        <w:rPr>
          <w:rFonts w:ascii="Times New Roman;sans-serif" w:hAnsi="Times New Roman;sans-serif"/>
          <w:b w:val="false"/>
          <w:color w:val="000000"/>
          <w:sz w:val="20"/>
          <w:shd w:fill="FFFFFF" w:val="clear"/>
        </w:rPr>
        <w:t>$68.0 million</w:t>
      </w:r>
      <w:r>
        <w:rPr>
          <w:rFonts w:ascii="Times New Roman;sans-serif" w:hAnsi="Times New Roman;sans-serif"/>
          <w:b w:val="false"/>
          <w:color w:val="000000"/>
          <w:sz w:val="20"/>
        </w:rPr>
        <w:t>, which is included in Impairment and other charges in the condensed consolidated statements of income (loss).</w:t>
      </w:r>
    </w:p>
    <w:p>
      <w:pPr>
        <w:pStyle w:val="TextBody"/>
        <w:bidi w:val="0"/>
        <w:spacing w:lineRule="auto" w:line="26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the second quarter of 2024, given continued market challenges and linear declines, we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$29.2 million was recorded for identifiable intangible assets and other long-lived assets, which is included in Impairment and other charges in the condensed consolidated statements of income (loss) within the Domestic Operations operating segment.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and six months ended June 30, 2023 </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given the impact of market challenges at 25/7 Media, we revised our outlook for the 25/7 Media business resulting in lower expected future cash flows. As a result, we determined that sufficient indicators of potential impairment of long-lived assets and goodwill existed at 25/7 Media and an impairment charge of $24.9 million was recorded.</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and other related charges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and six months ended June 30, 2024 </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rPr>
        <w:t>For the three and six months ended June 30, 2024, restructuring and other related charges of $2.9 million in our Domestic Operations segment primarily consisted</w:t>
      </w:r>
      <w:r>
        <w:rPr>
          <w:color w:val="000000"/>
          <w:shd w:fill="FFFFFF" w:val="clear"/>
        </w:rPr>
        <w:t xml:space="preserve"> </w:t>
      </w:r>
      <w:r>
        <w:rPr>
          <w:rFonts w:ascii="Times New Roman;sans-serif" w:hAnsi="Times New Roman;sans-serif"/>
          <w:b w:val="false"/>
          <w:color w:val="000000"/>
          <w:sz w:val="20"/>
          <w:shd w:fill="FFFFFF" w:val="clear"/>
        </w:rPr>
        <w:t>of content impairments in connection with WE tv shifting to a reduced o</w:t>
      </w:r>
      <w:r>
        <w:rPr>
          <w:rFonts w:ascii="Times New Roman;sans-serif" w:hAnsi="Times New Roman;sans-serif"/>
          <w:b w:val="false"/>
          <w:color w:val="000000"/>
          <w:sz w:val="20"/>
        </w:rPr>
        <w:t xml:space="preserve">riginals strategy, and severance costs.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and six months ended June 30, 2023 </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rPr>
        <w:t xml:space="preserve">For the three months ended June 30, 2023, restructuring and other related charges of $6.0 million consisted primarily of severance and other employee-related costs, with $3.9 million related to our Domestic Operations segment, $0.2 million related to AMCNI and $1.9 million related to Corporate. For the six months ended June 30, 2023, restructuring and other related charges of </w:t>
      </w:r>
      <w:r>
        <w:rPr>
          <w:rFonts w:ascii="Times New Roman;sans-serif" w:hAnsi="Times New Roman;sans-serif"/>
          <w:b w:val="false"/>
          <w:color w:val="000000"/>
          <w:sz w:val="20"/>
          <w:shd w:fill="FFFFFF" w:val="clear"/>
        </w:rPr>
        <w:t>$12.0 million</w:t>
      </w:r>
      <w:r>
        <w:rPr>
          <w:color w:val="000000"/>
        </w:rPr>
        <w:t xml:space="preserve"> </w:t>
      </w:r>
      <w:r>
        <w:rPr>
          <w:rFonts w:ascii="Times New Roman;sans-serif" w:hAnsi="Times New Roman;sans-serif"/>
          <w:b w:val="false"/>
          <w:color w:val="000000"/>
          <w:sz w:val="20"/>
        </w:rPr>
        <w:t>consisted primarily of severance and other employee-related costs, with $4.7 million related to our Domestic Operations segment, $1.7 million related to AMCNI and $5.6 million related to Corporate.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was primarily attributable to an increase in impairment and other charges of $71.9 million, a decrease in revenues, net of $52.7 million, and an increase in selling, general and administrative expenses of $13.9 million, partially offset by decreases in technical and operating expenses of $41.2 million and restructuring and other related charges of $3.1 million.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operating income was primarily attributable to a decrease in revenues, net of $173.7 million, and increases in impairment and other charges of $71.9 million and selling, general and administrative expenses of $17.2 million, partially offset by decreases in technical and operating expenses of $96.4 million and restructuring and other related charges of $9.0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expense was primarily due to an increase in average interest rates associated with the 10.25% Senior Secured Notes due 2029 refinancing the 4.75% Senior Notes due 2025, partially offset by the impact of a lower outstanding debt balance. Interest expense will increase through the remainder of 2024, as compared to 2023, as a result of the refinancing and convertible note transactions described under “Liquidity and Capital Resources.”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was primarily due to an overall lower outstanding debt balance, partially offset by an increase in average interest rates associated with the 10.25% Senior Secured Notes due 2029 refinancing the 4.75% Senior Notes due 2025 in April 2024.</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comprised of income generated from our money market mutual fund accounts and bank deposits. The increase from the prior year can primarily be attributed to interest received in connection with a one-time retroactive adjustment reported and paid by a third party.</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from the prior year can primarily be attributed to higher cash balances and interest received in connection with a one-time retroactive adjustment reported and paid by a third party.</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Gain on extinguishment of debt,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and six months ended June 30, 2024 </w:t>
      </w:r>
    </w:p>
    <w:p>
      <w:pPr>
        <w:pStyle w:val="TextBody"/>
        <w:bidi w:val="0"/>
        <w:spacing w:lineRule="auto" w:line="276"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we repurchased $15.0 million of our outstanding 4.25% Senior Notes due 2029 through open market repurchases, at a discount of $4.9 million, and retired the repurchased notes. We recorded a $4.7 million gain which reflects the discount, net of $0.2 million to write-off a portion of the unamortized discount and deferred financing costs associated with the notes. </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we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 In connection with the Offer and redemption, we recorded a charge of $3.1 million to write-off the remaining unamortized discount and deferred financing costs associated with the 4.75% Senior Notes due 2025.</w:t>
      </w:r>
    </w:p>
    <w:p>
      <w:pPr>
        <w:pStyle w:val="TextBody"/>
        <w:bidi w:val="0"/>
        <w:spacing w:lineRule="auto" w:line="276"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9, 2024, we entered into Amendment No. 3 ("Amendment No. 3") to the Second Amended and Restated Credit Agreement, dated as of July 28, 2017 (as amended to date and by Amendment No. 3, the "Credit Agreement"). In connection with Amendment No. 3, we made a $165.6 million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connection with the partial prepayment of the Term Loan A Facility and reduction of the revolving loan commitments, the Company recorded a charge of $1.3 million to write-off a portion of the unamortized discount and deferred financing costs associated with the Credit Agreement.</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Miscellaneous, net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and six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miscellaneous, net was primarily related to the impact of foreign currency fluctuations and costs incurred in connection with the refinancing transactions in the second quarter of 2024.</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 expense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income tax expense was $10.9 million on income (loss) from operations before income taxes of $(21.4) million, representing an effective tax rate of (51)%. The effective tax rate for the three months ended June 30, 2024 was impacted by the $68.0 million nondeductible goodwill impairment charge at AMCNI. Inclusive of the nondeductible goodwill impairment charge, items resulting in variances from the federal statutory rate of 21% primarily consist of state and local income tax expense, tax expense from foreign operations, tax expense for an increase in the valuation allowance for foreign taxes and tax expense related to non-deductible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income tax expense was $22.2 million on income from operations before income taxes of $84.3 million, representing an effective tax rate of 26%. The items resulting in variances from the federal statutory rate of 21% primarily consist of state and local income tax expense and tax expense related to non-deductible compensation.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income tax expense was $34.5 million on income from operations before income taxes of $59.6 million, representing an effective tax rate of 58%. The effective tax rate for the six months ended June 30, 2024 was impacted by the $68.0 million nondeductible goodwill impairment charge at AMCNI. Inclusive of the nondeductible goodwill impairment charge, items resulting in variances from the federal statutory rate of 21% primarily consist of state and local income tax expense, tax expense from foreign operations, tax expense for an increase in the valuation allowance for foreign taxes and tax expense related to non-deductible compensation.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income tax expense was $59.1 million on income from operations before income taxes of $232.4 million, representing an effective tax rate of 25%. The items resulting in variances from the federal statutory rate of 21% primarily consist of state and local income tax expense and tax expense related to non-deductible compensation.</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Domestic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Domestic Operations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912"/>
        <w:gridCol w:w="567"/>
        <w:gridCol w:w="440"/>
        <w:gridCol w:w="211"/>
        <w:gridCol w:w="826"/>
        <w:gridCol w:w="109"/>
        <w:gridCol w:w="109"/>
        <w:gridCol w:w="109"/>
        <w:gridCol w:w="109"/>
        <w:gridCol w:w="211"/>
        <w:gridCol w:w="826"/>
        <w:gridCol w:w="109"/>
        <w:gridCol w:w="109"/>
        <w:gridCol w:w="109"/>
        <w:gridCol w:w="109"/>
        <w:gridCol w:w="109"/>
        <w:gridCol w:w="264"/>
        <w:gridCol w:w="266"/>
        <w:gridCol w:w="367"/>
        <w:gridCol w:w="109"/>
        <w:gridCol w:w="109"/>
        <w:gridCol w:w="109"/>
        <w:gridCol w:w="211"/>
        <w:gridCol w:w="826"/>
        <w:gridCol w:w="109"/>
        <w:gridCol w:w="109"/>
        <w:gridCol w:w="109"/>
        <w:gridCol w:w="109"/>
        <w:gridCol w:w="211"/>
        <w:gridCol w:w="826"/>
        <w:gridCol w:w="109"/>
        <w:gridCol w:w="109"/>
        <w:gridCol w:w="109"/>
        <w:gridCol w:w="109"/>
        <w:gridCol w:w="109"/>
        <w:gridCol w:w="264"/>
        <w:gridCol w:w="266"/>
        <w:gridCol w:w="422"/>
      </w:tblGrid>
      <w:tr>
        <w:trPr/>
        <w:tc>
          <w:tcPr>
            <w:tcW w:w="91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61" w:type="dxa"/>
            <w:gridSpan w:val="4"/>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4" w:type="dxa"/>
            <w:gridSpan w:val="3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1061" w:type="dxa"/>
            <w:gridSpan w:val="4"/>
            <w:tcBorders/>
          </w:tcPr>
          <w:p>
            <w:pPr>
              <w:pStyle w:val="TableContents"/>
              <w:bidi w:val="0"/>
              <w:spacing w:before="0" w:after="283"/>
              <w:jc w:val="left"/>
              <w:rPr>
                <w:sz w:val="4"/>
                <w:szCs w:val="4"/>
              </w:rPr>
            </w:pPr>
            <w:r>
              <w:rPr>
                <w:sz w:val="4"/>
                <w:szCs w:val="4"/>
              </w:rPr>
            </w:r>
          </w:p>
        </w:tc>
      </w:tr>
      <w:tr>
        <w:trPr/>
        <w:tc>
          <w:tcPr>
            <w:tcW w:w="9144"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 and cloud computing amortization</w:t>
            </w:r>
          </w:p>
        </w:tc>
        <w:tc>
          <w:tcPr>
            <w:tcW w:w="106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w:t>
      </w:r>
      <w:r>
        <w:rPr>
          <w:color w:val="000000"/>
        </w:rPr>
        <w:t xml:space="preserve"> </w:t>
      </w:r>
      <w:r>
        <w:rPr>
          <w:rFonts w:ascii="Times New Roman;sans-serif" w:hAnsi="Times New Roman;sans-serif"/>
          <w:b w:val="false"/>
          <w:color w:val="000000"/>
          <w:sz w:val="20"/>
        </w:rPr>
        <w:t>decreased due to a 12.2% decline in affiliate revenues, partially offset by a 9.3% increase in streaming revenues. Affiliate revenues decreased primarily due to basic subscriber declines. Streaming revenues increased due to year-over-year subscriber growth and price increases. Subscription revenues include revenues related to the Company's streaming services of $150.2 million and $137.4 million for the three months ended June 30, 2024 and 2023, respectively. Aggregate paid subscribers</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to our streaming services increased 5.4% to 11.6 million at June 30, 2024 compared to 11.0 million at June 30, 2023. </w:t>
      </w:r>
    </w:p>
    <w:p>
      <w:pPr>
        <w:pStyle w:val="TextBody"/>
        <w:bidi w:val="0"/>
        <w:spacing w:lineRule="auto" w:line="268" w:before="0" w:after="120"/>
        <w:ind w:left="0" w:right="0" w:firstLine="720"/>
        <w:jc w:val="both"/>
        <w:rPr/>
      </w:pPr>
      <w:r>
        <w:rPr>
          <w:rFonts w:ascii="Times New Roman;sans-serif" w:hAnsi="Times New Roman;sans-serif"/>
          <w:b w:val="false"/>
          <w:color w:val="000000"/>
          <w:sz w:val="20"/>
          <w:shd w:fill="FFFFFF" w:val="clear"/>
        </w:rPr>
        <w:t>Content licensing and other revenues</w:t>
      </w:r>
      <w:r>
        <w:rPr>
          <w:color w:val="000000"/>
        </w:rPr>
        <w:t xml:space="preserve"> </w:t>
      </w:r>
      <w:r>
        <w:rPr>
          <w:rFonts w:ascii="Times New Roman;sans-serif" w:hAnsi="Times New Roman;sans-serif"/>
          <w:b w:val="false"/>
          <w:color w:val="000000"/>
          <w:sz w:val="20"/>
        </w:rPr>
        <w:t>decreased due to the availability of deliveries, primarily the impact of $20.3 million recognized in the second quarter of 2023 associated with the early termination of an output agreement that resulted in the acceleration of revenue into 2023.</w:t>
      </w:r>
    </w:p>
    <w:p>
      <w:pPr>
        <w:pStyle w:val="TextBody"/>
        <w:bidi w:val="0"/>
        <w:spacing w:lineRule="auto" w:line="276"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due to linear ratings declines and continued softness in the advertising market, partially offset by digital and advanced advertising revenue growth.</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76" w:before="120" w:after="120"/>
        <w:ind w:left="0" w:right="0" w:firstLine="720"/>
        <w:jc w:val="both"/>
        <w:rPr/>
      </w:pPr>
      <w:r>
        <w:rPr>
          <w:rFonts w:ascii="Times New Roman;sans-serif" w:hAnsi="Times New Roman;sans-serif"/>
          <w:b w:val="false"/>
          <w:color w:val="000000"/>
          <w:sz w:val="20"/>
          <w:shd w:fill="FFFFFF" w:val="clear"/>
        </w:rPr>
        <w:t>Subscription revenues</w:t>
      </w:r>
      <w:r>
        <w:rPr>
          <w:color w:val="000000"/>
        </w:rPr>
        <w:t xml:space="preserve"> </w:t>
      </w:r>
      <w:r>
        <w:rPr>
          <w:rFonts w:ascii="Times New Roman;sans-serif" w:hAnsi="Times New Roman;sans-serif"/>
          <w:b w:val="false"/>
          <w:color w:val="000000"/>
          <w:sz w:val="20"/>
        </w:rPr>
        <w:t xml:space="preserve">decreased due to a 13.2% decline in affiliate revenues, partially offset by a 6.1% increase in streaming revenues. Affiliate revenues decreased primarily due to basic subscriber declines. Streaming revenues increased due to year-over-year subscriber growth and price increases. Subscription revenues include revenues related to the Company's streaming services of $295.3 million and $278.3 million for the six months ended June 30, 2024 and 2023, respectively. </w:t>
      </w:r>
    </w:p>
    <w:p>
      <w:pPr>
        <w:pStyle w:val="TextBody"/>
        <w:bidi w:val="0"/>
        <w:spacing w:lineRule="auto" w:line="268" w:before="0" w:after="120"/>
        <w:ind w:left="0" w:right="0" w:firstLine="720"/>
        <w:jc w:val="both"/>
        <w:rPr/>
      </w:pPr>
      <w:r>
        <w:rPr>
          <w:rFonts w:ascii="Times New Roman;sans-serif" w:hAnsi="Times New Roman;sans-serif"/>
          <w:b w:val="false"/>
          <w:color w:val="000000"/>
          <w:sz w:val="20"/>
          <w:shd w:fill="FFFFFF" w:val="clear"/>
        </w:rPr>
        <w:t>Content licensing and other revenues</w:t>
      </w:r>
      <w:r>
        <w:rPr>
          <w:color w:val="000000"/>
        </w:rPr>
        <w:t xml:space="preserve"> </w:t>
      </w:r>
      <w:r>
        <w:rPr>
          <w:rFonts w:ascii="Times New Roman;sans-serif" w:hAnsi="Times New Roman;sans-serif"/>
          <w:b w:val="false"/>
          <w:color w:val="000000"/>
          <w:sz w:val="20"/>
        </w:rPr>
        <w:t xml:space="preserve">decreased due to the availability of deliveries in the period, including $56.1 million of revenue associated with the 2023 delivery of the remaining episodes of </w:t>
      </w:r>
      <w:r>
        <w:rPr>
          <w:rFonts w:ascii="Times New Roman;sans-serif" w:hAnsi="Times New Roman;sans-serif"/>
          <w:b w:val="false"/>
          <w:i/>
          <w:color w:val="000000"/>
          <w:sz w:val="20"/>
        </w:rPr>
        <w:t xml:space="preserve">Silo, </w:t>
      </w:r>
      <w:r>
        <w:rPr>
          <w:rFonts w:ascii="Times New Roman;sans-serif" w:hAnsi="Times New Roman;sans-serif"/>
          <w:b w:val="false"/>
          <w:color w:val="000000"/>
          <w:sz w:val="20"/>
        </w:rPr>
        <w:t xml:space="preserve">an AMC Studios produced series, and the impact of $20.3 million recognized in 2023 associated with the early termination of an output agreement that resulted in the acceleration of revenue into 2023, partially offset by the sale of our rights and interests to </w:t>
      </w:r>
      <w:r>
        <w:rPr>
          <w:rFonts w:ascii="Times New Roman;sans-serif" w:hAnsi="Times New Roman;sans-serif"/>
          <w:b w:val="false"/>
          <w:i/>
          <w:color w:val="000000"/>
          <w:sz w:val="20"/>
        </w:rPr>
        <w:t xml:space="preserve">Killing Eve </w:t>
      </w:r>
      <w:r>
        <w:rPr>
          <w:rFonts w:ascii="Times New Roman;sans-serif" w:hAnsi="Times New Roman;sans-serif"/>
          <w:b w:val="false"/>
          <w:color w:val="000000"/>
          <w:sz w:val="20"/>
        </w:rPr>
        <w:t xml:space="preserve">in the first quarter of 2024. </w:t>
      </w:r>
    </w:p>
    <w:p>
      <w:pPr>
        <w:pStyle w:val="TextBody"/>
        <w:bidi w:val="0"/>
        <w:spacing w:lineRule="auto" w:line="276"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due to linear ratings declines and continued softness in the advertising market, partially offset by digital and advanced advertising revenue growth.</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A paid subscription is defined as a subscription to a direct-to-consumer service or a subscription received through distributor arrangements, in which we receive a fee for the distribution of our streaming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6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decreased primarily due to the impact in 2023 associated with the early termination of an output agreement that resulted in the acceleration of program rights amortization into 2023 and a current year decrease in other direct programming costs.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rPr>
        <w:t xml:space="preserve">Technical and operating expenses (excluding depreciation and amortization) decreased primarily due to the impacts in 2023 associated with the </w:t>
      </w:r>
      <w:r>
        <w:rPr>
          <w:rFonts w:ascii="Times New Roman;sans-serif" w:hAnsi="Times New Roman;sans-serif"/>
          <w:b w:val="false"/>
          <w:color w:val="000000"/>
          <w:sz w:val="20"/>
          <w:shd w:fill="FFFFFF" w:val="clear"/>
        </w:rPr>
        <w:t xml:space="preserve">delivery </w:t>
      </w:r>
      <w:r>
        <w:rPr>
          <w:rFonts w:ascii="Times New Roman;sans-serif" w:hAnsi="Times New Roman;sans-serif"/>
          <w:b w:val="false"/>
          <w:color w:val="000000"/>
          <w:sz w:val="20"/>
        </w:rPr>
        <w:t xml:space="preserve">of the remaining episodes of </w:t>
      </w:r>
      <w:r>
        <w:rPr>
          <w:rFonts w:ascii="Times New Roman;sans-serif" w:hAnsi="Times New Roman;sans-serif"/>
          <w:b w:val="false"/>
          <w:i/>
          <w:color w:val="000000"/>
          <w:sz w:val="20"/>
        </w:rPr>
        <w:t xml:space="preserve">Silo, </w:t>
      </w:r>
      <w:r>
        <w:rPr>
          <w:rFonts w:ascii="Times New Roman;sans-serif" w:hAnsi="Times New Roman;sans-serif"/>
          <w:b w:val="false"/>
          <w:color w:val="000000"/>
          <w:sz w:val="20"/>
        </w:rPr>
        <w:t xml:space="preserve">an AMC Studios produced series and the early termination of an output agreement that resulted in the acceleration of program rights amortization into 2023, and a current year decrease in other direct programming costs. These decreases were partially offset by an increase in program rights amortization driven by the slate of AMC Originals premiering over the last twelve months.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primarily due to higher marketing and subscriber acquisition expenses in support of a larger content slate and higher employee related costs.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primarily due to higher marketing and subscriber acquisition expenses in support of a larger content slate.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adjusted operating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the revenue headwinds in our linear businesses. Our continued cost measures and prudent investments, including disciplined acquisition marketing efforts, have mitigated the impact of such headwinds and limited the resulting margin decline from the prior year to low-single digits.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the revenue headwinds in our linear businesses. Our continued cost measures and prudent investments, including disciplined acquisition marketing efforts, have mitigated the impact of such headwinds and limited the resulting margin decline from the prior year to mid-single digits.</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International</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International segment results for the periods indicated.</w:t>
      </w:r>
    </w:p>
    <w:tbl>
      <w:tblPr>
        <w:tblW w:w="10205" w:type="dxa"/>
        <w:jc w:val="left"/>
        <w:tblInd w:w="0" w:type="dxa"/>
        <w:tblLayout w:type="fixed"/>
        <w:tblCellMar>
          <w:top w:w="28" w:type="dxa"/>
          <w:left w:w="28" w:type="dxa"/>
          <w:bottom w:w="28" w:type="dxa"/>
          <w:right w:w="28" w:type="dxa"/>
        </w:tblCellMar>
      </w:tblPr>
      <w:tblGrid>
        <w:gridCol w:w="888"/>
        <w:gridCol w:w="674"/>
        <w:gridCol w:w="558"/>
        <w:gridCol w:w="211"/>
        <w:gridCol w:w="721"/>
        <w:gridCol w:w="109"/>
        <w:gridCol w:w="109"/>
        <w:gridCol w:w="109"/>
        <w:gridCol w:w="109"/>
        <w:gridCol w:w="211"/>
        <w:gridCol w:w="721"/>
        <w:gridCol w:w="109"/>
        <w:gridCol w:w="109"/>
        <w:gridCol w:w="109"/>
        <w:gridCol w:w="109"/>
        <w:gridCol w:w="109"/>
        <w:gridCol w:w="267"/>
        <w:gridCol w:w="267"/>
        <w:gridCol w:w="367"/>
        <w:gridCol w:w="109"/>
        <w:gridCol w:w="109"/>
        <w:gridCol w:w="109"/>
        <w:gridCol w:w="211"/>
        <w:gridCol w:w="826"/>
        <w:gridCol w:w="109"/>
        <w:gridCol w:w="109"/>
        <w:gridCol w:w="109"/>
        <w:gridCol w:w="109"/>
        <w:gridCol w:w="211"/>
        <w:gridCol w:w="826"/>
        <w:gridCol w:w="109"/>
        <w:gridCol w:w="109"/>
        <w:gridCol w:w="109"/>
        <w:gridCol w:w="109"/>
        <w:gridCol w:w="109"/>
        <w:gridCol w:w="267"/>
        <w:gridCol w:w="267"/>
        <w:gridCol w:w="423"/>
      </w:tblGrid>
      <w:tr>
        <w:trPr/>
        <w:tc>
          <w:tcPr>
            <w:tcW w:w="8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66" w:type="dxa"/>
            <w:gridSpan w:val="4"/>
            <w:tcBorders/>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and other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Advertising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39" w:type="dxa"/>
            <w:gridSpan w:val="3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Selling, general and administrative expenses exclude share-based compensation expenses</w:t>
            </w:r>
          </w:p>
        </w:tc>
        <w:tc>
          <w:tcPr>
            <w:tcW w:w="1066" w:type="dxa"/>
            <w:gridSpan w:val="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primarily due to the non-renewal of an AMCNI distribution agreement in the U.K. in the fourth quarter of 2023. </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Content licensing and other revenues dec</w:t>
      </w:r>
      <w:r>
        <w:rPr>
          <w:rFonts w:ascii="Times New Roman;sans-serif" w:hAnsi="Times New Roman;sans-serif"/>
          <w:b w:val="false"/>
          <w:color w:val="000000"/>
          <w:sz w:val="20"/>
        </w:rPr>
        <w:t xml:space="preserve">reased due to the divestiture of the 25/7 Media business on December 29, 2023. 25/7 Media generated $19.2 million of content licensing and other revenue during the three months ended June 30, 2023. </w:t>
      </w:r>
    </w:p>
    <w:p>
      <w:pPr>
        <w:pStyle w:val="TextBody"/>
        <w:bidi w:val="0"/>
        <w:spacing w:lineRule="auto" w:line="268"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increased primarily due to the recognition of a one-time retroactive adjustment reported and paid by a third party for $13.4 million and continued digital and advanced advertising growth in the U.K.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primarily due to the non-renewal of an AMCNI distribution agreement in the U.K. in the fourth quarter of 2023. </w:t>
      </w:r>
    </w:p>
    <w:p>
      <w:pPr>
        <w:pStyle w:val="TextBody"/>
        <w:bidi w:val="0"/>
        <w:spacing w:lineRule="auto" w:line="268" w:before="120" w:after="120"/>
        <w:ind w:left="0" w:right="0" w:firstLine="720"/>
        <w:jc w:val="both"/>
        <w:rPr/>
      </w:pPr>
      <w:r>
        <w:rPr>
          <w:rFonts w:ascii="Times New Roman;sans-serif" w:hAnsi="Times New Roman;sans-serif"/>
          <w:b w:val="false"/>
          <w:color w:val="000000"/>
          <w:sz w:val="20"/>
          <w:shd w:fill="FFFFFF" w:val="clear"/>
        </w:rPr>
        <w:t>Content licensing and other revenues dec</w:t>
      </w:r>
      <w:r>
        <w:rPr>
          <w:rFonts w:ascii="Times New Roman;sans-serif" w:hAnsi="Times New Roman;sans-serif"/>
          <w:b w:val="false"/>
          <w:color w:val="000000"/>
          <w:sz w:val="20"/>
        </w:rPr>
        <w:t xml:space="preserve">reased due to the divestiture of the 25/7 Media business on December 29, 2023. 25/7 Media generated $49.3 million of content licensing and other revenue during the six months ended June 30, 2023. </w:t>
      </w:r>
    </w:p>
    <w:p>
      <w:pPr>
        <w:pStyle w:val="TextBody"/>
        <w:bidi w:val="0"/>
        <w:spacing w:lineRule="auto" w:line="268"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increased primarily due to the recognition of a one-time retroactive adjustment reported and paid by a third party for $13.4 million, digital and advanced advertising growth in the U.K, and increased ratings and growth across Central and Northern Europe advertising markets. </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and operating expenses (excluding depreciation and amortization) decreased primarily due to the divestiture of the 25/7 Media business on December 29, 2023. 25/7 Media incurred $14.4 million of technical and operating expenses during the three months ended June 30, 2023. The remaining decrease was primarily attributable to content cost savings associated with the non-renewal of an AMCNI distribution agreement in the U.K. in the fourth quarter of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and operating expenses (excluding depreciation and amortization) decreased primarily due to the divestiture of the 25/7 Media business on December 29, 2023. 25/7 Media incurred $38.2 million of technical and operating expenses during the six months ended June 30, 2023. The remaining decrease was primarily attributable to content cost savings associated with the non-renewal of an AMCNI distribution agreement in the U.K. in the fourth quarter of 2023. </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primarily due to the divestiture of the 25/7 Media business on December 29, 2023. 25/7 Media incurred $4.0 million of selling, general and administrative expenses during the three months ended June 30,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primarily due to the divestiture of the 25/7 Media business on December 29, 2023, partially offset by an increase in corporate overhead costs allocated to AMCNI. 25/7 Media incurred $8.4 million of selling, general and administrative expenses during the six months ended June 30, 2023. </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adjusted operating income</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segment adjusted operating income was primarily due to the recognition of a one-time retroactive adjustment reported and paid by a third party for $13.4 million, partially offset by the impact of the non-renewal of an AMCNI distribution agreement in the U.K. and the divestiture of the 25/7 Media business on December 29, 2023. 25/7 Media generated $0.9 million of adjusted operating income during the three months ended June 30, 2023.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vs. 2023</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segment adjusted operating income was primarily due to the recognition of a one-time retroactive adjustment reported and paid by a third party for $13.4 million, partially offset by an increase in corporate overhead costs allocated to AMCNI, the impact of the non-renewal of an AMCNI distribution agreement in the U.K., and the divestiture of the 25/7 Media business on December 29, 2023. 25/7 Media generated $2.7 million of adjusted operating income during the six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Corporate and Inter-segment Elimination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Corporate and Inter-segment Eliminations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876"/>
        <w:gridCol w:w="719"/>
        <w:gridCol w:w="636"/>
        <w:gridCol w:w="211"/>
        <w:gridCol w:w="746"/>
        <w:gridCol w:w="109"/>
        <w:gridCol w:w="109"/>
        <w:gridCol w:w="109"/>
        <w:gridCol w:w="109"/>
        <w:gridCol w:w="211"/>
        <w:gridCol w:w="746"/>
        <w:gridCol w:w="109"/>
        <w:gridCol w:w="109"/>
        <w:gridCol w:w="109"/>
        <w:gridCol w:w="109"/>
        <w:gridCol w:w="267"/>
        <w:gridCol w:w="269"/>
        <w:gridCol w:w="367"/>
        <w:gridCol w:w="109"/>
        <w:gridCol w:w="109"/>
        <w:gridCol w:w="109"/>
        <w:gridCol w:w="211"/>
        <w:gridCol w:w="746"/>
        <w:gridCol w:w="109"/>
        <w:gridCol w:w="109"/>
        <w:gridCol w:w="109"/>
        <w:gridCol w:w="109"/>
        <w:gridCol w:w="211"/>
        <w:gridCol w:w="746"/>
        <w:gridCol w:w="109"/>
        <w:gridCol w:w="109"/>
        <w:gridCol w:w="109"/>
        <w:gridCol w:w="109"/>
        <w:gridCol w:w="267"/>
        <w:gridCol w:w="269"/>
        <w:gridCol w:w="367"/>
        <w:gridCol w:w="109"/>
        <w:gridCol w:w="160"/>
      </w:tblGrid>
      <w:tr>
        <w:trPr/>
        <w:tc>
          <w:tcPr>
            <w:tcW w:w="87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 and cloud computing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eliminations are primarily related to inter-segment licensing revenues recognized between the Domestic Operations and International segments.</w:t>
      </w:r>
    </w:p>
    <w:p>
      <w:pPr>
        <w:pStyle w:val="TextBody"/>
        <w:bidi w:val="0"/>
        <w:spacing w:lineRule="auto" w:line="276"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76"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 eliminations are primarily related to inter-segment programming amortization recognized between the Domestic Operations and International segments.</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Corporate overhead costs not allocated to the segments include such costs as executive salaries and benefits, costs of maintaining corporate headquarters, facilities and common support functions.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three and six months ended June 30, 2024 compared to 2023 increased primarily due to higher employee related costs. </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typically generate positive net cash flow from operating activities. However, each of our programming businesses has substantial programming acquisition and production expenditure requirements.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entered into Amendment No. 3 ("Amendment No. 3") to the Second Amended and Restated Credit Agreement, dated as of July 28, 2017 (as amended to date and by Amendment No. 3, the “Credit Agreement”), among AMC Networks and its subsidiary, AMC Network Entertainment LLC (“AMC Network Entertainment”), as the initial borrowers, certain of AMC Networks' subsidiaries, as restricted subsidiaries, Bank of America, N.A., as an L/C Issuer, the lenders party thereto and JPMorgan Chase Bank, N.A., as Administrative Agent, Collateral Agent and an L/C Issuer.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Amendment No. 3, AMC Networks made a partial prepayment of the Term Loan A Facility, bringing the total principal amount outstanding under the Term Loan A Facility to $425 million, and reduced the Revolving Credit Facility to $175 million. In addition, pursuant to Amendment No. 3, the maturity date of $325 million principal amount of loans under the Term Loan A Facility as well as all of the commitments under the Revolving Credit Facility has been extended to April 9, 2028. The maturity date of the remaining $100 million principal amount of loans under the Term Loan A Facility continues to be February 8, 2026. Amendment No. 3 also includes certain other modifications to covenants and other provisions of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AMC Networks issued $875 million aggregate principal amount of 10.25% Senior Secured Notes due January 15, 2029 (the “Secured Notes”). AMC Networks received net proceeds of $863.0 million, after deducting initial purchasers' discounts. The Secured Notes are guaranteed by AMC Network Entertainment and AMC Networks' subsidiaries that guarantee the Credit Agreement.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2024, AMC Networks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2024, AMC Networks Inc. completed a private unregistered offering of $143.8 million aggregate principal amount of its 4.25% Convertible Senior Notes due 2029 (the “Convertible Notes”), which amount includes the full exercise of the initial purchasers’ option to purchase additional Convertible Notes. AMC Networks received net proceeds of $139.4 million, after deducting initial purchasers' discounts. The Convertible Notes are guaranteed by each of the Company’s existing and future domestic subsidiaries that guarantee the Company’s credit facilities and the Company’s 4.25% Senior Notes due 2029 and the Secured Notes, subject to certain exceptions, on a senior, unsecured basis.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repurchased $15.0 million of its outstanding 4.25% Senior Notes due 2029 through open market repurchases, at a discount of $4.9 million, and retired the repurchased notes.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approximately $28.6 million of cash and cash equivalents, previously held by foreign subsidiaries, was repatriated to the United States. Our consolidated cash and cash equivalents balance of $802.6 million, as of June 30, 2024, included approximately $129.0 million held by foreign subsidiaries. Of this amount, approximately $25.0 million is expected to be repatriated to the United States with the remaining amount continuing to be reinvested in foreign operations. Tax expense related to the repatriated amount, as well as the expected remaining repatriation amount, has been accrued and we do not expect to incur any significant, additional taxes related to the remaining balance.</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combination of cash-on-hand, cash generated from operating activities, availability under our Revolving Credit Facility and our accounts receivable monetization program, borrowings under additional financing facilities and proceeds from the issuance of the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2023 Form 10-K. In addition, economic or market disruptions could lead to lower demand for our services, such as loss of subscribers and lower levels of advertising. These events would adversely impact our results of operations, cash flows and financial position.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was not drawn upon at June 30, 2024. The total undrawn revolver commitment is available to be drawn for our general corporate purposes. </w:t>
      </w:r>
    </w:p>
    <w:p>
      <w:pPr>
        <w:pStyle w:val="TextBody"/>
        <w:bidi w:val="0"/>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was in compliance with all of its debt covenants as of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cash flows provided by (used in) operating, investing and financing activities for the periods indicated:</w:t>
      </w:r>
    </w:p>
    <w:tbl>
      <w:tblPr>
        <w:tblW w:w="8273" w:type="dxa"/>
        <w:jc w:val="left"/>
        <w:tblInd w:w="0" w:type="dxa"/>
        <w:tblLayout w:type="fixed"/>
        <w:tblCellMar>
          <w:top w:w="28" w:type="dxa"/>
          <w:left w:w="28" w:type="dxa"/>
          <w:bottom w:w="28" w:type="dxa"/>
          <w:right w:w="28" w:type="dxa"/>
        </w:tblCellMar>
      </w:tblPr>
      <w:tblGrid>
        <w:gridCol w:w="2038"/>
        <w:gridCol w:w="1798"/>
        <w:gridCol w:w="1803"/>
        <w:gridCol w:w="211"/>
        <w:gridCol w:w="826"/>
        <w:gridCol w:w="109"/>
        <w:gridCol w:w="109"/>
        <w:gridCol w:w="109"/>
        <w:gridCol w:w="109"/>
        <w:gridCol w:w="211"/>
        <w:gridCol w:w="79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63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76" w:before="120" w:after="120"/>
        <w:ind w:left="0" w:right="0" w:firstLine="495"/>
        <w:jc w:val="both"/>
        <w:rPr/>
      </w:pPr>
      <w:r>
        <w:rPr>
          <w:rFonts w:ascii="Times New Roman;sans-serif" w:hAnsi="Times New Roman;sans-serif"/>
          <w:b w:val="false"/>
          <w:color w:val="000000"/>
          <w:sz w:val="20"/>
          <w:shd w:fill="FFFFFF" w:val="clear"/>
        </w:rPr>
        <w:t xml:space="preserve">Net cash provided by operating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six months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and 2023 amounted to </w:t>
      </w:r>
      <w:r>
        <w:rPr>
          <w:rFonts w:ascii="Times New Roman;sans-serif" w:hAnsi="Times New Roman;sans-serif"/>
          <w:b w:val="false"/>
          <w:color w:val="000000"/>
          <w:sz w:val="20"/>
        </w:rPr>
        <w:t>$255.3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$25.0 million</w:t>
      </w:r>
      <w:r>
        <w:rPr>
          <w:rFonts w:ascii="Times New Roman;sans-serif" w:hAnsi="Times New Roman;sans-serif"/>
          <w:b w:val="false"/>
          <w:color w:val="000000"/>
          <w:sz w:val="20"/>
          <w:shd w:fill="FFFFFF" w:val="clear"/>
        </w:rPr>
        <w:t xml:space="preserve">, respectively.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net cash provided by operating activities primarily resulted from $615.6 million of net income before amortization of program rights, depreciation and amortization, and other non-cash items, partially offset by payments for program rights of $435.5 million. Changes in all other assets and liabilities resulted in a net cash inflow of $75.2 million. </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provided by operating activities primarily resulted from $709.3 million of net income before amortization of program rights, depreciation and amortization, and other non-cash items, partially offset by payments for program rights of $644.1 million and restructuring initiatives of $88.5 million. Changes in all other assets and liabilities resulted in a net cash inflow of $48.3 million.</w:t>
      </w:r>
    </w:p>
    <w:p>
      <w:pPr>
        <w:pStyle w:val="TextBody"/>
        <w:bidi w:val="0"/>
        <w:spacing w:lineRule="auto" w:line="276"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76" w:before="120" w:after="120"/>
        <w:ind w:left="0" w:right="0" w:firstLine="495"/>
        <w:jc w:val="both"/>
        <w:rPr/>
      </w:pPr>
      <w:r>
        <w:rPr>
          <w:rFonts w:ascii="Times New Roman;sans-serif" w:hAnsi="Times New Roman;sans-serif"/>
          <w:b w:val="false"/>
          <w:color w:val="000000"/>
          <w:sz w:val="20"/>
          <w:shd w:fill="FFFFFF" w:val="clear"/>
        </w:rPr>
        <w:t xml:space="preserve">Net cash used in investing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six months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and 2023 amounted to </w:t>
      </w:r>
      <w:r>
        <w:rPr>
          <w:rFonts w:ascii="Times New Roman;sans-serif" w:hAnsi="Times New Roman;sans-serif"/>
          <w:b w:val="false"/>
          <w:color w:val="000000"/>
          <w:sz w:val="20"/>
        </w:rPr>
        <w:t>$12.0 million and $13.0 million, respectively.</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net cash used in investing activities consisted primarily of capital expenditures.</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investing activities consisted primarily of capital expenditures of $21.5 million, partially offset by proceeds from the sale of investments of $8.6 million.</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Net cash used in financing activities 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six months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and 2023 amounted to </w:t>
      </w:r>
      <w:r>
        <w:rPr>
          <w:rFonts w:ascii="Times New Roman;sans-serif" w:hAnsi="Times New Roman;sans-serif"/>
          <w:b w:val="false"/>
          <w:color w:val="000000"/>
          <w:sz w:val="20"/>
        </w:rPr>
        <w:t>$5.9 million and $54.8 million, respectively.</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net cash used in financing activities primarily related to long-term debt refinancing transactions and the Convertible Notes issuance as well as distributions to noncontrolling interests of $16.5 million. </w:t>
      </w:r>
    </w:p>
    <w:p>
      <w:pPr>
        <w:pStyle w:val="TextBody"/>
        <w:bidi w:val="0"/>
        <w:spacing w:lineRule="auto" w:line="276"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financing activities primarily consisted of distributions to noncontrolling interests of $27.1 million, principal payments on the Term Loan A Facility of $16.9 million, and taxes paid in lieu of shares issued for equity-based compensation of $7.2 million.</w:t>
      </w:r>
    </w:p>
    <w:p>
      <w:pPr>
        <w:pStyle w:val="TextBody"/>
        <w:bidi w:val="0"/>
        <w:spacing w:before="12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firstLine="450"/>
        <w:jc w:val="both"/>
        <w:rPr/>
      </w:pPr>
      <w:r>
        <w:rPr>
          <w:rFonts w:ascii="Times New Roman;sans-serif" w:hAnsi="Times New Roman;sans-serif"/>
          <w:b w:val="false"/>
          <w:i/>
          <w:color w:val="000000"/>
          <w:sz w:val="20"/>
        </w:rPr>
        <w:t>Free Cash Flow</w:t>
      </w:r>
      <w:r>
        <w:rPr>
          <w:rFonts w:ascii="Times New Roman;sans-serif" w:hAnsi="Times New Roman;sans-serif"/>
          <w:b w:val="false"/>
          <w:i/>
          <w:color w:val="000000"/>
          <w:sz w:val="13"/>
        </w:rPr>
        <w:t>3</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Free Cash Flow for the periods indicated:</w:t>
      </w:r>
    </w:p>
    <w:tbl>
      <w:tblPr>
        <w:tblW w:w="6350" w:type="dxa"/>
        <w:jc w:val="left"/>
        <w:tblInd w:w="0" w:type="dxa"/>
        <w:tblLayout w:type="fixed"/>
        <w:tblCellMar>
          <w:top w:w="28" w:type="dxa"/>
          <w:left w:w="28" w:type="dxa"/>
          <w:bottom w:w="28" w:type="dxa"/>
          <w:right w:w="28" w:type="dxa"/>
        </w:tblCellMar>
      </w:tblPr>
      <w:tblGrid>
        <w:gridCol w:w="1254"/>
        <w:gridCol w:w="1101"/>
        <w:gridCol w:w="1109"/>
        <w:gridCol w:w="109"/>
        <w:gridCol w:w="109"/>
        <w:gridCol w:w="109"/>
        <w:gridCol w:w="211"/>
        <w:gridCol w:w="826"/>
        <w:gridCol w:w="109"/>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free cash flow is reflective of our cost management measures, including remaining prudent with our investments in programming, and due to the timing of payments made in connection with our restructuring initiatives. </w:t>
      </w:r>
    </w:p>
    <w:tbl>
      <w:tblPr>
        <w:tblW w:w="6216"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211"/>
        <w:gridCol w:w="691"/>
        <w:gridCol w:w="109"/>
        <w:gridCol w:w="109"/>
        <w:gridCol w:w="109"/>
        <w:gridCol w:w="109"/>
        <w:gridCol w:w="211"/>
        <w:gridCol w:w="79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Supplemental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pStyle w:val="TextBody"/>
        <w:bidi w:val="0"/>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contractual obligations not reflected on the condensed consolidated balance sheet decreased $3.2 million, as compared to December 31, 2023, to $870.4 million. The decrease was primarily driven by payments for program rights, partially offset by additional program rights commitments.</w:t>
      </w:r>
    </w:p>
    <w:p>
      <w:pPr>
        <w:pStyle w:val="TextBody"/>
        <w:bidi w:val="0"/>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Supplemental Guarantor Financial Information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terms and conditions of the guarantees with respect to the notes outstanding as of June 30, 2024 for which AMC Networks is the issuer. </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Note Guarantees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Debt of AMC Networks as of June 30, 2024 included $875.0 million of 10.25% Senior Secured Notes due 2029, $985.0 million of 4.25% Senior Notes due 2029, and $143.8 million of 4.25% Convertible Senior Notes due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subsidiaries of AMC Networks do not and will not guarantee the notes. </w:t>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Free Cash Flow is a non-GAAP financial measure. See the "Non-GAAP Financial Measures" section on page 45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Summarized Financial Information</w:t>
      </w:r>
    </w:p>
    <w:tbl>
      <w:tblPr>
        <w:tblW w:w="10113" w:type="dxa"/>
        <w:jc w:val="left"/>
        <w:tblInd w:w="0" w:type="dxa"/>
        <w:tblLayout w:type="fixed"/>
        <w:tblCellMar>
          <w:top w:w="28" w:type="dxa"/>
          <w:left w:w="28" w:type="dxa"/>
          <w:bottom w:w="28" w:type="dxa"/>
          <w:right w:w="28" w:type="dxa"/>
        </w:tblCellMar>
      </w:tblPr>
      <w:tblGrid>
        <w:gridCol w:w="864"/>
        <w:gridCol w:w="759"/>
        <w:gridCol w:w="762"/>
        <w:gridCol w:w="288"/>
        <w:gridCol w:w="988"/>
        <w:gridCol w:w="148"/>
        <w:gridCol w:w="114"/>
        <w:gridCol w:w="114"/>
        <w:gridCol w:w="114"/>
        <w:gridCol w:w="353"/>
        <w:gridCol w:w="1385"/>
        <w:gridCol w:w="182"/>
        <w:gridCol w:w="109"/>
        <w:gridCol w:w="109"/>
        <w:gridCol w:w="109"/>
        <w:gridCol w:w="262"/>
        <w:gridCol w:w="1027"/>
        <w:gridCol w:w="135"/>
        <w:gridCol w:w="109"/>
        <w:gridCol w:w="109"/>
        <w:gridCol w:w="109"/>
        <w:gridCol w:w="309"/>
        <w:gridCol w:w="1430"/>
        <w:gridCol w:w="225"/>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Statement</w:t>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2385" w:type="dxa"/>
            <w:gridSpan w:val="3"/>
            <w:vMerge w:val="continue"/>
            <w:tcBorders/>
            <w:tcMar>
              <w:top w:w="0" w:type="dxa"/>
              <w:left w:w="0" w:type="dxa"/>
              <w:bottom w:w="0" w:type="dxa"/>
              <w:right w:w="0" w:type="dxa"/>
            </w:tcMar>
            <w:vAlign w:val="center"/>
          </w:tcPr>
          <w:p>
            <w:pPr>
              <w:pStyle w:val="Normal"/>
              <w:bidi w:val="0"/>
              <w:jc w:val="left"/>
              <w:rPr/>
            </w:pPr>
            <w:r>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875,842 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1,009,946 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718,568 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753,189 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157,274 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256,757 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8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41,117 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125,128 </w:t>
            </w:r>
          </w:p>
        </w:tc>
        <w:tc>
          <w:tcPr>
            <w:tcW w:w="18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223,608 </w:t>
            </w:r>
          </w:p>
        </w:tc>
        <w:tc>
          <w:tcPr>
            <w:tcW w:w="13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304,027 </w:t>
            </w:r>
          </w:p>
        </w:tc>
        <w:tc>
          <w:tcPr>
            <w:tcW w:w="22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934"/>
        <w:gridCol w:w="817"/>
        <w:gridCol w:w="818"/>
        <w:gridCol w:w="287"/>
        <w:gridCol w:w="977"/>
        <w:gridCol w:w="147"/>
        <w:gridCol w:w="109"/>
        <w:gridCol w:w="109"/>
        <w:gridCol w:w="109"/>
        <w:gridCol w:w="384"/>
        <w:gridCol w:w="1306"/>
        <w:gridCol w:w="198"/>
        <w:gridCol w:w="109"/>
        <w:gridCol w:w="109"/>
        <w:gridCol w:w="109"/>
        <w:gridCol w:w="287"/>
        <w:gridCol w:w="977"/>
        <w:gridCol w:w="147"/>
        <w:gridCol w:w="109"/>
        <w:gridCol w:w="109"/>
        <w:gridCol w:w="109"/>
        <w:gridCol w:w="416"/>
        <w:gridCol w:w="1214"/>
        <w:gridCol w:w="315"/>
      </w:tblGrid>
      <w:tr>
        <w:trPr/>
        <w:tc>
          <w:tcPr>
            <w:tcW w:w="9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subsidiaries</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91,076 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1,156,533 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3,752,217 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3,058,243 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3,676,129 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3,301,046 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equity:</w:t>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subsidiaries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572,511 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173,031 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666,783 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2,559,230 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2,516,977 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describe our significant accounting policies in Note 2 to the Company's Consolidated Financial Statements included in our 2023 Form 10-K. There have been no significant changes in our significant accounting policies since December 31, 2023.</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our critical accounting estimates in Item 7, "Management's Discussion and Analysis of Financial Condition and Results of Operations," in our 2023 Form 10-K. There have been no significant changes in our critical accounting estimates since December 31, 2023.</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Internally, we use AOI and Free Cash Flow as the most important indicators of our business performance, and evaluate management's effectiveness with specific reference to these indicators.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operating income (loss) to AOI for the periods indicated:</w:t>
      </w:r>
    </w:p>
    <w:tbl>
      <w:tblPr>
        <w:tblW w:w="10205" w:type="dxa"/>
        <w:jc w:val="left"/>
        <w:tblInd w:w="0" w:type="dxa"/>
        <w:tblLayout w:type="fixed"/>
        <w:tblCellMar>
          <w:top w:w="28" w:type="dxa"/>
          <w:left w:w="28" w:type="dxa"/>
          <w:bottom w:w="28" w:type="dxa"/>
          <w:right w:w="28" w:type="dxa"/>
        </w:tblCellMar>
      </w:tblPr>
      <w:tblGrid>
        <w:gridCol w:w="1089"/>
        <w:gridCol w:w="900"/>
        <w:gridCol w:w="907"/>
        <w:gridCol w:w="278"/>
        <w:gridCol w:w="1091"/>
        <w:gridCol w:w="143"/>
        <w:gridCol w:w="109"/>
        <w:gridCol w:w="109"/>
        <w:gridCol w:w="109"/>
        <w:gridCol w:w="211"/>
        <w:gridCol w:w="784"/>
        <w:gridCol w:w="109"/>
        <w:gridCol w:w="109"/>
        <w:gridCol w:w="109"/>
        <w:gridCol w:w="109"/>
        <w:gridCol w:w="501"/>
        <w:gridCol w:w="1754"/>
        <w:gridCol w:w="262"/>
        <w:gridCol w:w="109"/>
        <w:gridCol w:w="109"/>
        <w:gridCol w:w="109"/>
        <w:gridCol w:w="211"/>
        <w:gridCol w:w="826"/>
        <w:gridCol w:w="158"/>
      </w:tblGrid>
      <w:tr>
        <w:trPr/>
        <w:tc>
          <w:tcPr>
            <w:tcW w:w="108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(48,152)</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89"/>
        <w:gridCol w:w="900"/>
        <w:gridCol w:w="907"/>
        <w:gridCol w:w="278"/>
        <w:gridCol w:w="1091"/>
        <w:gridCol w:w="143"/>
        <w:gridCol w:w="109"/>
        <w:gridCol w:w="109"/>
        <w:gridCol w:w="109"/>
        <w:gridCol w:w="211"/>
        <w:gridCol w:w="784"/>
        <w:gridCol w:w="109"/>
        <w:gridCol w:w="109"/>
        <w:gridCol w:w="109"/>
        <w:gridCol w:w="109"/>
        <w:gridCol w:w="501"/>
        <w:gridCol w:w="1754"/>
        <w:gridCol w:w="262"/>
        <w:gridCol w:w="109"/>
        <w:gridCol w:w="109"/>
        <w:gridCol w:w="109"/>
        <w:gridCol w:w="211"/>
        <w:gridCol w:w="826"/>
        <w:gridCol w:w="158"/>
      </w:tblGrid>
      <w:tr>
        <w:trPr/>
        <w:tc>
          <w:tcPr>
            <w:tcW w:w="108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(45,124)</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184,806 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89"/>
        <w:gridCol w:w="900"/>
        <w:gridCol w:w="907"/>
        <w:gridCol w:w="278"/>
        <w:gridCol w:w="1091"/>
        <w:gridCol w:w="143"/>
        <w:gridCol w:w="109"/>
        <w:gridCol w:w="109"/>
        <w:gridCol w:w="109"/>
        <w:gridCol w:w="211"/>
        <w:gridCol w:w="784"/>
        <w:gridCol w:w="109"/>
        <w:gridCol w:w="109"/>
        <w:gridCol w:w="109"/>
        <w:gridCol w:w="109"/>
        <w:gridCol w:w="501"/>
        <w:gridCol w:w="1754"/>
        <w:gridCol w:w="262"/>
        <w:gridCol w:w="109"/>
        <w:gridCol w:w="109"/>
        <w:gridCol w:w="109"/>
        <w:gridCol w:w="211"/>
        <w:gridCol w:w="826"/>
        <w:gridCol w:w="158"/>
      </w:tblGrid>
      <w:tr>
        <w:trPr/>
        <w:tc>
          <w:tcPr>
            <w:tcW w:w="108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244,752 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(88,600)</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317,667 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(58,401)</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7"/>
        <w:gridCol w:w="911"/>
        <w:gridCol w:w="918"/>
        <w:gridCol w:w="279"/>
        <w:gridCol w:w="1096"/>
        <w:gridCol w:w="144"/>
        <w:gridCol w:w="109"/>
        <w:gridCol w:w="109"/>
        <w:gridCol w:w="109"/>
        <w:gridCol w:w="211"/>
        <w:gridCol w:w="721"/>
        <w:gridCol w:w="109"/>
        <w:gridCol w:w="109"/>
        <w:gridCol w:w="109"/>
        <w:gridCol w:w="109"/>
        <w:gridCol w:w="506"/>
        <w:gridCol w:w="1772"/>
        <w:gridCol w:w="265"/>
        <w:gridCol w:w="109"/>
        <w:gridCol w:w="109"/>
        <w:gridCol w:w="109"/>
        <w:gridCol w:w="211"/>
        <w:gridCol w:w="826"/>
        <w:gridCol w:w="158"/>
      </w:tblGrid>
      <w:tr>
        <w:trPr/>
        <w:tc>
          <w:tcPr>
            <w:tcW w:w="109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Domestic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 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362,018 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(85,450)</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and other charges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404,194 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(51,977)</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392,540 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We define Free Cash Flow, which is a non-GAAP financial measure, as net cash provided by operating activities less capital expenditures, all of which are reported in our Consolidated Statement of Cash Flows. </w:t>
      </w:r>
      <w:r>
        <w:rPr>
          <w:rFonts w:ascii="Times New Roman;sans-serif" w:hAnsi="Times New Roman;sans-serif"/>
          <w:b w:val="false"/>
          <w:color w:val="000000"/>
          <w:sz w:val="20"/>
          <w:shd w:fill="FFFFFF" w:val="clear"/>
        </w:rPr>
        <w:t xml:space="preserve">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its liquidity </w:t>
      </w:r>
      <w:r>
        <w:rPr>
          <w:rFonts w:ascii="Times New Roman;sans-serif" w:hAnsi="Times New Roman;sans-serif"/>
          <w:b w:val="false"/>
          <w:color w:val="000000"/>
          <w:sz w:val="20"/>
        </w:rPr>
        <w:t xml:space="preserve">with other companies in our industry, although our measure of Free Cash Flow may not be directly comparable to similar measures reported by other companies. </w:t>
      </w:r>
    </w:p>
    <w:p>
      <w:pPr>
        <w:pStyle w:val="TextBody"/>
        <w:bidi w:val="0"/>
        <w:spacing w:lineRule="auto" w:line="336" w:before="120" w:after="120"/>
        <w:ind w:left="0" w:right="0" w:firstLine="495"/>
        <w:jc w:val="both"/>
        <w:rPr/>
      </w:pPr>
      <w:r>
        <w:rPr>
          <w:rFonts w:ascii="Times New Roman;sans-serif" w:hAnsi="Times New Roman;sans-serif"/>
          <w:b w:val="false"/>
          <w:color w:val="000000"/>
          <w:sz w:val="20"/>
        </w:rPr>
        <w:t>The following is a reconciliation of</w:t>
      </w:r>
      <w:r>
        <w:rPr>
          <w:color w:val="000000"/>
          <w:shd w:fill="FFFFFF" w:val="clear"/>
        </w:rPr>
        <w:t xml:space="preserve"> </w:t>
      </w:r>
      <w:r>
        <w:rPr>
          <w:rFonts w:ascii="Times New Roman;sans-serif" w:hAnsi="Times New Roman;sans-serif"/>
          <w:b w:val="false"/>
          <w:color w:val="000000"/>
          <w:sz w:val="20"/>
          <w:shd w:fill="FFFFFF" w:val="clear"/>
        </w:rPr>
        <w:t>net cash provided by operating activities</w:t>
      </w:r>
      <w:r>
        <w:rPr>
          <w:color w:val="000000"/>
        </w:rPr>
        <w:t xml:space="preserve"> </w:t>
      </w:r>
      <w:r>
        <w:rPr>
          <w:rFonts w:ascii="Times New Roman;sans-serif" w:hAnsi="Times New Roman;sans-serif"/>
          <w:b w:val="false"/>
          <w:color w:val="000000"/>
          <w:sz w:val="20"/>
        </w:rPr>
        <w:t>to Free Cash Flow for the periods indicated:</w:t>
      </w:r>
    </w:p>
    <w:tbl>
      <w:tblPr>
        <w:tblW w:w="6350" w:type="dxa"/>
        <w:jc w:val="left"/>
        <w:tblInd w:w="0" w:type="dxa"/>
        <w:tblLayout w:type="fixed"/>
        <w:tblCellMar>
          <w:top w:w="28" w:type="dxa"/>
          <w:left w:w="28" w:type="dxa"/>
          <w:bottom w:w="28" w:type="dxa"/>
          <w:right w:w="28" w:type="dxa"/>
        </w:tblCellMar>
      </w:tblPr>
      <w:tblGrid>
        <w:gridCol w:w="1254"/>
        <w:gridCol w:w="1101"/>
        <w:gridCol w:w="1109"/>
        <w:gridCol w:w="109"/>
        <w:gridCol w:w="109"/>
        <w:gridCol w:w="109"/>
        <w:gridCol w:w="211"/>
        <w:gridCol w:w="826"/>
        <w:gridCol w:w="109"/>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level of interest rates prevailing at June 30, 2024, the carrying value of our fixed rate debt of $1.97 billion was more than its fair value of $1.65 billion by approximately $320.9 million. The fair value of these financial instruments is estimated based on reference to quoted market prices for these or comparable securities. A hypothetical 100 basis point decrease in interest rates prevailing at June 30, 2024 would increase the estimated fair value of our fixed rate debt by approximately $60.2 million to approximately $1.71 billion.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Interest Rate Risk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three and six months ended June 30, 2024, we did not have any interest rate swap contracts outstanding. </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$2.4 billion of debt outstanding (excluding finance leases), of which $416.9 million is outstanding under our loan facility and is subject to variable interest rates. A hypothetical 100 basis point increase in interest rates prevailing at June 30, 2024 would increase our annual interest expense by approximately $4.2 million. The interest rate paid on approximately 83% of our debt (excluding finance leases) as of June 30, 2024 is fixed.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Foreign Currency Exchange Rate Risk</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w:t>
      </w:r>
      <w:r>
        <w:rPr>
          <w:color w:val="000000"/>
          <w:shd w:fill="FFFFFF" w:val="clear"/>
        </w:rPr>
        <w:t xml:space="preserve"> </w:t>
      </w:r>
      <w:r>
        <w:rPr>
          <w:rFonts w:ascii="Times New Roman;sans-serif" w:hAnsi="Times New Roman;sans-serif"/>
          <w:b w:val="false"/>
          <w:color w:val="000000"/>
          <w:sz w:val="20"/>
          <w:shd w:fill="FFFFFF" w:val="clear"/>
        </w:rPr>
        <w:t xml:space="preserve">as a result of changes in foreign currency exchange rates. The Company recognized losses of $1.2 million and $3.9 million </w:t>
      </w:r>
      <w:r>
        <w:rPr>
          <w:rFonts w:ascii="Times New Roman;sans-serif" w:hAnsi="Times New Roman;sans-serif"/>
          <w:b w:val="false"/>
          <w:color w:val="000000"/>
          <w:sz w:val="20"/>
        </w:rPr>
        <w:t xml:space="preserve">for the three and six months ended June 30, 2024, respectively, and </w:t>
      </w:r>
      <w:r>
        <w:rPr>
          <w:rFonts w:ascii="Times New Roman;sans-serif" w:hAnsi="Times New Roman;sans-serif"/>
          <w:b w:val="false"/>
          <w:color w:val="000000"/>
          <w:sz w:val="20"/>
          <w:shd w:fill="FFFFFF" w:val="clear"/>
        </w:rPr>
        <w:t xml:space="preserve">gains of $3.1 million and $2.5 million </w:t>
      </w:r>
      <w:r>
        <w:rPr>
          <w:rFonts w:ascii="Times New Roman;sans-serif" w:hAnsi="Times New Roman;sans-serif"/>
          <w:b w:val="false"/>
          <w:color w:val="000000"/>
          <w:sz w:val="20"/>
        </w:rPr>
        <w:t>for the three and six months ended June 30, 2023, respectively, related to foreign currency transactions. Such amounts are included in miscellaneous, net in the condensed consolidated statements of income (loss).</w:t>
      </w:r>
    </w:p>
    <w:p>
      <w:pPr>
        <w:pStyle w:val="TextBody"/>
        <w:bidi w:val="0"/>
        <w:spacing w:lineRule="auto" w:line="288" w:before="120" w:after="12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June 30, 2024, the Company's principal executive officer (our Chief Executive Officer) and principal financial officer (our Chief Financial Officer) concluded that the Company's disclosure controls and procedures are effective.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there were no changes in the Company's internal control over financial reporting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14, Commitments and Contingencies to the condensed consolidated financial statements included in this Quarterly Report on Form 10-Q for a description of our legal proceedings. </w:t>
      </w:r>
    </w:p>
    <w:p>
      <w:pPr>
        <w:pStyle w:val="TextBody"/>
        <w:bidi w:val="0"/>
        <w:spacing w:before="100" w:after="1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 xml:space="preserve">For the three and six months ended June 30, 2024, the Company did not repurchase any of its Class A common stock. As of June 30, 2024,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 xml:space="preserve">of authorization remaining for repurchase under the Stock Repurchase Program.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ind w:left="0" w:right="0" w:hanging="720"/>
        <w:jc w:val="left"/>
        <w:rPr/>
      </w:pPr>
      <w:r>
        <w:rPr>
          <w:rFonts w:ascii="Times New Roman;sans-serif" w:hAnsi="Times New Roman;sans-serif"/>
          <w:b/>
          <w:color w:val="000000"/>
          <w:sz w:val="20"/>
        </w:rPr>
        <w:t>(a)</w:t>
      </w:r>
      <w:r>
        <w:rPr>
          <w:rFonts w:ascii="Times New Roman;sans-serif" w:hAnsi="Times New Roman;sans-serif"/>
          <w:b w:val="false"/>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23"/>
        <w:gridCol w:w="174"/>
        <w:gridCol w:w="175"/>
        <w:gridCol w:w="3206"/>
        <w:gridCol w:w="2661"/>
        <w:gridCol w:w="3766"/>
      </w:tblGrid>
      <w:tr>
        <w:trPr/>
        <w:tc>
          <w:tcPr>
            <w:tcW w:w="2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Indenture, dated as of April 9, 2024, among AMC Networks, as issuer, the Guarantors and U.S. Bank Trust Company, National Association, as Trustee (incorporated by reference to Exhibit 4.1 to the Company’s Current Report on Form 8-K filed on April 10, 2024).</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Amendment No. 3, dated as of April 9, 2024, to Second Amended and Restated Credit Agreement, dated as of July 28, 2017, among AMC Networks and its subsidiary, AMC Network Entertainment LLC, as the initial borrowers, certain of AMC Networks’ subsidiaries, as restricted subsidiaries, Bank of America, N.A., as an L/C Issuer, the lenders party thereto, and JPMorgan Chase Bank, N.A., as Administrative Agent, Collateral Agent and an L/C Issuer. (incorporated by reference to Exhibit 10.1 to the Company’s Current Report on Form 8-K filed on April 10, 2024).</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Indenture, dated as of June 21, 2024, by and among the Company, the Guarantors and U.S. Bank Trust Company, National Association, as Trustee (incorporated by reference to Exhibit 4.1 to the Company's Current Report on Form 8-K filed on June 21, 2024).</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80"/>
                  <w:sz w:val="20"/>
                  <w:u w:val="single"/>
                </w:rPr>
                <w:t xml:space="preserve">Form of Global Note, representing AMC Networks Inc.’s 4.25% Convertible Senior Notes due 2029 (included as Exhibit A to the Indenture filed as Exhibit </w:t>
              </w:r>
            </w:hyperlink>
            <w:hyperlink r:id="rId6">
              <w:r>
                <w:rPr>
                  <w:rStyle w:val="InternetLink"/>
                  <w:rFonts w:ascii="Times New Roman;sans-serif" w:hAnsi="Times New Roman;sans-serif"/>
                  <w:b w:val="false"/>
                  <w:color w:val="000080"/>
                  <w:sz w:val="20"/>
                  <w:u w:val="single"/>
                </w:rPr>
                <w:t>10</w:t>
              </w:r>
            </w:hyperlink>
            <w:hyperlink r:id="rId7">
              <w:r>
                <w:rPr>
                  <w:rStyle w:val="InternetLink"/>
                  <w:rFonts w:ascii="Times New Roman;sans-serif" w:hAnsi="Times New Roman;sans-serif"/>
                  <w:b w:val="false"/>
                  <w:color w:val="000080"/>
                  <w:sz w:val="20"/>
                  <w:u w:val="single"/>
                </w:rPr>
                <w:t>.</w:t>
              </w:r>
            </w:hyperlink>
            <w:hyperlink r:id="rId8">
              <w:r>
                <w:rPr>
                  <w:rStyle w:val="InternetLink"/>
                  <w:rFonts w:ascii="Times New Roman;sans-serif" w:hAnsi="Times New Roman;sans-serif"/>
                  <w:b w:val="false"/>
                  <w:color w:val="000080"/>
                  <w:sz w:val="20"/>
                  <w:u w:val="single"/>
                </w:rPr>
                <w:t>3 to this Qua</w:t>
              </w:r>
            </w:hyperlink>
            <w:hyperlink r:id="rId9">
              <w:r>
                <w:rPr>
                  <w:rStyle w:val="InternetLink"/>
                  <w:rFonts w:ascii="Times New Roman;sans-serif" w:hAnsi="Times New Roman;sans-serif"/>
                  <w:b w:val="false"/>
                  <w:color w:val="000080"/>
                  <w:sz w:val="20"/>
                  <w:u w:val="single"/>
                </w:rPr>
                <w:t>rterly Report on F</w:t>
              </w:r>
            </w:hyperlink>
            <w:hyperlink r:id="rId10">
              <w:r>
                <w:rPr>
                  <w:rStyle w:val="InternetLink"/>
                  <w:rFonts w:ascii="Times New Roman;sans-serif" w:hAnsi="Times New Roman;sans-serif"/>
                  <w:b w:val="false"/>
                  <w:color w:val="000080"/>
                  <w:sz w:val="20"/>
                  <w:u w:val="single"/>
                </w:rPr>
                <w:t>orm 10-Q</w:t>
              </w:r>
            </w:hyperlink>
            <w:hyperlink r:id="rId11">
              <w:r>
                <w:rPr>
                  <w:rStyle w:val="InternetLink"/>
                  <w:rFonts w:ascii="Times New Roman;sans-serif" w:hAnsi="Times New Roman;sans-serif"/>
                  <w:b w:val="false"/>
                  <w:color w:val="000080"/>
                  <w:sz w:val="20"/>
                  <w:u w:val="single"/>
                </w:rPr>
                <w:t>) (incorporated by reference to the Company's Current Report on Form 8-K filed on June 21, 2024).</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pPr>
            <w:hyperlink w:anchor="amcx-6302024xex105.htm">
              <w:r>
                <w:rPr>
                  <w:rStyle w:val="InternetLink"/>
                  <w:rFonts w:ascii="Times New Roman;sans-serif" w:hAnsi="Times New Roman;sans-serif"/>
                  <w:b w:val="false"/>
                  <w:color w:val="0000FF"/>
                  <w:sz w:val="20"/>
                  <w:u w:val="single"/>
                </w:rPr>
                <w:t>Separation Agreement, dated July 26, 2024, by and between AMC Networks Inc. and James G. Gallagher.</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4xex22.htm">
              <w:r>
                <w:rPr>
                  <w:rStyle w:val="InternetLink"/>
                  <w:rFonts w:ascii="Times New Roman;sans-serif" w:hAnsi="Times New Roman;sans-serif"/>
                  <w:b w:val="false"/>
                  <w:color w:val="0000FF"/>
                  <w:sz w:val="20"/>
                  <w:u w:val="single"/>
                </w:rPr>
                <w:t>Guarantor Subsidiaries of the Registrant</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4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4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6302024xex32.htm">
              <w:r>
                <w:rPr>
                  <w:rStyle w:val="InternetLink"/>
                  <w:rFonts w:ascii="Times New Roman;sans-serif" w:hAnsi="Times New Roman;sans-serif"/>
                  <w:b w:val="false"/>
                  <w:color w:val="0000FF"/>
                  <w:sz w:val="20"/>
                  <w:u w:val="single"/>
                </w:rPr>
                <w:t>Certifications of Chief Executive Officer and Chief Financial Officer pursuant to Section 906 of the Sarbanes-Oxley Act of 2002, 18 U.S.C. Section 1350.</w:t>
              </w:r>
            </w:hyperlink>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vAlign w:val="center"/>
          </w:tcPr>
          <w:p>
            <w:pPr>
              <w:pStyle w:val="TableContents"/>
              <w:bidi w:val="0"/>
              <w:spacing w:before="0" w:after="283"/>
              <w:jc w:val="left"/>
              <w:rPr>
                <w:sz w:val="4"/>
                <w:szCs w:val="4"/>
              </w:rPr>
            </w:pPr>
            <w:r>
              <w:rPr>
                <w:sz w:val="4"/>
                <w:szCs w:val="4"/>
              </w:rPr>
            </w:r>
          </w:p>
        </w:tc>
        <w:tc>
          <w:tcPr>
            <w:tcW w:w="9633" w:type="dxa"/>
            <w:gridSpan w:val="3"/>
            <w:tcBorders/>
            <w:vAlign w:val="center"/>
          </w:tcPr>
          <w:p>
            <w:pPr>
              <w:pStyle w:val="TableContents"/>
              <w:bidi w:val="0"/>
              <w:spacing w:before="0" w:after="283"/>
              <w:jc w:val="left"/>
              <w:rPr>
                <w:sz w:val="4"/>
                <w:szCs w:val="4"/>
              </w:rPr>
            </w:pPr>
            <w:r>
              <w:rPr>
                <w:sz w:val="4"/>
                <w:szCs w:val="4"/>
              </w:rPr>
            </w:r>
          </w:p>
        </w:tc>
      </w:tr>
      <w:tr>
        <w:trPr/>
        <w:tc>
          <w:tcPr>
            <w:tcW w:w="572" w:type="dxa"/>
            <w:gridSpan w:val="3"/>
            <w:tcBorders/>
            <w:vAlign w:val="center"/>
          </w:tcPr>
          <w:p>
            <w:pPr>
              <w:pStyle w:val="TableContents"/>
              <w:bidi w:val="0"/>
              <w:spacing w:before="0" w:after="283"/>
              <w:jc w:val="left"/>
              <w:rPr>
                <w:sz w:val="4"/>
                <w:szCs w:val="4"/>
              </w:rPr>
            </w:pPr>
            <w:r>
              <w:rPr>
                <w:sz w:val="4"/>
                <w:szCs w:val="4"/>
              </w:rPr>
            </w:r>
          </w:p>
        </w:tc>
        <w:tc>
          <w:tcPr>
            <w:tcW w:w="9633" w:type="dxa"/>
            <w:gridSpan w:val="3"/>
            <w:tcBorders/>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Inline XBRL document.</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27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356"/>
        <w:gridCol w:w="1356"/>
        <w:gridCol w:w="19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AMC Networks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8.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center"/>
        <w:rPr/>
      </w:pPr>
      <w:r>
        <w:rPr/>
        <w:drawing>
          <wp:inline distT="0" distB="0" distL="0" distR="0">
            <wp:extent cx="4543425" cy="952500"/>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12"/>
                    <a:stretch>
                      <a:fillRect/>
                    </a:stretch>
                  </pic:blipFill>
                  <pic:spPr bwMode="auto">
                    <a:xfrm>
                      <a:off x="0" y="0"/>
                      <a:ext cx="4543425" cy="9525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July 26,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VIA DOCUSIGN (Jamie.Gallagher@amcnetworks.com)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Jamie Gallagher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Jamie: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You have advised AMC Networks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that it is your intent to terminate your employment with the Company without Good Reason, effective January 2, 2025, in accordance with the final paragraph of page six (6) of that certain employment agreement dated October 19, 2022 by and between you and the Company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 Pursuant to the Employment Agreement, and in consideration for your signing and not revoking this Separation Agreement (the “</w:t>
      </w:r>
      <w:r>
        <w:rPr>
          <w:rFonts w:ascii="Times New Roman;sans-serif" w:hAnsi="Times New Roman;sans-serif"/>
          <w:b w:val="false"/>
          <w:color w:val="000000"/>
          <w:sz w:val="24"/>
          <w:u w:val="single"/>
        </w:rPr>
        <w:t>Separation Agreement</w:t>
      </w:r>
      <w:r>
        <w:rPr>
          <w:color w:val="000000"/>
        </w:rPr>
        <w:t>”</w:t>
      </w:r>
      <w:r>
        <w:rPr>
          <w:rFonts w:ascii="Times New Roman;sans-serif" w:hAnsi="Times New Roman;sans-serif"/>
          <w:b w:val="false"/>
          <w:color w:val="000000"/>
          <w:sz w:val="24"/>
        </w:rPr>
        <w:t>) and the General Release attached hereto as Exhibit A (the “</w:t>
      </w:r>
      <w:r>
        <w:rPr>
          <w:rFonts w:ascii="Times New Roman;sans-serif" w:hAnsi="Times New Roman;sans-serif"/>
          <w:b w:val="false"/>
          <w:color w:val="000000"/>
          <w:sz w:val="24"/>
          <w:u w:val="single"/>
        </w:rPr>
        <w:t>General Release</w:t>
      </w:r>
      <w:r>
        <w:rPr>
          <w:color w:val="000000"/>
        </w:rPr>
        <w:t>”</w:t>
      </w:r>
      <w:r>
        <w:rPr>
          <w:rFonts w:ascii="Times New Roman;sans-serif" w:hAnsi="Times New Roman;sans-serif"/>
          <w:b w:val="false"/>
          <w:color w:val="000000"/>
          <w:sz w:val="24"/>
        </w:rPr>
        <w:t>), and complying in all material respects with their terms, the Company agrees that it will: (i) continue your employment through the earliest to occur of: (a) January 2, 2025, (b) the date your employment is terminated by the Company (as defined in Section 3(a)), with or without Cause (as defined in the Employment Agreement); (c) the date of your resignation with or without Good Reason (as defined in the Employment Agreement, excluding clauses B, C and D under such definition and provided that references to “this Agreement” in clause E shall be read to refer to this Separation Agreement); or (d) the date of your death or disability (collectively the “</w:t>
      </w:r>
      <w:r>
        <w:rPr>
          <w:rFonts w:ascii="Times New Roman;sans-serif" w:hAnsi="Times New Roman;sans-serif"/>
          <w:b w:val="false"/>
          <w:color w:val="000000"/>
          <w:sz w:val="24"/>
          <w:u w:val="single"/>
        </w:rPr>
        <w:t>Separation Date</w:t>
      </w:r>
      <w:r>
        <w:rPr>
          <w:color w:val="000000"/>
        </w:rPr>
        <w:t>”</w:t>
      </w:r>
      <w:r>
        <w:rPr>
          <w:rFonts w:ascii="Times New Roman;sans-serif" w:hAnsi="Times New Roman;sans-serif"/>
          <w:b w:val="false"/>
          <w:color w:val="000000"/>
          <w:sz w:val="24"/>
        </w:rPr>
        <w:t>) on the terms and conditions set forth herein, and (ii) provide you with the Separation Benefits (as defined in Section 2, below) in accordance with the terms of this Separation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continue in your employment until the Separation Date and to be eligible to receive the Separation Benefits set forth in Section 2, below, you must return one electronically signed copy of this Separation Agreement to the Company, no later than August 16, 2024. This Separation Agreement shall become automatically null and void unless the Separation Agreement is executed by you and returned to the Company on or prior to August 16, 2024, and not thereafter revoked in accordance with Section 9 of this Separation Agreement.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and agree that the Separation Benefits being provided to you herein (including employment through the Separation Date) are in exchange for your promises, representations, releases, agreements and obligations contained herein and in the General Release and are valuable and sufficient consideration. Now, therefore, you and the Company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ans-serif" w:hAnsi="Times New Roman;sans-serif"/>
          <w:b/>
          <w:color w:val="000000"/>
          <w:sz w:val="24"/>
        </w:rPr>
        <w:t>1.</w:t>
      </w:r>
      <w:r>
        <w:rPr>
          <w:color w:val="000000"/>
        </w:rPr>
        <w:t>    </w:t>
      </w:r>
      <w:r>
        <w:rPr>
          <w:rFonts w:ascii="Times New Roman;sans-serif" w:hAnsi="Times New Roman;sans-serif"/>
          <w:b/>
          <w:color w:val="000000"/>
          <w:sz w:val="24"/>
          <w:u w:val="single"/>
        </w:rPr>
        <w:t>Continued Employment/Termination of Employment/Effect on Benefits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Continued Employment.</w:t>
      </w:r>
      <w:r>
        <w:rPr>
          <w:color w:val="000000"/>
        </w:rPr>
        <w:t xml:space="preserve"> </w:t>
      </w:r>
      <w:r>
        <w:rPr>
          <w:rFonts w:ascii="Times New Roman;sans-serif" w:hAnsi="Times New Roman;sans-serif"/>
          <w:b w:val="false"/>
          <w:color w:val="000000"/>
          <w:sz w:val="24"/>
        </w:rPr>
        <w:t>Subject to the terms and conditions set forth in this agreement, your employment will continue through January 2, 2025, unless your employment is terminated by the Company earlier, with or without Cause, or you resign your employment, with or without Good Reason, or your employment is terminated on account of death or disability. Beginning August 1, 2024, and continuing through the end of your employment, you agree to perform those services reasonably requested of you by the Company, which services may include, without limitation, continuing to manage the day-to-day operations of the Company’s legal department, providing advice and counsel to the Board of Directors of the Company, at the request of the Chief Executive Officer, providing support in connection with the hiring and onboarding of a successor General Counsel, and successfully transitioning responsibility of your duties to such successor General Counsel by the Separation Date or such earlier date as reasonably requested by the Company (collectively, the “</w:t>
      </w:r>
      <w:r>
        <w:rPr>
          <w:rFonts w:ascii="Times New Roman;sans-serif" w:hAnsi="Times New Roman;sans-serif"/>
          <w:b w:val="false"/>
          <w:color w:val="000000"/>
          <w:sz w:val="24"/>
          <w:u w:val="single"/>
        </w:rPr>
        <w:t>Continuing Services</w:t>
      </w:r>
      <w:r>
        <w:rPr>
          <w:color w:val="000000"/>
        </w:rPr>
        <w:t>”</w:t>
      </w:r>
      <w:r>
        <w:rPr>
          <w:rFonts w:ascii="Times New Roman;sans-serif" w:hAnsi="Times New Roman;sans-serif"/>
          <w:b w:val="false"/>
          <w:color w:val="000000"/>
          <w:sz w:val="24"/>
        </w:rPr>
        <w:t xml:space="preserve">). During the period of your continued employment, you will continue to receive all of the compensation and benefits provided under the Employment Agreement, including the benefits set forth in the eighth paragraph of the Employment Agreement, and will continue to participate in all of the Company’s benefit plans in accordance with the terms of such plans. In the event you secure employment with a third party that does not conflict with any of your obligations to the Company under the Employment Agreement while you remain employed by the Company following the date hereof and prior to January 2, 2025, you will promptly notify the Company of such employment and the intended commencement date of such employment, and you will voluntarily terminate your employment with the Company prior to commencement of any work for such third party.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If the Company terminates your employment for Cause, you will not be eligible to receive the Separation Benefits set forth in Section 2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Termination of Employment.</w:t>
      </w:r>
      <w:r>
        <w:rPr>
          <w:color w:val="000000"/>
        </w:rPr>
        <w:t xml:space="preserve"> </w:t>
      </w:r>
      <w:r>
        <w:rPr>
          <w:rFonts w:ascii="Times New Roman;sans-serif" w:hAnsi="Times New Roman;sans-serif"/>
          <w:b w:val="false"/>
          <w:color w:val="000000"/>
          <w:sz w:val="24"/>
        </w:rPr>
        <w:t xml:space="preserve">Your employment will terminate as of the Separation Date. As of that date, you will cease to accrue credit toward vacation or any other benefits, except as otherwise provided in this Separation Agreement.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Return of Company Property.</w:t>
      </w:r>
      <w:r>
        <w:rPr>
          <w:color w:val="000000"/>
        </w:rPr>
        <w:t xml:space="preserve"> </w:t>
      </w:r>
      <w:r>
        <w:rPr>
          <w:rFonts w:ascii="Times New Roman;sans-serif" w:hAnsi="Times New Roman;sans-serif"/>
          <w:b w:val="false"/>
          <w:color w:val="000000"/>
          <w:sz w:val="24"/>
        </w:rPr>
        <w:t>As of the Separation Date, you shall return to the Company all of the Company’s property, including, without limitation, Confidential and Proprietary Information (as defined in Section 5(b) below), office keys, Company identification cards, access, press and other passes, and all documents, files, equipment, computers, laptops, printers, smart phones, iPads, credit cards, computer software, access materials and other property prepared by, for or belonging to the Company (all of such property being referred to herein as “</w:t>
      </w:r>
      <w:r>
        <w:rPr>
          <w:rFonts w:ascii="Times New Roman;sans-serif" w:hAnsi="Times New Roman;sans-serif"/>
          <w:b w:val="false"/>
          <w:color w:val="000000"/>
          <w:sz w:val="24"/>
          <w:u w:val="single"/>
        </w:rPr>
        <w:t>Company Property</w:t>
      </w:r>
      <w:r>
        <w:rPr>
          <w:color w:val="000000"/>
        </w:rPr>
        <w:t>”</w:t>
      </w:r>
      <w:r>
        <w:rPr>
          <w:rFonts w:ascii="Times New Roman;sans-serif" w:hAnsi="Times New Roman;sans-serif"/>
          <w:b w:val="false"/>
          <w:color w:val="000000"/>
          <w:sz w:val="24"/>
        </w:rPr>
        <w:t xml:space="preserve">). You acknowledge and agree that: (i) other than for authorized Company business prior to the Separation Date, you have not and will not utilize the Company Property or make or retain any copies, duplicates, reproductions or excerpts of the Company Property, and (ii) after the Separation Date, you will not access or utilize in any manner any of the Company Property, including, without limitation, its electronic communications systems or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any information contained therein. </w:t>
      </w:r>
      <w:r>
        <w:rPr>
          <w:rFonts w:ascii="Times New Roman;sans-serif" w:hAnsi="Times New Roman;sans-serif"/>
          <w:b w:val="false"/>
          <w:color w:val="000000"/>
          <w:sz w:val="23"/>
        </w:rPr>
        <w:t>Notwithstanding anything to the contrary herein or in the Employment Agreement, you and the Company agree that you may retain your Company issued laptop computer and your Company issued cellular phone, including the right to continue to utilize the assigned cellular phone number at your own expense; provided that if the Company is required to retain your Company issued laptop computer and cellular phone as a result of a litigation hold, then the Company will provide you with a substantially similar laptop computer and cellular phone. Prior to the Separation Date, you agree to allow the Company’s information services department to review your laptop computer and cellular phone to ensure that they do not contain any Company Property, Materials (as defined paragraph 3 of Annex I to the Employment Agreement), or Confidential Information (as defined in paragraph 1 of Annex I to the Employment Agreement). In addition, on the Separation Date, the Company’s information services department shall remotely disable your access to the Company’s servers, electronic mail, contacts, and calendar systems. For the avoidance of doubt, you will be permitted to retain your personal contact lists and personal documents and information.</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Health Coverage.</w:t>
      </w:r>
      <w:r>
        <w:rPr>
          <w:color w:val="000000"/>
        </w:rPr>
        <w:t xml:space="preserve"> </w:t>
      </w:r>
      <w:r>
        <w:rPr>
          <w:rFonts w:ascii="Times New Roman;sans-serif" w:hAnsi="Times New Roman;sans-serif"/>
          <w:b w:val="false"/>
          <w:color w:val="000000"/>
          <w:sz w:val="24"/>
        </w:rPr>
        <w:t xml:space="preserve">Your Company-sponsored medical, dental and/or vision coverage will cease as of the last day of the month in which the Separation Date occurs. You, and, as applicable, your eligible dependents, may be eligible to obtain continuation coverage for a period of time thereafter pursuant to the federal COBRA statute by returning an election form and paying the required premiums. Subject to the terms of Section 2 below, and </w:t>
      </w:r>
      <w:r>
        <w:rPr>
          <w:rFonts w:ascii="Times New Roman;sans-serif" w:hAnsi="Times New Roman;sans-serif"/>
          <w:b/>
          <w:color w:val="000000"/>
          <w:sz w:val="24"/>
          <w:u w:val="single"/>
        </w:rPr>
        <w:t>subject to your timely election of benefits</w:t>
      </w:r>
      <w:r>
        <w:rPr>
          <w:color w:val="000000"/>
        </w:rPr>
        <w:t xml:space="preserve"> </w:t>
      </w:r>
      <w:r>
        <w:rPr>
          <w:rFonts w:ascii="Times New Roman;sans-serif" w:hAnsi="Times New Roman;sans-serif"/>
          <w:b w:val="false"/>
          <w:color w:val="000000"/>
          <w:sz w:val="24"/>
        </w:rPr>
        <w:t>under COBRA and your execution of this Separation Agreement and compliance in all material respects with its terms, the Company will arrange for continuation coverage under COBRA for you, and, as applicable, your eligible dependents, at no cost to you, until the earliest of (i) January 2, 2027; (ii) the date you or any of your dependents cease to be eligible for continuation coverage under COBRA; or (iii) the date you or any of your dependents become eligible for health, dental, or vision coverage in connection with new employment or self-employment. Thereafter, provided you and/or your eligible dependents remain eligible, you and/or they may choose to continue such COBRA continuation coverage for any additional eligibility period at your or their own cost at the rates then in effect. Further details regarding COBRA coverage and any necessary forms will be sent to you under separate cover.</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(f)    </w:t>
      </w:r>
      <w:r>
        <w:rPr>
          <w:rFonts w:ascii="Times New Roman;sans-serif" w:hAnsi="Times New Roman;sans-serif"/>
          <w:b w:val="false"/>
          <w:color w:val="000000"/>
          <w:sz w:val="24"/>
          <w:u w:val="single"/>
        </w:rPr>
        <w:t>Life, Disability and AD&amp;D Insurance.</w:t>
      </w:r>
      <w:r>
        <w:rPr>
          <w:color w:val="000000"/>
        </w:rPr>
        <w:t xml:space="preserve">  </w:t>
      </w:r>
      <w:r>
        <w:rPr>
          <w:rFonts w:ascii="Times New Roman;sans-serif" w:hAnsi="Times New Roman;sans-serif"/>
          <w:b w:val="false"/>
          <w:color w:val="000000"/>
          <w:sz w:val="24"/>
        </w:rPr>
        <w:t>Your company-sponsored life, long-term disability and accidental death and dismemberment (“</w:t>
      </w:r>
      <w:r>
        <w:rPr>
          <w:rFonts w:ascii="Times New Roman;sans-serif" w:hAnsi="Times New Roman;sans-serif"/>
          <w:b w:val="false"/>
          <w:color w:val="000000"/>
          <w:sz w:val="24"/>
          <w:u w:val="single"/>
        </w:rPr>
        <w:t>AD&amp;D</w:t>
      </w:r>
      <w:r>
        <w:rPr>
          <w:color w:val="000000"/>
        </w:rPr>
        <w:t>”</w:t>
      </w:r>
      <w:r>
        <w:rPr>
          <w:rFonts w:ascii="Times New Roman;sans-serif" w:hAnsi="Times New Roman;sans-serif"/>
          <w:b w:val="false"/>
          <w:color w:val="000000"/>
          <w:sz w:val="24"/>
        </w:rPr>
        <w:t>) insurance coverage will cease as of the Separation Date. There is a thirty-one (31) day grace period after the Separation Date during which you may convert your company-sponsored life insurance coverage to a private policy. You</w:t>
      </w:r>
      <w:r>
        <w:rPr>
          <w:color w:val="000000"/>
        </w:rPr>
        <w:t xml:space="preserve"> </w:t>
      </w:r>
      <w:r>
        <w:rPr>
          <w:rFonts w:ascii="Times New Roman;sans-serif" w:hAnsi="Times New Roman;sans-serif"/>
          <w:b w:val="false"/>
          <w:color w:val="000000"/>
          <w:sz w:val="24"/>
        </w:rPr>
        <w:t>may continue to receive such coverage by completing the applicable notice of conversion privilege form (if requested by you) and complying with the applicable requirements. For additional information regarding conversion, please contact the Benefits team.</w:t>
      </w:r>
    </w:p>
    <w:p>
      <w:pPr>
        <w:pStyle w:val="TextBody"/>
        <w:bidi w:val="0"/>
        <w:spacing w:lineRule="auto" w:line="288"/>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Retirement Plans.</w:t>
      </w:r>
      <w:r>
        <w:rPr>
          <w:color w:val="000000"/>
        </w:rPr>
        <w:t xml:space="preserve"> </w:t>
      </w:r>
      <w:r>
        <w:rPr>
          <w:rFonts w:ascii="Times New Roman;sans-serif" w:hAnsi="Times New Roman;sans-serif"/>
          <w:b w:val="false"/>
          <w:color w:val="000000"/>
          <w:sz w:val="24"/>
        </w:rPr>
        <w:t>Any vested benefits that you may have accrued under the AMC Networks 401(k) Savings Plan, any predecessor plan, or any other company-sponsored retirement plan (the “</w:t>
      </w:r>
      <w:r>
        <w:rPr>
          <w:rFonts w:ascii="Times New Roman;sans-serif" w:hAnsi="Times New Roman;sans-serif"/>
          <w:b w:val="false"/>
          <w:color w:val="000000"/>
          <w:sz w:val="24"/>
          <w:u w:val="single"/>
        </w:rPr>
        <w:t>Retirement Plans</w:t>
      </w:r>
      <w:r>
        <w:rPr>
          <w:color w:val="000000"/>
        </w:rPr>
        <w:t>”</w:t>
      </w:r>
      <w:r>
        <w:rPr>
          <w:rFonts w:ascii="Times New Roman;sans-serif" w:hAnsi="Times New Roman;sans-serif"/>
          <w:b w:val="false"/>
          <w:color w:val="000000"/>
          <w:sz w:val="24"/>
        </w:rPr>
        <w:t xml:space="preserve">) as of the Separation Date will be treated in accordance with the terms of those Plans, as explained in the plan documents or summary plan descriptions you have previously received. Any vested benefits that you may have accrued, or distributions you may have elected, under the AMC Networks Executive Deferred Compensation Plan, the AMC Networks Excess Savings Plan, any predecessor plan, or any other deferred compensation plan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ans-serif" w:hAnsi="Times New Roman;sans-serif"/>
          <w:b w:val="false"/>
          <w:color w:val="000000"/>
          <w:sz w:val="24"/>
          <w:u w:val="single"/>
        </w:rPr>
        <w:t>Deferred Compensation Plans</w:t>
      </w:r>
      <w:r>
        <w:rPr>
          <w:color w:val="000000"/>
        </w:rPr>
        <w:t>”</w:t>
      </w:r>
      <w:r>
        <w:rPr>
          <w:rFonts w:ascii="Times New Roman;sans-serif" w:hAnsi="Times New Roman;sans-serif"/>
          <w:b w:val="false"/>
          <w:color w:val="000000"/>
          <w:sz w:val="24"/>
        </w:rPr>
        <w:t>) as of the Separation Date shall be payable in accordance with the terms of those plans, as explained in the plan documents or summary plan descriptions you have previously received. As a result of the termination of your employment on the Separation Date, pursuant to the terms and conditions of the Retirement Plans and/or Deferred Compensation Plans, you will forfeit all benefits that are not vested as of the Separation Date. You may obtain additional copies of the summary plan descriptions from the Benefits team.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Outstanding Awards.</w:t>
      </w:r>
      <w:r>
        <w:rPr>
          <w:color w:val="000000"/>
        </w:rPr>
        <w:t xml:space="preserve"> </w:t>
      </w:r>
      <w:r>
        <w:rPr>
          <w:rFonts w:ascii="Times New Roman;sans-serif" w:hAnsi="Times New Roman;sans-serif"/>
          <w:b w:val="false"/>
          <w:color w:val="000000"/>
          <w:sz w:val="24"/>
        </w:rPr>
        <w:t>As of the Separation Date all currently outstanding awards previously granted to you under the AMC Networks Inc. 2016 Employee Stock Plan (the “</w:t>
      </w:r>
      <w:r>
        <w:rPr>
          <w:rFonts w:ascii="Times New Roman;sans-serif" w:hAnsi="Times New Roman;sans-serif"/>
          <w:b w:val="false"/>
          <w:color w:val="000000"/>
          <w:sz w:val="24"/>
          <w:u w:val="single"/>
        </w:rPr>
        <w:t>AMC Stock Plan</w:t>
      </w:r>
      <w:r>
        <w:rPr>
          <w:color w:val="000000"/>
        </w:rPr>
        <w:t>”</w:t>
      </w:r>
      <w:r>
        <w:rPr>
          <w:rFonts w:ascii="Times New Roman;sans-serif" w:hAnsi="Times New Roman;sans-serif"/>
          <w:b w:val="false"/>
          <w:color w:val="000000"/>
          <w:sz w:val="24"/>
        </w:rPr>
        <w:t>) or any other predecessor or similar plans (collectively, “</w:t>
      </w:r>
      <w:r>
        <w:rPr>
          <w:rFonts w:ascii="Times New Roman;sans-serif" w:hAnsi="Times New Roman;sans-serif"/>
          <w:b w:val="false"/>
          <w:color w:val="000000"/>
          <w:sz w:val="24"/>
          <w:u w:val="single"/>
        </w:rPr>
        <w:t>Awards</w:t>
      </w:r>
      <w:r>
        <w:rPr>
          <w:color w:val="000000"/>
        </w:rPr>
        <w:t>”</w:t>
      </w:r>
      <w:r>
        <w:rPr>
          <w:rFonts w:ascii="Times New Roman;sans-serif" w:hAnsi="Times New Roman;sans-serif"/>
          <w:b w:val="false"/>
          <w:color w:val="000000"/>
          <w:sz w:val="24"/>
        </w:rPr>
        <w:t xml:space="preserve">), will be treated in accordance with their terms, the Employment Agreement and this Separation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Unemployment.</w:t>
      </w:r>
      <w:r>
        <w:rPr>
          <w:color w:val="000000"/>
        </w:rPr>
        <w:t xml:space="preserve"> </w:t>
      </w:r>
      <w:r>
        <w:rPr>
          <w:rFonts w:ascii="Times New Roman;sans-serif" w:hAnsi="Times New Roman;sans-serif"/>
          <w:b w:val="false"/>
          <w:color w:val="000000"/>
          <w:sz w:val="24"/>
        </w:rPr>
        <w:t xml:space="preserve">You should contact your local unemployment agency to determine if you are eligible for any unemployment benefits.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2.    </w:t>
      </w:r>
      <w:r>
        <w:rPr>
          <w:rFonts w:ascii="Times New Roman;sans-serif" w:hAnsi="Times New Roman;sans-serif"/>
          <w:b/>
          <w:color w:val="000000"/>
          <w:sz w:val="24"/>
          <w:u w:val="single"/>
        </w:rPr>
        <w:t>Separation Benefits</w:t>
      </w:r>
      <w:r>
        <w:rPr>
          <w:rFonts w:ascii="Times New Roman;sans-serif" w:hAnsi="Times New Roman;sans-serif"/>
          <w:b/>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Description of Separation Benefits.</w:t>
      </w:r>
      <w:r>
        <w:rPr>
          <w:color w:val="000000"/>
        </w:rPr>
        <w:t xml:space="preserve"> </w:t>
      </w:r>
      <w:r>
        <w:rPr>
          <w:rFonts w:ascii="Times New Roman;sans-serif" w:hAnsi="Times New Roman;sans-serif"/>
          <w:b w:val="false"/>
          <w:color w:val="000000"/>
          <w:sz w:val="24"/>
        </w:rPr>
        <w:t xml:space="preserve">Following the occurrence of the Separation Date, and provided that: (i) you have not voluntarily terminated your employment prior to January 2, 2025, other than with Good Reason and other than on account of death or disability; (ii) your employment has not been terminated by the Company for “Cause”; (iii) you have signed and not thereafter revoked this Separation Agreement, (iv) you have complied in all material respects with all of the terms, conditions and obligations applicable to you under this Separation Agreement, including, without limitation, the Continuing Services; (v) you return one electronically signed copy of the General Release to the Company within ten (10) days after the close of business on the Separation Date, </w:t>
      </w:r>
      <w:r>
        <w:rPr>
          <w:rFonts w:ascii="Times New Roman;sans-serif" w:hAnsi="Times New Roman;sans-serif"/>
          <w:b/>
          <w:color w:val="000000"/>
          <w:sz w:val="24"/>
        </w:rPr>
        <w:t>but not before the Separation Date</w:t>
      </w:r>
      <w:r>
        <w:rPr>
          <w:rFonts w:ascii="Times New Roman;sans-serif" w:hAnsi="Times New Roman;sans-serif"/>
          <w:b w:val="false"/>
          <w:color w:val="000000"/>
          <w:sz w:val="24"/>
        </w:rPr>
        <w:t>; and (vi) you do not revoke the General Release during the seven (7) day revocation period following your execution of it (the “</w:t>
      </w:r>
      <w:r>
        <w:rPr>
          <w:rFonts w:ascii="Times New Roman;sans-serif" w:hAnsi="Times New Roman;sans-serif"/>
          <w:b w:val="false"/>
          <w:color w:val="000000"/>
          <w:sz w:val="24"/>
          <w:u w:val="single"/>
        </w:rPr>
        <w:t>General Release Revocation Period</w:t>
      </w:r>
      <w:r>
        <w:rPr>
          <w:color w:val="000000"/>
        </w:rPr>
        <w:t>”</w:t>
      </w:r>
      <w:r>
        <w:rPr>
          <w:rFonts w:ascii="Times New Roman;sans-serif" w:hAnsi="Times New Roman;sans-serif"/>
          <w:b w:val="false"/>
          <w:color w:val="000000"/>
          <w:sz w:val="24"/>
        </w:rPr>
        <w:t>), then, subject to the terms and conditions set forth in this Separation Agreement, the Company will provide you with the following benefits (collectively, the “</w:t>
      </w:r>
      <w:r>
        <w:rPr>
          <w:rFonts w:ascii="Times New Roman;sans-serif" w:hAnsi="Times New Roman;sans-serif"/>
          <w:b w:val="false"/>
          <w:color w:val="000000"/>
          <w:sz w:val="24"/>
          <w:u w:val="single"/>
        </w:rPr>
        <w:t>Separation Benefits</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A payment in the amount of $2,550,000, less lawful deductions and withholdings, representing 18 months’ salary at your base annual rate of pay, plus one and one-half times your target annual bonus (the “</w:t>
      </w:r>
      <w:r>
        <w:rPr>
          <w:rFonts w:ascii="Times New Roman;sans-serif" w:hAnsi="Times New Roman;sans-serif"/>
          <w:b w:val="false"/>
          <w:color w:val="000000"/>
          <w:sz w:val="24"/>
          <w:u w:val="single"/>
        </w:rPr>
        <w:t>Severance</w:t>
      </w:r>
      <w:r>
        <w:rPr>
          <w:color w:val="000000"/>
        </w:rPr>
        <w:t>”</w:t>
      </w:r>
      <w:r>
        <w:rPr>
          <w:rFonts w:ascii="Times New Roman;sans-serif" w:hAnsi="Times New Roman;sans-serif"/>
          <w:b w:val="false"/>
          <w:color w:val="000000"/>
          <w:sz w:val="24"/>
        </w:rPr>
        <w:t>), which shall be payable to you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u w:val="single"/>
        </w:rPr>
        <w:t>i.</w:t>
      </w:r>
      <w:r>
        <w:rPr>
          <w:rFonts w:ascii="Times New Roman;sans-serif" w:hAnsi="Times New Roman;sans-serif"/>
          <w:b w:val="false"/>
          <w:color w:val="000000"/>
          <w:sz w:val="24"/>
        </w:rPr>
        <w:t xml:space="preserve">A lump sum payment in the amount of $1,530,000, less lawful withholdings, payable to you in a lump sum on the six-month anniversary of the Separation Date, provided that the maximum portion of this payment that is exempt from Section 409A (as defined below) will be payable to you on or before the seventy-fifth (75) day following the Separation Date; </w:t>
      </w:r>
      <w:r>
        <w:rPr>
          <w:rFonts w:ascii="Times New Roman;sans-serif" w:hAnsi="Times New Roman;sans-serif"/>
          <w:b w:val="false"/>
          <w:i/>
          <w:color w:val="000000"/>
          <w:sz w:val="24"/>
        </w:rPr>
        <w:t>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u w:val="single"/>
        </w:rPr>
        <w:t>ii.</w:t>
      </w:r>
      <w:r>
        <w:rPr>
          <w:rFonts w:ascii="Times New Roman;sans-serif" w:hAnsi="Times New Roman;sans-serif"/>
          <w:b w:val="false"/>
          <w:color w:val="000000"/>
          <w:sz w:val="24"/>
        </w:rPr>
        <w:t xml:space="preserve">A lump sum payment in the amount of $1,020,000, less lawful deductions and withholdings, payable to you in a lump sum on the twelve-month anniversary of the Separation Date; </w:t>
      </w:r>
      <w:r>
        <w:rPr>
          <w:rFonts w:ascii="Times New Roman;sans-serif" w:hAnsi="Times New Roman;sans-serif"/>
          <w:b w:val="false"/>
          <w:i/>
          <w:color w:val="000000"/>
          <w:sz w:val="24"/>
        </w:rPr>
        <w:t xml:space="preserve">plus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If your employment is terminated by the Company without Cause or by you for Good Reason prior to January 2, 2025, a lump sum payment representing the base salary you would have received from the Separation Date through January 2, 2025. The payment provided for in this Paragraph will be payable, less lawful deductions, to you in a lump sum on or before the seventy-fifth (75) day following the Separation Date; </w:t>
      </w:r>
      <w:r>
        <w:rPr>
          <w:rFonts w:ascii="Times New Roman;sans-serif" w:hAnsi="Times New Roman;sans-serif"/>
          <w:b w:val="false"/>
          <w:i/>
          <w:color w:val="000000"/>
          <w:sz w:val="24"/>
        </w:rPr>
        <w:t>plus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As provided in the Employment Agreement, subject to your timely election of continuation coverage under COBRA, the Company will arrange for the continuation of medical, dental and vision coverage under COBRA for you, and, as applicable, your eligible dependents, at no cost to you, until the earliest of: (i) January 2, 2027; (ii) the date you or any of your dependents cease to be eligible for continuation coverage under COBRA; or (iii) the date you or any of your dependents become eligible for health, dental, or vision coverage in connection with new employment or self-employment. In the event you or any of your dependents become eligible for health, dental or vision coverage under another employer's group health plan or otherwise cease to be eligible for COBRA prior to January 2, 2027, you must immediately notify the Company of such event; </w:t>
      </w:r>
      <w:r>
        <w:rPr>
          <w:rFonts w:ascii="Times New Roman;sans-serif" w:hAnsi="Times New Roman;sans-serif"/>
          <w:b w:val="false"/>
          <w:i/>
          <w:color w:val="000000"/>
          <w:sz w:val="24"/>
        </w:rPr>
        <w:t>plus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As provided in the Employment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 restricted stock units (“RSUs”) granted pursuant to the AMC Stock Plan that have not vested prior to the Separation Date will continue to vest in accordance with the original vesting schedule applicable to such RSUs at the time of grant; provided, however, upon the Separation Date, the Company shall withhold and settle a portion of each of your outstanding RSUs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RSUs and make a payroll tax contribution in such amount on your behalf; and</w:t>
      </w:r>
    </w:p>
    <w:p>
      <w:pPr>
        <w:pStyle w:val="TextBody"/>
        <w:bidi w:val="0"/>
        <w:spacing w:lineRule="auto" w:line="288" w:before="0" w:after="240"/>
        <w:ind w:left="0" w:right="0" w:firstLine="720"/>
        <w:jc w:val="both"/>
        <w:rPr/>
      </w:pPr>
      <w:r>
        <w:rPr>
          <w:color w:val="000000"/>
        </w:rPr>
        <w:t>    </w:t>
      </w:r>
      <w:r>
        <w:rPr>
          <w:rFonts w:ascii="Times New Roman;sans-serif" w:hAnsi="Times New Roman;sans-serif"/>
          <w:b w:val="false"/>
          <w:color w:val="000000"/>
          <w:sz w:val="24"/>
        </w:rPr>
        <w:t xml:space="preserve">ii.    All long-term cash performance awards (“CPAs”) granted by the Company that have not vested prior to the Separation Date shall immediately vest in full on the Separation Date; provided, however, that payment of each such CPA shall be made at the same time as such awards are payable to similarly situated actively-employed executives of the Company as determined by the Compensation Committee (subject to the satisfaction of any applicable performance objectives) and further provided that if the applicable performance objectives are not satisfied, then any such CPAs will be forfeited; </w:t>
      </w:r>
      <w:r>
        <w:rPr>
          <w:rFonts w:ascii="Times New Roman;sans-serif" w:hAnsi="Times New Roman;sans-serif"/>
          <w:b w:val="false"/>
          <w:i/>
          <w:color w:val="000000"/>
          <w:sz w:val="24"/>
        </w:rPr>
        <w:t>plus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 xml:space="preserve">As provided in the Employment Agreement, a discretionary bonus for 2024 under the terms of the Company’s AIP program and based on your current target bonus opportunity, one hundred percent (100%), which bonus shall be payable, less lawful withholdings and deductions, when, as and if paid to similarly situated active employees, but without consideration given to your individual performance, as if you had remained an employee of the Company through any such payment date; </w:t>
      </w:r>
      <w:r>
        <w:rPr>
          <w:rFonts w:ascii="Times New Roman;sans-serif" w:hAnsi="Times New Roman;sans-serif"/>
          <w:b w:val="false"/>
          <w:i/>
          <w:color w:val="000000"/>
          <w:sz w:val="24"/>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Continued access to and use of the Company’s PLI membership though January 2, 2027 solely to the extent the Company continues to provide such benefit to its in-house lawyers.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in the event your employment terminates due to your death or disability prior to January 2, 2025, provided at such time of such termination, Cause does not exist and subject to your compliance in all material respects with Section 2(a)(iii)-(vi) to the extent applicable, you will be entitled to receive the Separation Benefits excluding those set forth in Section 2(a)(2).</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Continued Compliance.</w:t>
      </w:r>
      <w:r>
        <w:rPr>
          <w:color w:val="000000"/>
        </w:rPr>
        <w:t xml:space="preserve"> </w:t>
      </w:r>
      <w:r>
        <w:rPr>
          <w:rFonts w:ascii="Times New Roman;sans-serif" w:hAnsi="Times New Roman;sans-serif"/>
          <w:b w:val="false"/>
          <w:color w:val="000000"/>
          <w:sz w:val="24"/>
        </w:rPr>
        <w:t>Without waiver of the Company’s remedies for any breach of this Separation Agreement or the General Release, all amounts and other benefits due to you hereunder (including, without limitation, your continued employment described in Section 1(a) herein) are expressly conditioned on your continued compliance in all material respects with this Separation Agreement, the General Release or any of the obligations that survive termination of your Employment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Other Separation Benefits.</w:t>
      </w:r>
      <w:r>
        <w:rPr>
          <w:color w:val="000000"/>
        </w:rPr>
        <w:t xml:space="preserve"> </w:t>
      </w:r>
      <w:r>
        <w:rPr>
          <w:rFonts w:ascii="Times New Roman;sans-serif" w:hAnsi="Times New Roman;sans-serif"/>
          <w:b w:val="false"/>
          <w:color w:val="000000"/>
          <w:sz w:val="24"/>
        </w:rPr>
        <w:t>The Separation Benefits represent a complete settlement, release and waiver of any claims for allegedly lost wages, benefits, bonuses, or other compensation, mental, physical or other personal injuries, pain and suffering, and costs in connection with any other relief you may seek or claim you may have against the Company. Except as expressly referenced in this Separation Agreement, you hereby confirm that all monies due to you, including, but not limited to, all wages earned, sick pay, personal leave pay and/or vacation pay, previously have been paid. You agree that no other monies or relief are due to you, other than: i) the payments provided for in this Separation Agreement in consideration of your general release of all claims that you have, may have or may have had against the Releasees (as defined in Section 3(a) below); and ii) any base salary that you earn and benefits that you accrue for work performed from the date of your execution of this Separation Agreement through the Separation Date.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3.    </w:t>
      </w:r>
      <w:r>
        <w:rPr>
          <w:rFonts w:ascii="Times New Roman;sans-serif" w:hAnsi="Times New Roman;sans-serif"/>
          <w:b/>
          <w:color w:val="000000"/>
          <w:sz w:val="24"/>
          <w:u w:val="single"/>
        </w:rPr>
        <w:t>Release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You, on behalf of yourself, your heirs, executors, administrators and/or assigns, do hereby release and discharge the Company, together with its direct and indirect parent corporation, subsidiaries, affiliates, joint ventures, partners, and related entities, past, present and future, and its or their predecessors, successors and assigns (collectively for purposes of this Section 3,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its or their officers, directors, employees, consultants, agents, insurers, reinsurers, shareholders, representatives and assigns, past, present and future (collectively with the Company, the “</w:t>
      </w:r>
      <w:r>
        <w:rPr>
          <w:rFonts w:ascii="Times New Roman;sans-serif" w:hAnsi="Times New Roman;sans-serif"/>
          <w:b w:val="false"/>
          <w:color w:val="000000"/>
          <w:sz w:val="24"/>
          <w:u w:val="single"/>
        </w:rPr>
        <w:t>Releasees</w:t>
      </w:r>
      <w:r>
        <w:rPr>
          <w:color w:val="000000"/>
        </w:rPr>
        <w:t>”</w:t>
      </w:r>
      <w:r>
        <w:rPr>
          <w:rFonts w:ascii="Times New Roman;sans-serif" w:hAnsi="Times New Roman;sans-serif"/>
          <w:b w:val="false"/>
          <w:color w:val="000000"/>
          <w:sz w:val="24"/>
        </w:rPr>
        <w:t xml:space="preserve">), of and from any and all legally waivable suits, debts, complaints, claims, liabilities, demands or causes of action, or any right to any other monetary recovery or personal relief, known or unknown, of whatever nature, which you, or any of your heirs, executors, administrators, and assigns ever had or now have against each or any of the Releasees, based upon or arising from any fact or set of facts, whether known or unknown to you, from the beginning of time to the date of execution of this Separation Agreement, including, without limitation, any and all claims arising out of or relating to your employment by the Company or the separation of your employment. Without limiting the generality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foregoing, this Release includes any claim or right based upon or arising under any federal, state or local fair employment practices or equal opportunity laws, including, but not limited to, any and all claims under the Age Discrimination in Employment Act of 1967, the Older Workers Benefit Protection Act, Title VII of the Civil Rights Act of 1964, Section 1981 of the Civil Rights Act of 1870, the Americans with Disabilities Act, the Employee Retirement Income Security Act, the Worker Adjustment and Retraining Notification Act, the Family Medical Leave Act, the Genetic Information Nondiscrimination Act, the New York Human Rights Law, the New York Labor Law, the New York Executive Law, the New York Wage and Hour Laws, the New York Civil Rights Law, the New York Equal Pay Law, the New York Whistleblower Statute, the New York WARN Act, the New York Constitution, the New York City Human Rights Law, each as amended, and any and all other federal, state or local statutory or common law claims, now or hereafter recognized, including but not limited to, any claims for economic loss, compensatory damages, punitive damages, liquidated damages, attorneys’ fees, expenses and costs.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You further agree to waive any and all rights under the laws of any jurisdiction in the United States, or any other country, that limit a general release to those claims that are known or suspected to exist in your favor as of the date of execution of the Separation Agreement. For the purpose of implementing a full and complete release, you expressly acknowledge and agree that this release releases all claims existing or arising prior to your execution of this Separation Agreement which you have or may have against the Releasees, whether such claims are known or unknown and suspected or unsuspected by you and you forever waive all inquiries and investigations into any and all such claims.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generality of the foregoing, nothing herein constitutes a release or waiver by you of: (i) any claim or right based on any facts or set of facts that may arise after your execution of this Separation Agreement; (ii) any claim or right you may have under this Separation Agreement; (iii) any unemployment insurance claim; (iv) any workers’ compensation insurance benefits; (v) continued participation in certain benefits under COBRA (and any state law counterpart), if applicable; (vi) any claim for medical, hospital, surgical or physician’s services benefits arising under the Company’s applicable health insurance plan(s); (vii) any claims that cannot be waived as a matter of law; </w:t>
      </w:r>
      <w:r>
        <w:rPr>
          <w:rFonts w:ascii="Times New Roman;sans-serif" w:hAnsi="Times New Roman;sans-serif"/>
          <w:b w:val="false"/>
          <w:color w:val="000000"/>
          <w:sz w:val="23"/>
        </w:rPr>
        <w:t>(viii) any claim for indemnification and D&amp;O insurance pursuant to the Employment Agreement, applicable laws and the corporate governance documents of the Company or any of its subsidiaries or affiliates; or (ix) your right to any shares of Class A Common Stock of the Company that you hold as of the date hereof</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This Separation Agreement does not limit your rights under applicable law to initiate communications directly with, provide information to, respond to any inquiries from, or report possible violations of law or regulation to any governmental entity or self-regulatory authority, or to file a charge with or participate in an investigation conducted by any governmental entity or self-regulatory authority, such as the Equal Employment Opportunity Commission (“EEOC”), the Department of Labor (“</w:t>
      </w:r>
      <w:r>
        <w:rPr>
          <w:rFonts w:ascii="Times New Roman;sans-serif" w:hAnsi="Times New Roman;sans-serif"/>
          <w:b w:val="false"/>
          <w:color w:val="000000"/>
          <w:sz w:val="24"/>
          <w:u w:val="single"/>
        </w:rPr>
        <w:t>DOL</w:t>
      </w:r>
      <w:r>
        <w:rPr>
          <w:color w:val="000000"/>
        </w:rPr>
        <w:t>”</w:t>
      </w:r>
      <w:r>
        <w:rPr>
          <w:rFonts w:ascii="Times New Roman;sans-serif" w:hAnsi="Times New Roman;sans-serif"/>
          <w:b w:val="false"/>
          <w:color w:val="000000"/>
          <w:sz w:val="24"/>
        </w:rPr>
        <w:t>), the National Labor Relations Board (“</w:t>
      </w:r>
      <w:r>
        <w:rPr>
          <w:rFonts w:ascii="Times New Roman;sans-serif" w:hAnsi="Times New Roman;sans-serif"/>
          <w:b w:val="false"/>
          <w:color w:val="000000"/>
          <w:sz w:val="24"/>
          <w:u w:val="single"/>
        </w:rPr>
        <w:t>NLRB</w:t>
      </w:r>
      <w:r>
        <w:rPr>
          <w:color w:val="000000"/>
        </w:rPr>
        <w:t>”</w:t>
      </w:r>
      <w:r>
        <w:rPr>
          <w:rFonts w:ascii="Times New Roman;sans-serif" w:hAnsi="Times New Roman;sans-serif"/>
          <w:b w:val="false"/>
          <w:color w:val="000000"/>
          <w:sz w:val="24"/>
        </w:rPr>
        <w:t>), the Securities Exchange Commission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xml:space="preserve">), or their applicable state and/or local equivalent, and you do not need any Releasee’s permission to do so. In addition, it is understood that this release shall not require you to notify any Releasee of a request for information from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governmental entity or self-regulatory authority or of your decision to file a charge with or participate in an investigation conducted by any governmental entity or self-regulatory authority. Notwithstanding the foregoing, you recognize that, in connection with the provision of information to any governmental entity or self-regulatory authority, you must inform such governmental entity or self-regulatory authority that the information you are providing is confidential. Despite the foregoing, you are not permitted to reveal to any third party, including any governmental entity or self-regulatory authority, information you came to learn during your service to the Company that is protected from disclosure by any applicable privilege, including but not limited to the attorney-client privilege or attorney work product doctrine. The Company does not waive any applicable privileges or the right to continue to protect its privileged attorney-client information, attorney work product, and other privileged information. This Separation Agreement also does not prevent you from exercising your rights under Section 7 of the National Labor Relations Act to engage in protected, concerted activity with other employees. To the fullest extent permitted by law, you agree that if any claim, charge, complaint or action against the Company covered by the release provision of this Separation Agreement is brought by you, for your benefit, or on your behalf, you expressly waive any claim to any form of monetary or other damages, including attorneys’ fees and costs, or any other form of personal recovery or relief from the Company based upon any such claim, charge, complaint or action, providing that you are not agreeing to waive, and this release shall not be read as requiring you to waive, any right you may have to receive any bounty or monetary award from any government agency or regulatory or law enforcement agency (and not the Company) for information provided to a government agency or other protected “whistleblower” activity. To the extent you receive any personal or monetary relief from the Company based on any such claim, charge, complaint or action, the Company will be entitled to an offset for the payments made pursuant to this Separation Agreement. You further agree and covenant that should any person, organization, or other entity file, charge, claim, sue, or cause or permit to be filed any civil action, suit or legal proceeding, or if any person, organization, or other entity has filed, charged, claimed, sued, or caused or permitted to be filed any civil action, suit or legal proceeding, against any of the Releasees involving any matter occurring at any time in the past, you are not entitled to and will not seek or accept personal equitable or monetary relief in such civil action, suit or legal proceeding. You further agree and covenant that you waive any right or ability to be a class or collective action representative or to otherwise participate in any putative or certified class, collective or multi-party action or proceeding asserted or brought against any of the Releasees.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You affirm that you have reported to the Company in writing any work-related physical or mental injury, illness or impairment which you may have experienced.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You further affirm that you have not made a sexual harassment or other claim of harassment, discrimination, retaliation or other violation of Company policy or unlawful conduct and have not been retaliated against for reporting any allegations of wrongdoing by the Company or its officers, including any allegations of corporate fraud.</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You further affirm that all of the Company’s decisions regarding your pay and benefits through the date of your execution of this Separation Agreement were not discriminatory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based on age, disability, race, color, sex, religion, national origin or any other classification protected by law.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4.    </w:t>
      </w:r>
      <w:r>
        <w:rPr>
          <w:rFonts w:ascii="Times New Roman;sans-serif" w:hAnsi="Times New Roman;sans-serif"/>
          <w:b/>
          <w:color w:val="000000"/>
          <w:sz w:val="24"/>
          <w:u w:val="single"/>
        </w:rPr>
        <w:t>In the Event of Rehire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hereby agree and acknowledge that: (a) as of the Separation Date, your employment relationship with the Company will be severed; and (b) the Company has no obligation, contractual or otherwise, to hire, re-hire or re-employ you after the Separation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reemployed with the Company as a full-time employee, part-time employee or a regularly scheduled temporary employee, the Company will have the right to pro-rate the Severance so that you retain an amount which represents the period of time from the Separation Date until the rehire date (the “Pro-Rated Severance”). It is further understood that, if you already received any part of the portion of your Severance, the Company will have the right to require you to return to the Company the difference between the amount of Severance you originally received and the Pro-Rated Severance.</w:t>
      </w:r>
    </w:p>
    <w:p>
      <w:pPr>
        <w:pStyle w:val="TextBody"/>
        <w:bidi w:val="0"/>
        <w:spacing w:before="0" w:after="0"/>
        <w:ind w:left="0" w:right="0" w:firstLine="720"/>
        <w:jc w:val="both"/>
        <w:rPr/>
      </w:pPr>
      <w:r>
        <w:rPr/>
      </w:r>
    </w:p>
    <w:p>
      <w:pPr>
        <w:pStyle w:val="TextBody"/>
        <w:bidi w:val="0"/>
        <w:spacing w:lineRule="auto" w:line="288" w:before="0" w:after="240"/>
        <w:ind w:left="0" w:right="0" w:hanging="720"/>
        <w:jc w:val="both"/>
        <w:rPr/>
      </w:pPr>
      <w:r>
        <w:rPr>
          <w:rFonts w:ascii="Times New Roman;sans-serif" w:hAnsi="Times New Roman;sans-serif"/>
          <w:b/>
          <w:color w:val="000000"/>
          <w:sz w:val="24"/>
        </w:rPr>
        <w:t>5.</w:t>
      </w:r>
      <w:r>
        <w:rPr>
          <w:rFonts w:ascii="Times New Roman;sans-serif" w:hAnsi="Times New Roman;sans-serif"/>
          <w:b/>
          <w:color w:val="000000"/>
          <w:sz w:val="24"/>
          <w:u w:val="single"/>
        </w:rPr>
        <w:t>Confidentiality</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Except as set forth in Section 7, you hereby agree to keep the existence and terms of this Separation Agreement confidential and not to disclose them to any persons other than to your legal, financial and/or tax advisors or to members of your immediate family (all of whom shall also be bound by the foregoing confidentiality covenant) or as required by law, rule, regulation or judicial process.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Confidential and Proprietary Information.</w:t>
      </w:r>
      <w:r>
        <w:rPr>
          <w:color w:val="000000"/>
        </w:rPr>
        <w:t xml:space="preserve"> </w:t>
      </w:r>
      <w:r>
        <w:rPr>
          <w:rFonts w:ascii="Times New Roman;sans-serif" w:hAnsi="Times New Roman;sans-serif"/>
          <w:b w:val="false"/>
          <w:color w:val="000000"/>
          <w:sz w:val="24"/>
        </w:rPr>
        <w:t>During the course of your employment, you have had access to Confidential and Proprietary Information (as defined below). You hereby represent, warrant and agree that, except as set forth in Section 7, (i) you have not taken, nor shall you take at any time, including after the Separation Date, any Confidential and Proprietary Information, and (ii) you shall retain in strict confidence and shall not use for any purpose whatsoever or divulge, disseminate, copy, disclose to any third party, or otherwise use any Confidential and Proprietary Information. As used in this Separation Agreement, “</w:t>
      </w:r>
      <w:r>
        <w:rPr>
          <w:rFonts w:ascii="Times New Roman;sans-serif" w:hAnsi="Times New Roman;sans-serif"/>
          <w:b w:val="false"/>
          <w:color w:val="000000"/>
          <w:sz w:val="24"/>
          <w:u w:val="single"/>
        </w:rPr>
        <w:t>Confidential and Proprietary Information</w:t>
      </w:r>
      <w:r>
        <w:rPr>
          <w:color w:val="000000"/>
        </w:rPr>
        <w:t xml:space="preserve">” </w:t>
      </w:r>
      <w:r>
        <w:rPr>
          <w:rFonts w:ascii="Times New Roman;sans-serif" w:hAnsi="Times New Roman;sans-serif"/>
          <w:b w:val="false"/>
          <w:color w:val="000000"/>
          <w:sz w:val="24"/>
        </w:rPr>
        <w:t>means any non-public information of a confidential or proprietary nature of any of the Releasees, including, without limitation: (i) information of a commercially sensitive, proprietary or personal nature or that, if disclosed, could have an adverse effect on any of the Releasees’ standing in the community, its or their</w:t>
      </w:r>
      <w:r>
        <w:rPr>
          <w:color w:val="000000"/>
        </w:rPr>
        <w:t xml:space="preserve"> </w:t>
      </w:r>
      <w:r>
        <w:rPr>
          <w:rFonts w:ascii="Times New Roman;sans-serif" w:hAnsi="Times New Roman;sans-serif"/>
          <w:b w:val="false"/>
          <w:color w:val="000000"/>
          <w:sz w:val="24"/>
        </w:rPr>
        <w:t xml:space="preserve">business reputations, operations or competitive positions, (ii) information and documents that have been designated or treated as confidential, (iii) financial data; customer, guest, vendor or shareholder lists or data; advertising, business, sales or marketing information, plans, tactics and strategies; projects; technical or strategic information about any of the Company's businesses (including, but not limited to, cable television, streaming services, on-line data, telephone, internet service provider, programming and programming ideas (including sports programming), advertising, theatrical, motion picture exhibition, production and distribution, entertainment or other businesses); plans or strategies to market or distribute the services or products of such businesses; economic or commercially sensitive information, policies, practices, procedures or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techniques; trade secrets and other intellectual property; merchandising, advertising, marketing or sales strategies or plans; litigation theories or strategies; terms of agreements with third parties and third party trade secrets; information about any of the Releasees’ (to the extent applicable) employees, guests, agents, compensation (including, but not limited to, bonuses, incentives and commissions), or other human resources policies, plans and procedures, or any other non-public material or information relating to any of the Releasees, and (iv) any information (personal, proprietary or otherwise) you learned about any officer, director or member of management of the Company, whether prior, during or subsequent to your employment by the Company. </w:t>
      </w:r>
    </w:p>
    <w:p>
      <w:pPr>
        <w:pStyle w:val="TextBody"/>
        <w:bidi w:val="0"/>
        <w:spacing w:lineRule="auto" w:line="288" w:before="0" w:after="240"/>
        <w:jc w:val="both"/>
        <w:rPr/>
      </w:pPr>
      <w:r>
        <w:rPr>
          <w:rFonts w:ascii="Times New Roman;sans-serif" w:hAnsi="Times New Roman;sans-serif"/>
          <w:b/>
          <w:color w:val="000000"/>
          <w:sz w:val="24"/>
        </w:rPr>
        <w:t>6.    </w:t>
      </w:r>
      <w:r>
        <w:rPr>
          <w:rFonts w:ascii="Times New Roman;sans-serif" w:hAnsi="Times New Roman;sans-serif"/>
          <w:b/>
          <w:color w:val="000000"/>
          <w:sz w:val="24"/>
          <w:u w:val="single"/>
        </w:rPr>
        <w:t>Restrictive Covenants</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You hereby reaffirm your ongoing obligations set forth in Annex I of the Employment Agreement, which Annex shall be deemed to be a part of this Separation Agreement, including the obligations contained in Paragraphs 1 through 6 of Annex I thereto, in accordance with their terms, including, without limitation, the confidentiality, non-competition, non-disparagement, cooperation and non-solicitation obligations set forth therein which shall survive the termination of your employment. </w: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color w:val="000000"/>
          <w:sz w:val="24"/>
        </w:rPr>
        <w:t>7.    </w:t>
      </w:r>
      <w:r>
        <w:rPr>
          <w:rFonts w:ascii="Times New Roman;sans-serif" w:hAnsi="Times New Roman;sans-serif"/>
          <w:b/>
          <w:color w:val="000000"/>
          <w:sz w:val="24"/>
          <w:u w:val="single"/>
        </w:rPr>
        <w:t>Exception for Disclosure Pursuant to Law</w:t>
      </w:r>
      <w:r>
        <w:rPr>
          <w:color w:val="000000"/>
        </w:rPr>
        <w:t xml:space="preserve">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Notwithstanding anything elsewhere in this Separation Agreement or the Employment Agreement, you are authorized to provide information to, file a charge with and participate in an investigation conducted by any governmental agency, and you do not need the Company’s permission to do so. In addition, it is understood that you are not required to notify the Company of a request for information from any governmental entity or of your decision to file a charge with or participate in an investigation conducted by any governmental entity. In addition, this Agreement in no way restricts or prevents you from providing testimony concerning the Company or any of its affiliates to judicial, administrative, regulatory or other governmental authorities or prohibits you from making statements or engaging in any other activities or conduct protected by the National Labor Relations Act. Notwithstanding the foregoing, you recognize that, in connection with the provision of information to any governmental entity, you must inform such governmental entity that the information you are providing is confidential.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Despite the foregoing, you are not permitted to reveal to any third party, including any governmental entity, information you came to learn during your service to the Company that is protected from disclosure by any applicable privilege, including but not limited to the attorney-client privilege or attorney work product doctrine. The Company does not waive any applicable privileges or the right to continue to protect its privileged attorney-client information, attorney work product, and other privileged information. </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you are hereby advised that pursuant to the federal Defend Trade Secrets Act of 2016, you may not be held criminally or civilly liable under any federal or state trade secret law for disclosing a trade secret: (i) in confidence, to a federal, state, or local government official, or to your attorneys, for the purpose of reporting or investigating a suspected violation of the law; or (ii) in a complaint or other court document filed in connection with a lawsuit or court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proceeding, provided that said filing is made under seal. In addition, you are further advised that if you file an action for retaliation against the Company for reporting a suspected violation of law, you may disclose a trade secret to your attorneys and use the trade secret in connection with the court proceeding provided that you: (i) file any document containing the trade secret under seal; and (ii) do not disclose the trade secret, except pursuant to court order. </w:t>
      </w:r>
    </w:p>
    <w:p>
      <w:pPr>
        <w:pStyle w:val="TextBody"/>
        <w:bidi w:val="0"/>
        <w:spacing w:lineRule="auto" w:line="288" w:before="0" w:after="0"/>
        <w:jc w:val="left"/>
        <w:rPr/>
      </w:pPr>
      <w:r>
        <w:rPr>
          <w:rFonts w:ascii="Times New Roman;sans-serif" w:hAnsi="Times New Roman;sans-serif"/>
          <w:b/>
          <w:color w:val="000000"/>
          <w:sz w:val="24"/>
        </w:rPr>
        <w:t>8.    </w:t>
      </w:r>
      <w:r>
        <w:rPr>
          <w:rFonts w:ascii="Times New Roman;sans-serif" w:hAnsi="Times New Roman;sans-serif"/>
          <w:b/>
          <w:color w:val="000000"/>
          <w:sz w:val="24"/>
          <w:u w:val="single"/>
        </w:rPr>
        <w:t>Right to Counsel/Voluntary Waiver</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advises you to consult with a lawyer before executing this Separation Agreement and the General Release and you acknowledge that you: (i) have been provided with a period of at least twenty-one (21) days to consult with a lawyer prior to executing this Separation Agreement and the General Release; (ii) have read this Separation Agreement (including, but not limited to, the “Release” in Section 3(a) above) and the General Release; (iii) fully understand the terms of this Separation Agreement and the General Release; (iv) understand that any modifications, material or otherwise made to this Separation Agreement do not restart or affect in any manner the original up to twenty-one (21) day consideration period; and (v) have executed this Separation Agreement knowingly, deliberately and voluntarily and without coercion, whether express or implied. </w:t>
      </w:r>
    </w:p>
    <w:p>
      <w:pPr>
        <w:pStyle w:val="TextBody"/>
        <w:bidi w:val="0"/>
        <w:spacing w:lineRule="auto" w:line="288" w:before="360" w:after="283"/>
        <w:jc w:val="both"/>
        <w:rPr/>
      </w:pPr>
      <w:r>
        <w:rPr>
          <w:rFonts w:ascii="Times New Roman;sans-serif" w:hAnsi="Times New Roman;sans-serif"/>
          <w:b/>
          <w:color w:val="000000"/>
          <w:sz w:val="24"/>
        </w:rPr>
        <w:t>9.    </w:t>
      </w:r>
      <w:r>
        <w:rPr>
          <w:rFonts w:ascii="Times New Roman;sans-serif" w:hAnsi="Times New Roman;sans-serif"/>
          <w:b/>
          <w:color w:val="000000"/>
          <w:sz w:val="24"/>
          <w:u w:val="single"/>
        </w:rPr>
        <w:t>Revocation</w:t>
      </w:r>
    </w:p>
    <w:p>
      <w:pPr>
        <w:pStyle w:val="TextBody"/>
        <w:bidi w:val="0"/>
        <w:spacing w:before="0" w:after="0"/>
        <w:jc w:val="both"/>
        <w:rPr/>
      </w:pPr>
      <w:r>
        <w:rPr/>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Right to Revoke.</w:t>
      </w:r>
      <w:r>
        <w:rPr>
          <w:color w:val="000000"/>
        </w:rPr>
        <w:t xml:space="preserve"> </w:t>
      </w:r>
      <w:r>
        <w:rPr>
          <w:rFonts w:ascii="Times New Roman;sans-serif" w:hAnsi="Times New Roman;sans-serif"/>
          <w:b w:val="false"/>
          <w:color w:val="000000"/>
          <w:sz w:val="24"/>
        </w:rPr>
        <w:t>You may revoke this Separation Agreement within seven (7) days after the date on which you sign it. This Separation Agreement will not be binding or enforceable until that seven (7) day period has expired. If you decide to revoke this Separation Agreement, you must notify us of your revocation in a letter signed by you and received by the Company no later than 5:00 p.m. on the seventh (7th) day after you signed this Separation Agreement. A letter of revocation that is not received by the seventh (7th) day after you have signed the Separation Agreement will be invalid and will not revoke this Separation Agreement.</w:t>
      </w:r>
    </w:p>
    <w:p>
      <w:pPr>
        <w:pStyle w:val="TextBody"/>
        <w:bidi w:val="0"/>
        <w:spacing w:lineRule="auto" w:line="288" w:before="240" w:after="240"/>
        <w:jc w:val="both"/>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Effective Date of Separation Agreement.</w:t>
      </w:r>
      <w:r>
        <w:rPr>
          <w:color w:val="000000"/>
        </w:rPr>
        <w:t xml:space="preserve"> </w:t>
      </w:r>
      <w:r>
        <w:rPr>
          <w:rFonts w:ascii="Times New Roman;sans-serif" w:hAnsi="Times New Roman;sans-serif"/>
          <w:b w:val="false"/>
          <w:color w:val="000000"/>
          <w:sz w:val="24"/>
        </w:rPr>
        <w:t>If you have not revoked this Separation Agreement in accordance with Section 9(a), above, the eighth (8th) day after the date on which you sign the Separation Agreement shall be the “</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of the Separation Agreement.</w:t>
      </w:r>
    </w:p>
    <w:p>
      <w:pPr>
        <w:pStyle w:val="TextBody"/>
        <w:bidi w:val="0"/>
        <w:spacing w:lineRule="auto" w:line="288" w:before="360" w:after="360"/>
        <w:jc w:val="both"/>
        <w:rPr/>
      </w:pPr>
      <w:r>
        <w:rPr>
          <w:rFonts w:ascii="Times New Roman;sans-serif" w:hAnsi="Times New Roman;sans-serif"/>
          <w:b/>
          <w:color w:val="000000"/>
          <w:sz w:val="24"/>
        </w:rPr>
        <w:t>10.    </w:t>
      </w:r>
      <w:r>
        <w:rPr>
          <w:rFonts w:ascii="Times New Roman;sans-serif" w:hAnsi="Times New Roman;sans-serif"/>
          <w:b/>
          <w:color w:val="000000"/>
          <w:sz w:val="24"/>
          <w:u w:val="single"/>
        </w:rPr>
        <w:t>Choice of Law/Forum/Waiver of Jury Trial/Contract Interpretation</w:t>
      </w:r>
    </w:p>
    <w:p>
      <w:pPr>
        <w:pStyle w:val="TextBody"/>
        <w:bidi w:val="0"/>
        <w:spacing w:lineRule="auto" w:line="288" w:before="120" w:after="240"/>
        <w:jc w:val="both"/>
        <w:rPr>
          <w:color w:val="000000"/>
        </w:rPr>
      </w:pPr>
      <w:r>
        <w:rPr>
          <w:color w:val="000000"/>
        </w:rPr>
        <w:t>    </w:t>
      </w:r>
      <w:r>
        <w:rPr>
          <w:rFonts w:ascii="Times New Roman;sans-serif" w:hAnsi="Times New Roman;sans-serif"/>
          <w:b w:val="false"/>
          <w:color w:val="000000"/>
          <w:sz w:val="24"/>
        </w:rPr>
        <w:t>(a)    This Separation Agreement and the General Release shall be deemed to be made under, and in all respects shall be interpreted, construed and governed by and in accordance with, the laws of the State of New York without reference to its conflict of law principles.</w:t>
      </w:r>
    </w:p>
    <w:p>
      <w:pPr>
        <w:pStyle w:val="TextBody"/>
        <w:bidi w:val="0"/>
        <w:spacing w:lineRule="auto" w:line="288" w:before="120" w:after="240"/>
        <w:jc w:val="both"/>
        <w:rPr>
          <w:color w:val="000000"/>
        </w:rPr>
      </w:pPr>
      <w:r>
        <w:rPr>
          <w:color w:val="000000"/>
        </w:rPr>
        <w:t>    </w:t>
      </w:r>
      <w:r>
        <w:rPr>
          <w:rFonts w:ascii="Times New Roman;sans-serif" w:hAnsi="Times New Roman;sans-serif"/>
          <w:b w:val="false"/>
          <w:color w:val="000000"/>
          <w:sz w:val="24"/>
        </w:rPr>
        <w:t xml:space="preserve">(b)    You and the Company hereby irrevocably submit to the jurisdiction of the courts of the State of New York and the federal courts of the United States of America located in the State of New York with respect to the interpretation and enforcement of the provisions of this Separation Agreement and the General Release, and you and the Company hereby waive, and agree not to assert, as a defense that you or the Company, as applicable, are not subject thereto or that the venue thereof may not be appropriate. You and the Company hereby agree that mailing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process or other papers in connection with any such action or proceeding in any manner as may be permitted by law shall be valid and sufficient service thereof.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(c)</w:t>
      </w:r>
      <w:r>
        <w:rPr>
          <w:rFonts w:ascii="Times New Roman;sans-serif" w:hAnsi="Times New Roman;sans-serif"/>
          <w:b w:val="false"/>
          <w:color w:val="000000"/>
          <w:sz w:val="24"/>
        </w:rPr>
        <w:t>You and the Company hereby waive any right to a jury trial on any issue in any controversy relating to, arising out of, pertaining to or affecting this Separation Agreement, your employment by the Company and/or the termination of your employment, including, but not limited, to any federal or state statutory or common law claims, including, but not limited to, any right to a jury trial provided by statute, the Seventh Amendment to the United States Constitution, or any other authority.</w:t>
      </w:r>
    </w:p>
    <w:p>
      <w:pPr>
        <w:pStyle w:val="TextBody"/>
        <w:bidi w:val="0"/>
        <w:spacing w:lineRule="auto" w:line="288" w:before="120" w:after="240"/>
        <w:ind w:left="0" w:right="0" w:firstLine="720"/>
        <w:jc w:val="both"/>
        <w:rPr/>
      </w:pPr>
      <w:r>
        <w:rPr>
          <w:rFonts w:ascii="Times New Roman;sans-serif" w:hAnsi="Times New Roman;sans-serif"/>
          <w:b w:val="false"/>
          <w:color w:val="000000"/>
          <w:sz w:val="24"/>
          <w:u w:val="single"/>
        </w:rPr>
        <w:t>(d)</w:t>
      </w:r>
      <w:r>
        <w:rPr>
          <w:rFonts w:ascii="Times New Roman;sans-serif" w:hAnsi="Times New Roman;sans-serif"/>
          <w:b w:val="false"/>
          <w:color w:val="000000"/>
          <w:sz w:val="24"/>
        </w:rPr>
        <w:t>You and the Company agree that the language of all parts of this Separation Agreement and the General Release shall be construed as a whole, and according to their</w:t>
      </w:r>
      <w:r>
        <w:rPr>
          <w:color w:val="000000"/>
        </w:rPr>
        <w:t xml:space="preserve"> </w:t>
      </w:r>
      <w:r>
        <w:rPr>
          <w:rFonts w:ascii="Times New Roman;sans-serif" w:hAnsi="Times New Roman;sans-serif"/>
          <w:b w:val="false"/>
          <w:color w:val="000000"/>
          <w:sz w:val="24"/>
        </w:rPr>
        <w:t>fair meaning and not strictly for or against you or the Company.</w:t>
      </w:r>
    </w:p>
    <w:p>
      <w:pPr>
        <w:pStyle w:val="TextBody"/>
        <w:bidi w:val="0"/>
        <w:spacing w:lineRule="auto" w:line="288" w:before="0" w:after="0"/>
        <w:jc w:val="left"/>
        <w:rPr/>
      </w:pPr>
      <w:r>
        <w:rPr>
          <w:rFonts w:ascii="Times New Roman;sans-serif" w:hAnsi="Times New Roman;sans-serif"/>
          <w:b/>
          <w:color w:val="000000"/>
          <w:sz w:val="24"/>
        </w:rPr>
        <w:t>11.    </w:t>
      </w:r>
      <w:r>
        <w:rPr>
          <w:rFonts w:ascii="Times New Roman;sans-serif" w:hAnsi="Times New Roman;sans-serif"/>
          <w:b/>
          <w:color w:val="000000"/>
          <w:sz w:val="24"/>
          <w:u w:val="single"/>
        </w:rPr>
        <w:t>Additional Provisions</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Breach of Separation Agreement.</w:t>
      </w:r>
      <w:r>
        <w:rPr>
          <w:color w:val="000000"/>
        </w:rPr>
        <w:t xml:space="preserve"> </w:t>
      </w:r>
      <w:r>
        <w:rPr>
          <w:rFonts w:ascii="Times New Roman;sans-serif" w:hAnsi="Times New Roman;sans-serif"/>
          <w:b w:val="false"/>
          <w:color w:val="000000"/>
          <w:sz w:val="24"/>
        </w:rPr>
        <w:t xml:space="preserve">You hereby acknowledge and agree that your breach or threatened breach of Sections 5 or 6 of this Separation Agreement, which, for the avoidance of doubt, includes your obligations to the Company under the Employment Agreement that survive the termination of your employment, will cause irreparable harm to the Company for which monetary damages alone will not provide an adequate remedy. Accordingly, the Company, in addition to any other rights or remedies available to it under this Separation Agreement or otherwise, will be entitled to an injunction to be issued by any court of competent jurisdiction restraining you from committing or continuing any violation of these provisions, without the necessity of showing actual damage and without any bond or other security being required. </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Withholdings.</w:t>
      </w:r>
      <w:r>
        <w:rPr>
          <w:color w:val="000000"/>
        </w:rPr>
        <w:t xml:space="preserve"> </w:t>
      </w:r>
      <w:r>
        <w:rPr>
          <w:rFonts w:ascii="Times New Roman;sans-serif" w:hAnsi="Times New Roman;sans-serif"/>
          <w:b w:val="false"/>
          <w:color w:val="000000"/>
          <w:sz w:val="24"/>
        </w:rPr>
        <w:t>The Company may withhold from any payment due hereunder any taxes that are required to be withheld under any law, rule or regulation.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Non-Admission of Liability.</w:t>
      </w:r>
      <w:r>
        <w:rPr>
          <w:color w:val="000000"/>
        </w:rPr>
        <w:t xml:space="preserve"> </w:t>
      </w:r>
      <w:r>
        <w:rPr>
          <w:rFonts w:ascii="Times New Roman;sans-serif" w:hAnsi="Times New Roman;sans-serif"/>
          <w:b w:val="false"/>
          <w:color w:val="000000"/>
          <w:sz w:val="24"/>
        </w:rPr>
        <w:t>The parties agree and acknowledge that the agreement by the Company described herein, and the settlement and termination of any asserted or unasserted claims against any of the Releasees, are not and shall not be construed to be an admission of any violation of any federal, state or local statute or regulation, or of any duty owed, contractual or otherwise, by any of the Releasees to you.</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Entire Agreement.</w:t>
      </w:r>
      <w:r>
        <w:rPr>
          <w:color w:val="000000"/>
        </w:rPr>
        <w:t xml:space="preserve"> </w:t>
      </w:r>
      <w:r>
        <w:rPr>
          <w:rFonts w:ascii="Times New Roman;sans-serif" w:hAnsi="Times New Roman;sans-serif"/>
          <w:b w:val="false"/>
          <w:color w:val="000000"/>
          <w:sz w:val="24"/>
        </w:rPr>
        <w:t xml:space="preserve">This Separation Agreement, the Award agreements referenced in Section 2(a)(4) of this Separation Agreement and the General Release set forth the entire agreement of the parties concerning its subject matter, and supersedes any and all prior agreements, discussions, understandings, promises and expectations, including, without limitation, the Employment Agreement, between you and the Company. This Separation Agreement may be modified only by a written instrument signed by you and by the Company and/or the Company.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Successors and Assigns.</w:t>
      </w:r>
      <w:r>
        <w:rPr>
          <w:color w:val="000000"/>
        </w:rPr>
        <w:t xml:space="preserve"> </w:t>
      </w:r>
      <w:r>
        <w:rPr>
          <w:rFonts w:ascii="Times New Roman;sans-serif" w:hAnsi="Times New Roman;sans-serif"/>
          <w:b w:val="false"/>
          <w:color w:val="000000"/>
          <w:sz w:val="24"/>
        </w:rPr>
        <w:t xml:space="preserve">The provisions of this Separation Agreement and the General Release shall be binding upon and inure to the benefit of the parties hereto and their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respective successors and assigns, provided that you may not assign this Separation Agreement and the General Release without the express written consent of the Company and/or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rPr>
        <w:t>In the event any paragraph, section, sentence, provision, or clause of this Separation Agreement or the General Release, or portion thereof, shall be determined to be illegal, invalid, or unenforceable, the remainder of this Separation Agreement and the General Release, and the remainder of any such paragraph, section, sentence, provision, or clause shall not be affected and shall be given full effect without regard to the illegal, invalid or unenforceable portion, provided, however, if Section 3(a) above or Section 3 of the General Release is held illegal, invalid or unenforceable, the Company shall be released from any obligations under Sections 1 and 2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Going Private Transaction/Change of Control</w:t>
      </w:r>
      <w:r>
        <w:rPr>
          <w:rFonts w:ascii="Times New Roman;sans-serif" w:hAnsi="Times New Roman;sans-serif"/>
          <w:b w:val="false"/>
          <w:color w:val="000000"/>
          <w:sz w:val="24"/>
        </w:rPr>
        <w:t>. For the avoidance of doubt and notwithstanding any provision of this Separation Agreement to the contrary, in the event of a “Going Private Transaction” or a “Change of Control”, as such terms are defined in the respective agreements governing the Awards, or in the event of your death, you will be entitled to receive the more favorable vesting and payment provisions (if any) provided in such Awards.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The intent of the parties is that payments and benefits under this Agreement comply with Section 409A of the Internal Revenue Code of 1986, as amended, and any regulations and guidelines promulgated thereunder (collectively,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xml:space="preserve">) or comply with an exemption from the application of Section 409A and, accordingly, all provisions of this Separation Agreement shall be construed in a manner consistent with the requirements for avoiding taxes or penalties under Section 409A. 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 Neither party shall take any action to accelerate or delay the payment of any monies and/or provision of any benefits that are subject to Section 409A in any manner that would not be in compliance with Section 409A. </w:t>
      </w:r>
    </w:p>
    <w:p>
      <w:pPr>
        <w:pStyle w:val="TextBody"/>
        <w:bidi w:val="0"/>
        <w:spacing w:lineRule="auto" w:line="288" w:before="0" w:after="0"/>
        <w:ind w:left="0" w:right="0" w:hanging="720"/>
        <w:jc w:val="both"/>
        <w:rPr/>
      </w:pPr>
      <w:r>
        <w:rPr>
          <w:rFonts w:ascii="Times New Roman;sans-serif" w:hAnsi="Times New Roman;sans-serif"/>
          <w:b/>
          <w:color w:val="000000"/>
          <w:sz w:val="24"/>
        </w:rPr>
        <w:t>12.    </w:t>
      </w:r>
      <w:r>
        <w:rPr>
          <w:rFonts w:ascii="Times New Roman;sans-serif" w:hAnsi="Times New Roman;sans-serif"/>
          <w:b/>
          <w:color w:val="000000"/>
          <w:sz w:val="24"/>
          <w:u w:val="single"/>
        </w:rPr>
        <w:t>Acknowledgments and Waivers Including Express Waiver Under the Age Discrimination in Employment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certify and acknowledge as follows: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(a)</w:t>
      </w:r>
      <w:r>
        <w:rPr>
          <w:rFonts w:ascii="Times New Roman;sans-serif" w:hAnsi="Times New Roman;sans-serif"/>
          <w:b w:val="false"/>
          <w:color w:val="000000"/>
          <w:sz w:val="24"/>
        </w:rPr>
        <w:t xml:space="preserve">That you have read the terms of this Separation Agreement, and that you understand its terms and effects, including the fact that under this Separation Agreement you have agreed to </w:t>
      </w:r>
      <w:r>
        <w:rPr>
          <w:rFonts w:ascii="Times New Roman;sans-serif" w:hAnsi="Times New Roman;sans-serif"/>
          <w:b/>
          <w:color w:val="000000"/>
          <w:sz w:val="24"/>
        </w:rPr>
        <w:t>RELEASE AND FOREVER DISCHARGE</w:t>
      </w:r>
      <w:r>
        <w:rPr>
          <w:color w:val="000000"/>
        </w:rPr>
        <w:t xml:space="preserve"> </w:t>
      </w:r>
      <w:r>
        <w:rPr>
          <w:rFonts w:ascii="Times New Roman;sans-serif" w:hAnsi="Times New Roman;sans-serif"/>
          <w:b w:val="false"/>
          <w:color w:val="000000"/>
          <w:sz w:val="24"/>
        </w:rPr>
        <w:t>the Releasees from any legal action arising out of or relating to your employment by the Company and/or the Company, up and through the date of your execution of this Separation Agreement, including any and all claims relating to age discrimination under the Age Discrimination in Employment Act;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That you have signed this Separation Agreement voluntarily and knowingly in exchange for the Separation Benefits described herein, which you acknowledge are adequate and satisfactory to you and which you would not have received but for your execution of this Separation Agreement;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(c)    That you have been and are hereby advised in writing to consult with an attorney prior to signing this Separation Agreement, and that you have been given an adequate opportunity to do so;</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(d)    That under this Separation Agreement you do not waive rights or claims that may arise after the date this Separation Agreement is executed;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That the Company has provided you with a period of at least twenty-one (21) days within which to consider this Separation Agreement, and that you have signed on the date indicated below after concluding that this Separation Agreement is satisfactory to you;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    That any modifications, material or otherwise made to this Separation Agreement do not restart or affect in any manner the original up to twenty-one (21) day consideration period; </w:t>
      </w:r>
      <w:r>
        <w:rPr>
          <w:rFonts w:ascii="Times New Roman;sans-serif" w:hAnsi="Times New Roman;sans-serif"/>
          <w:b w:val="false"/>
          <w:i/>
          <w:color w:val="000000"/>
          <w:sz w:val="24"/>
        </w:rPr>
        <w:t>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That this Separation Agreement may be revoked by you within seven (7) calendar days after you execute this Separation Agreement, in accordance with Section 9(a) above, and it shall not become effective until the expiration of such seven (7) day revocation period.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We wish you luck in your future endeavors.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Kristin Dolan</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Kristin Dolan</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Accepted and Agreed 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/s/ Jamie Gallagher</w:t>
      </w:r>
      <w:r>
        <w:rPr>
          <w:rFonts w:ascii="Times New Roman;sans-serif" w:hAnsi="Times New Roman;sans-serif"/>
          <w:b w:val="false"/>
          <w:color w:val="000000"/>
          <w:sz w:val="24"/>
        </w:rPr>
        <w:t>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Jamie Gallagher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4"/>
          <w:u w:val="single"/>
        </w:rPr>
        <w:t>July 26, 2024</w:t>
      </w:r>
      <w:r>
        <w:rPr>
          <w:rFonts w:ascii="Times New Roman;sans-serif" w:hAnsi="Times New Roman;sans-serif"/>
          <w:b w:val="false"/>
          <w:color w:val="000000"/>
          <w:sz w:val="24"/>
        </w:rPr>
        <w:t>____________</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GENERAL RELEASE</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color w:val="000000"/>
          <w:sz w:val="24"/>
        </w:rPr>
        <w:t>to be signed &amp; provided to Company on or after the Separation Date]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Jamie Gallagher hereby agrees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1.    I signed a Separation Agreement (the “</w:t>
      </w:r>
      <w:r>
        <w:rPr>
          <w:rFonts w:ascii="Times New Roman;sans-serif" w:hAnsi="Times New Roman;sans-serif"/>
          <w:b w:val="false"/>
          <w:color w:val="000000"/>
          <w:sz w:val="24"/>
          <w:u w:val="single"/>
        </w:rPr>
        <w:t>Separation Agreement</w:t>
      </w:r>
      <w:r>
        <w:rPr>
          <w:color w:val="000000"/>
        </w:rPr>
        <w:t>”</w:t>
      </w:r>
      <w:r>
        <w:rPr>
          <w:rFonts w:ascii="Times New Roman;sans-serif" w:hAnsi="Times New Roman;sans-serif"/>
          <w:b w:val="false"/>
          <w:color w:val="000000"/>
          <w:sz w:val="24"/>
        </w:rPr>
        <w:t>) with AMC Networks Inc. (“</w:t>
      </w:r>
      <w:r>
        <w:rPr>
          <w:rFonts w:ascii="Times New Roman;sans-serif" w:hAnsi="Times New Roman;sans-serif"/>
          <w:b w:val="false"/>
          <w:color w:val="000000"/>
          <w:sz w:val="24"/>
          <w:u w:val="single"/>
        </w:rPr>
        <w:t>the Company</w:t>
      </w:r>
      <w:r>
        <w:rPr>
          <w:color w:val="000000"/>
        </w:rPr>
        <w:t>”</w:t>
      </w:r>
      <w:r>
        <w:rPr>
          <w:rFonts w:ascii="Times New Roman;sans-serif" w:hAnsi="Times New Roman;sans-serif"/>
          <w:b w:val="false"/>
          <w:color w:val="000000"/>
          <w:sz w:val="24"/>
        </w:rPr>
        <w:t>) dated July 26, 2024 attached hereto and made a part hereof. All defined terms used herein and not otherwise defined shall have the meaning ascribed thereto in the Separation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    As stated in the Separation Agreement, I am required to execute this General Release in order to be eligible to receive the Separation Benefits set forth in Section 2 of the Separation Agreement. I understand that this General Release shall not be construed to supersede the Separation Agreement, that the Separation Agreement remains in full force and effect, and that I am obligated to continue to comply with the terms, conditions and obligations of the Separation Agreement. I further understand that I may not execute this General Release prior to the Separation Date.</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3.    In order to be eligible to receive the Separation Benefits set forth in Section 2 of the Separation Agreement, I, on behalf of myself, my heirs, executors, administrators and/or assigns, do hereby release and discharge the Company, together with its direct and indirect parent corporation, subsidiaries, affiliates, joint ventures, partners, and related entities, past, present and future, and its or their predecessors, successors and assigns (collectively, the “Company”), and its or their officers, directors, employees, consultants, agents, insurers, reinsurers, shareholders, representatives and assigns, past, present and future (collectively with the Company, the “Releasees”), of and from any and all legally waivable suits, debts, complaints, claims, liabilities, demands or causes of action, or any right to any other monetary recovery or personal relief, known or unknown, of whatever nature, which I, or any of my heirs, executors, administrators, and assigns ever had or now have against each or any of the Releasees, based upon or arising from any fact or set of facts, whether known or unknown to me, from the beginning of time to the date of my execution of this General Release, including, without limitation, any and all claims arising out of or relating to my employment by the Company or the separation of my employment. Without limiting the generality of the foregoing, this Release includes any claim or right based upon or arising under any federal, state or local fair employment practices or equal opportunity laws, including, but not limited to, any and all claims under the Age Discrimination in Employment Act of 1967, the Older Workers Benefit Protection Act, Title VII of the Civil Rights Act of 1964, Section 1981 of the Civil Rights Act of 1870, the Americans with Disabilities Act, the Employee Retirement Income Security Act, the Worker Adjustment and Retraining Notification Act, the Family Medical Leave Act, the Genetic Information Nondiscrimination Act, the New York Human Rights Law, the New York Labor Law, the New York Executive Law, the New York Wage and Hour Laws, the New York Civil Rights Law, the New York Equal Pay Law, the New York Whistleblower Statute, the New York WARN Act, the New York Constitution, the New York City Human Rights Law, each as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amended, and any and all other federal, state or local statutory or common law claims, now or hereafter recognized, including but not limited to, any claims for economic loss, compensatory damages, punitive damages, liquidated damages, attorneys’ fees, expenses and costs.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4.    I further agree to waive any and all rights under the laws of any jurisdiction in the United States, or any other country, that limit a general release to those claims that are known or suspected to exist in my favor as of the date of execution of this General Release. For the purpose of implementing a full and complete release, I expressly acknowledge and agree that this General Release releases all claims existing or arising prior to my execution of this General Release which I have or may have against the Releasees, whether such claims are known or unknown and suspected or unsuspected by me and I forever waive all inquiries and investigations into any and all such claims. </w:t>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 xml:space="preserve">5.    Notwithstanding the generality of the foregoing, nothing herein constitutes a release or waiver by me of: (i) any claim or right based on any facts or set of facts that may arise after my execution of this General Release; (ii) any claim or right I may have under this Release or the Separation Agreement; (iii) any unemployment insurance claim; (iv) any workers’ compensation insurance benefits; (v) continued participation in certain benefits under COBRA (and any state law counterpart), if applicable; (vi) any claim for medical, hospital, surgical or physician’s services benefits arising under the Company’s applicable health insurance plan(s); (vii) any claims that cannot be waived as a matter of law; </w:t>
      </w:r>
      <w:r>
        <w:rPr>
          <w:rFonts w:ascii="Times New Roman;sans-serif" w:hAnsi="Times New Roman;sans-serif"/>
          <w:b w:val="false"/>
          <w:color w:val="000000"/>
          <w:sz w:val="23"/>
        </w:rPr>
        <w:t>(viii) any claim for indemnification and D&amp;O insurance pursuant to the Employment Agreement, applicable laws and the corporate governance documents of the Company or any of its subsidiaries or affiliates; or (ix) any right to any shares of Class A Common Stock of the Company that I hold as of the date hereof</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     I hereby affirm that I have been advised that this General Release does not limit my rights under applicable law to initiate communications directly with, provide information to, respond to any inquiries from, or report possible violations of law or regulation to any governmental entity or self-regulatory authority, or to file a charge with or participate in an investigation conducted by any governmental entity or self-regulatory authority, such as the Equal Employment Opportunity Commission (“EEOC”), the Department of Labor (“DOL”), the National Labor Relations Board (“NLRB”), the Securities Exchange Commission (“SEC”), or their applicable state and/or local equivalent, and I do not need any Releasee’s permission to do so. In addition, it is understood that this General Release shall not require me to notify any Releasee of a request for information from any governmental entity or self-regulatory authority or of my decision to file a charge with or participate in an investigation conducted by any governmental entity or self-regulatory authority. Notwithstanding the foregoing, I recognize that, in connection with the provision of information to any governmental entity or self-regulatory authority, I must inform such governmental entity or self-regulatory authority that the information I am providing is confidential. Despite the foregoing, I am not permitted to reveal to any third party, including any governmental entity or self-regulatory authority, information I came to learn during my service to the Company that is protected from disclosure by any applicable privilege, including but not limited to the attorney-client privilege or attorney work product doctrine. The Company does not waive any applicable privileges or the right to continue to protect its privileged attorney-client information, attorney work product, and other privileged information. This General Release also does not prevent me from exercising my rights under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Section 7 of the National Labor Relations Act to engage in protected, concerted activity with other employees. To the fullest extent permitted by law, I agree that if any claim, charge, complaint or action against the Company covered by the release provision of this General Release is brought by me, for my benefit, or on my behalf, I expressly waive any claim to any form of monetary or other damages, including attorneys’ fees and costs, or any other form of personal recovery or relief from the Company based upon any such claim, charge, complaint or action, providing that I am not agreeing to waive, and this General Release shall not be read as requiring me to waive, any right I may have to receive an award from a government agency or regulatory or law enforcement agency (and not the Company) for information provided to a government agency or other protected “whistleblower” activity. To the extent I receive any personal or monetary relief from the Company based on any such claim, charge, complaint or action, the Company will be entitled to an offset for the payments made pursuant to this General Release. I further agree and covenant that should any person, organization, or other entity file, charge, claim, sue, or cause or permit to be filed any civil action, suit or legal proceeding, or if any person, organization, or other entity has filed, charged, claimed, sued, or caused or permitted to be filed any civil action, suit or legal proceeding, against any of the Releasees involving any matter occurring at any time in the past, I am not entitled to and will not seek or accept personal equitable or monetary relief in such civil action, suit or legal proceeding. I further agree and covenant that I waive any right or ability to be a class or collective action representative or to otherwise participate in any putative or certified class, collective or multi-party action or proceeding asserted or brought against any of the Releasees.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    Except as expressly referenced in the Separation Agreement, I hereby confirm that all monies due to me, including, but not limited to, all wages earned, sick pay, personal leave pay and/or vacation pay, previously have been paid. I agree that no other monies or relief are due to me, other than the payments provided for in the Separation Agreement in consideration of my execution of the Separation Agreement and this General Release.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    I affirm that I have reported to the Company in writing any work-related physical or mental injury, illness or impairment which I may have experienced.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9.    I further affirm that I have not made a sexual harassment or other claim of harassment, discrimination, retaliation or other violation of Company policy or unlawful conduct and have not been retaliated against for reporting any allegations of wrongdoing by the Company or its officers, including any allegations of corporate fraud.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    I further affirm that all of the Company’s decisions regarding my pay and benefits through the date of my execution of this General Release were not discriminatory based on age, disability, race, color, sex, religion, national origin or any other classification protected by law.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11.    By signing below, I certify and acknowledge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I have read the terms of this General Release, and I understand its terms and effects, including the fact that I have agreed to </w:t>
      </w:r>
      <w:r>
        <w:rPr>
          <w:rFonts w:ascii="Times New Roman;sans-serif" w:hAnsi="Times New Roman;sans-serif"/>
          <w:b/>
          <w:color w:val="000000"/>
          <w:sz w:val="24"/>
        </w:rPr>
        <w:t>RELEASE AND FOREVER DISCHARGE</w:t>
      </w:r>
      <w:r>
        <w:rPr>
          <w:color w:val="000000"/>
        </w:rPr>
        <w:t xml:space="preserve"> </w:t>
      </w:r>
      <w:r>
        <w:rPr>
          <w:rFonts w:ascii="Times New Roman;sans-serif" w:hAnsi="Times New Roman;sans-serif"/>
          <w:b w:val="false"/>
          <w:color w:val="000000"/>
          <w:sz w:val="24"/>
        </w:rPr>
        <w:t xml:space="preserve">the Releasees from any legal action arising out of or relating to my employment by the Company or the termination of my employment by the Company or the Company, up and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through the date of my execution of this General Release, including any and all claims relating to age discrimination under the Age Discrimination in Employment Act;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 have signed this General Release voluntarily, deliberately and knowingly in exchange for consideration which I acknowledge is adequate and satisfactory to me and which I acknowledge is in addition to any other benefits to which I am otherwise entitled;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 have been and am hereby advised in writing through this General Release to consult with an attorney prior to signing this General Release, and that I have been given an adequate opportunity to do so;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 do not waive rights or claims that may arise after the date this General Release is executed;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That the Company has provided me with a period of at least twenty-one (21) days within which to consider this General Release, and that I have signed on the date indicated below after concluding that this General Release is satisfactory to me;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That any modifications, material or otherwise made to this General Release do not restart or affect in any manner the original up to twenty-one (21) day consideration period;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That this General Release may be revoked by me within seven (7) calendar days after I execute it and it shall not become effective until the expiration of such seven (7) day revocation period. I further acknowledge that I must notify the Company of my revocation of this General Release in a letter signed by me and received by the Company, no later than 5:00 p.m. on the seventh (7th) day after I sign this General Release and that a letter of revocation that is not received by the seventh (7th) day after I have signed this General Release will be invalid and will not revoke this General Release.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Accepted and Agreed 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/s/ Jamie Gallagher</w:t>
      </w:r>
      <w:r>
        <w:rPr>
          <w:rFonts w:ascii="Times New Roman;sans-serif" w:hAnsi="Times New Roman;sans-serif"/>
          <w:b w:val="false"/>
          <w:color w:val="000000"/>
          <w:sz w:val="24"/>
        </w:rPr>
        <w:t>________</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Jamie Gallagher</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26, 2024</w:t>
      </w:r>
      <w:r>
        <w:rPr>
          <w:rFonts w:ascii="Times New Roman;sans-serif" w:hAnsi="Times New Roman;sans-serif"/>
          <w:b w:val="false"/>
          <w:color w:val="000000"/>
          <w:sz w:val="24"/>
        </w:rPr>
        <w:t>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1" w:before="0" w:after="200"/>
        <w:jc w:val="right"/>
        <w:rPr>
          <w:rFonts w:ascii="Times New Roman;sans-serif" w:hAnsi="Times New Roman;sans-serif"/>
          <w:b w:val="false"/>
          <w:color w:val="000000"/>
          <w:sz w:val="20"/>
        </w:rPr>
      </w:pPr>
      <w:r>
        <w:rPr>
          <w:rFonts w:ascii="Times New Roman;sans-serif" w:hAnsi="Times New Roman;sans-serif"/>
          <w:b w:val="false"/>
          <w:color w:val="000000"/>
          <w:sz w:val="20"/>
        </w:rPr>
        <w:t>Exhibit 22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List of Guarantor Subsidiaries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following subsidiaries of AMC Networks Inc. guarantee the notes issued by AMC Networks Inc.</w:t>
      </w:r>
    </w:p>
    <w:tbl>
      <w:tblPr>
        <w:tblW w:w="6042" w:type="dxa"/>
        <w:jc w:val="left"/>
        <w:tblInd w:w="0" w:type="dxa"/>
        <w:tblLayout w:type="fixed"/>
        <w:tblCellMar>
          <w:top w:w="28" w:type="dxa"/>
          <w:left w:w="28" w:type="dxa"/>
          <w:bottom w:w="28" w:type="dxa"/>
          <w:right w:w="28" w:type="dxa"/>
        </w:tblCellMar>
      </w:tblPr>
      <w:tblGrid>
        <w:gridCol w:w="1301"/>
        <w:gridCol w:w="1146"/>
        <w:gridCol w:w="1153"/>
        <w:gridCol w:w="109"/>
        <w:gridCol w:w="109"/>
        <w:gridCol w:w="109"/>
        <w:gridCol w:w="619"/>
        <w:gridCol w:w="619"/>
        <w:gridCol w:w="877"/>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2nd Party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61st Street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Across the River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Aesir Media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Film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Games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 Entertainment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Broadcasting &amp;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International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Plus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Premiere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AMC/Sundance Channel Global Networks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AMCN Properties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American Movie Classics IV Holding Corp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Animal Control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Anime Network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Anthem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Brockmire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Cobalt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Comic Scribe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Crossed Pens Development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Dark Winds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Digital Store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Dispatches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Expedition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Families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Moons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Geese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Ground Work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HIDIVE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78"/>
        <w:gridCol w:w="947"/>
        <w:gridCol w:w="959"/>
        <w:gridCol w:w="109"/>
        <w:gridCol w:w="109"/>
        <w:gridCol w:w="109"/>
        <w:gridCol w:w="619"/>
        <w:gridCol w:w="619"/>
        <w:gridCol w:w="877"/>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Holdings LLC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Films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In Theaters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Television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Concessions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 Creative Contents Alliance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Kindred Spirit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Kopus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Kopus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Lodge Productions II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Making Waves Studio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Mechanical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Monument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Moonhaven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Newfound Lake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NOS4A2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 Pit Properties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Peachwood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Pens Down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Premier Quills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Content Distribution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Rainbow Media Enterprises,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Rainbow Media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Rectify Productions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Monday Programming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Holding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II Holding Corporation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Roughhouse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Selects VOD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Filmworks,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Shudder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67" w:type="dxa"/>
        <w:jc w:val="left"/>
        <w:tblInd w:w="0" w:type="dxa"/>
        <w:tblLayout w:type="fixed"/>
        <w:tblCellMar>
          <w:top w:w="28" w:type="dxa"/>
          <w:left w:w="28" w:type="dxa"/>
          <w:bottom w:w="28" w:type="dxa"/>
          <w:right w:w="28" w:type="dxa"/>
        </w:tblCellMar>
      </w:tblPr>
      <w:tblGrid>
        <w:gridCol w:w="1055"/>
        <w:gridCol w:w="929"/>
        <w:gridCol w:w="941"/>
        <w:gridCol w:w="109"/>
        <w:gridCol w:w="109"/>
        <w:gridCol w:w="109"/>
        <w:gridCol w:w="619"/>
        <w:gridCol w:w="619"/>
        <w:gridCol w:w="877"/>
      </w:tblGrid>
      <w:tr>
        <w:trPr/>
        <w:tc>
          <w:tcPr>
            <w:tcW w:w="105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Sleuth Secrets Productions LLC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Stalwart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Channel Originals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Film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SundanceTV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Sxion 23,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IX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X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XI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Vampire Chronicles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Voom HD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Woodbury Studios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Kristin A. Dolan,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70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Patrick O’Connell,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07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80" w:after="3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each of the undersigned officers of AMC Networks Inc. (“AMC Networks”) hereby certifies, to such officer’s knowledge, that AMC Networks’ Quarterly Report on Form 10-Q for the quarter ended June 30, 2024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tbl>
      <w:tblPr>
        <w:tblW w:w="470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707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4991/000151499124000013/amcx2024securednotes-inden.htm" TargetMode="External"/><Relationship Id="rId3" Type="http://schemas.openxmlformats.org/officeDocument/2006/relationships/hyperlink" Target="https://www.sec.gov/Archives/edgar/data/1514991/000151499124000013/amc-thirdamendmenttosecond.htm" TargetMode="External"/><Relationship Id="rId4" Type="http://schemas.openxmlformats.org/officeDocument/2006/relationships/hyperlink" Target="https://www.sec.gov/Archives/edgar/data/1514991/000119312524165686/d766262dex41.htm" TargetMode="External"/><Relationship Id="rId5" Type="http://schemas.openxmlformats.org/officeDocument/2006/relationships/hyperlink" Target="https://www.sec.gov/Archives/edgar/data/1514991/000119312524165686/d766262dex41.htm" TargetMode="External"/><Relationship Id="rId6" Type="http://schemas.openxmlformats.org/officeDocument/2006/relationships/hyperlink" Target="https://www.sec.gov/Archives/edgar/data/1514991/000119312524165686/d766262dex41.htm" TargetMode="External"/><Relationship Id="rId7" Type="http://schemas.openxmlformats.org/officeDocument/2006/relationships/hyperlink" Target="https://www.sec.gov/Archives/edgar/data/1514991/000119312524165686/d766262dex41.htm" TargetMode="External"/><Relationship Id="rId8" Type="http://schemas.openxmlformats.org/officeDocument/2006/relationships/hyperlink" Target="https://www.sec.gov/Archives/edgar/data/1514991/000119312524165686/d766262dex41.htm" TargetMode="External"/><Relationship Id="rId9" Type="http://schemas.openxmlformats.org/officeDocument/2006/relationships/hyperlink" Target="https://www.sec.gov/Archives/edgar/data/1514991/000119312524165686/d766262dex41.htm" TargetMode="External"/><Relationship Id="rId10" Type="http://schemas.openxmlformats.org/officeDocument/2006/relationships/hyperlink" Target="https://www.sec.gov/Archives/edgar/data/1514991/000119312524165686/d766262dex41.htm" TargetMode="External"/><Relationship Id="rId11" Type="http://schemas.openxmlformats.org/officeDocument/2006/relationships/hyperlink" Target="https://www.sec.gov/Archives/edgar/data/1514991/000119312524165686/d766262dex41.htm" TargetMode="External"/><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35019</Words>
  <Characters>196976</Characters>
  <CharactersWithSpaces>230144</CharactersWithSpaces>
  <Paragraphs>4194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