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pPr>
      <w:r>
        <w:rPr>
          <w:color w:val="000000"/>
        </w:rPr>
        <w:t> </w:t>
      </w:r>
      <w:r>
        <w:rPr>
          <w:rFonts w:ascii="Times New Roman;serif" w:hAnsi="Times New Roman;serif"/>
          <w:b/>
          <w:color w:val="000000"/>
          <w:sz w:val="24"/>
        </w:rPr>
        <w:t>FORM 8-K</w:t>
      </w:r>
    </w:p>
    <w:p>
      <w:pPr>
        <w:pStyle w:val="TextBody"/>
        <w:bidi w:val="0"/>
        <w:spacing w:lineRule="auto" w:line="288" w:before="8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4, 2026</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Commission File Number: 1-35106</w:t>
      </w:r>
    </w:p>
    <w:p>
      <w:pPr>
        <w:pStyle w:val="TextBody"/>
        <w:bidi w:val="0"/>
        <w:spacing w:before="4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center"/>
        <w:rPr/>
      </w:pPr>
      <w:r>
        <w:rPr/>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AMC Global Media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8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09" w:type="dxa"/>
        <w:jc w:val="center"/>
        <w:tblInd w:w="0" w:type="dxa"/>
        <w:tblLayout w:type="fixed"/>
        <w:tblCellMar>
          <w:top w:w="28" w:type="dxa"/>
          <w:left w:w="28" w:type="dxa"/>
          <w:bottom w:w="28" w:type="dxa"/>
          <w:right w:w="28" w:type="dxa"/>
        </w:tblCellMar>
      </w:tblPr>
      <w:tblGrid>
        <w:gridCol w:w="537"/>
        <w:gridCol w:w="473"/>
        <w:gridCol w:w="473"/>
        <w:gridCol w:w="473"/>
        <w:gridCol w:w="473"/>
        <w:gridCol w:w="496"/>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27-5403694</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11 Penn Plaza,</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New York,</w:t>
            </w:r>
          </w:p>
        </w:tc>
        <w:tc>
          <w:tcPr>
            <w:tcW w:w="14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NY</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10001</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(212) 324-8500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p>
      <w:pPr>
        <w:pStyle w:val="TextBody"/>
        <w:bidi w:val="0"/>
        <w:spacing w:before="0" w:after="0"/>
        <w:jc w:val="center"/>
        <w:rPr/>
      </w:pPr>
      <w:r>
        <w:rPr/>
      </w:r>
    </w:p>
    <w:tbl>
      <w:tblPr>
        <w:tblW w:w="8978" w:type="dxa"/>
        <w:jc w:val="center"/>
        <w:tblInd w:w="0" w:type="dxa"/>
        <w:tblLayout w:type="fixed"/>
        <w:tblCellMar>
          <w:top w:w="28" w:type="dxa"/>
          <w:left w:w="28" w:type="dxa"/>
          <w:bottom w:w="28" w:type="dxa"/>
          <w:right w:w="28" w:type="dxa"/>
        </w:tblCellMar>
      </w:tblPr>
      <w:tblGrid>
        <w:gridCol w:w="1345"/>
        <w:gridCol w:w="1184"/>
        <w:gridCol w:w="1191"/>
        <w:gridCol w:w="519"/>
        <w:gridCol w:w="519"/>
        <w:gridCol w:w="521"/>
        <w:gridCol w:w="369"/>
        <w:gridCol w:w="369"/>
        <w:gridCol w:w="369"/>
        <w:gridCol w:w="369"/>
        <w:gridCol w:w="369"/>
        <w:gridCol w:w="369"/>
        <w:gridCol w:w="435"/>
        <w:gridCol w:w="435"/>
        <w:gridCol w:w="615"/>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AMCX</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The</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Market LLC</w:t>
            </w:r>
          </w:p>
        </w:tc>
      </w:tr>
    </w:tbl>
    <w:p>
      <w:pPr>
        <w:pStyle w:val="TextBody"/>
        <w:bidi w:val="0"/>
        <w:spacing w:lineRule="auto" w:line="288" w:before="8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68" w:before="120" w:after="120"/>
        <w:ind w:left="0" w:right="0" w:firstLine="720"/>
        <w:jc w:val="both"/>
        <w:rPr/>
      </w:pPr>
      <w:r>
        <w:rPr>
          <w:rFonts w:ascii="Times New Roman;serif" w:hAnsi="Times New Roman;serif"/>
          <w:b w:val="false"/>
          <w:color w:val="000000"/>
          <w:sz w:val="20"/>
        </w:rPr>
        <w:t xml:space="preserve">During </w:t>
      </w:r>
      <w:r>
        <w:rPr>
          <w:rFonts w:ascii="Times New Roman;serif" w:hAnsi="Times New Roman;serif"/>
          <w:b w:val="false"/>
          <w:color w:val="000000"/>
          <w:sz w:val="20"/>
          <w:shd w:fill="FFFFFF" w:val="clear"/>
        </w:rPr>
        <w:t xml:space="preserve">AMC Global Media Inc.’s (the “Company”) second </w:t>
      </w:r>
      <w:r>
        <w:rPr>
          <w:rFonts w:ascii="Times New Roman;serif" w:hAnsi="Times New Roman;serif"/>
          <w:b w:val="false"/>
          <w:color w:val="000000"/>
          <w:sz w:val="20"/>
        </w:rPr>
        <w:t>quarter earnings call on July 30, 2026, the Company provided an updated outlook on certain full year-2026 financial metrics, including free cash flow. At that time, the Company indicated that it expected to generate approximately $220 million of free cash flow in 2026. As a result of the settlement described in Item 8.01 below, the Company now expects to generate approximately $150 million of free cash flow in 2026, which includes the cash settlement payment of $85 million, net of the related income tax benefit. Excluding the aforementioned one-time items, free cash flow guidance for 2026 would remain unchanged.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the Company expects to classify the $85 million payment described below as an adjustment in determining adjusted operating income, the Company’s adjusted operating income will not be impacted by the settlement. There is no change to the Company’s previously issued outlook for revenue and adjusted operating income.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68" w:before="120" w:after="120"/>
        <w:ind w:left="0" w:right="0" w:firstLine="720"/>
        <w:jc w:val="both"/>
        <w:rPr/>
      </w:pPr>
      <w:r>
        <w:rPr>
          <w:rFonts w:ascii="Times New Roman;serif" w:hAnsi="Times New Roman;serif"/>
          <w:b w:val="false"/>
          <w:color w:val="000000"/>
          <w:sz w:val="20"/>
          <w:shd w:fill="FFFFFF" w:val="clear"/>
        </w:rPr>
        <w:t xml:space="preserve">On September 4, 2026, the Company entered into a settlement agreement (the “Settlement Agreement”) with Robert Kirkman, Robert Kirkman, LLC, Glen Mazzara, 44 Strong Productions, Inc., David Alpert, Circle of Confusion Productions, LLC, New Circle of Confusion Productions, Inc., Charles Eglee, United Bongo Drum, Inc.; Gale Anne Hurd, and Valhalla Entertainment, Inc. f/k/a Valhalla Motion Pictures, Inc. </w:t>
      </w:r>
      <w:r>
        <w:rPr>
          <w:rFonts w:ascii="Times New Roman;serif" w:hAnsi="Times New Roman;serif"/>
          <w:b w:val="false"/>
          <w:color w:val="000000"/>
          <w:sz w:val="20"/>
        </w:rPr>
        <w:t xml:space="preserve">(together, the "Plaintiffs") resolving claims for </w:t>
      </w:r>
      <w:r>
        <w:rPr>
          <w:rFonts w:ascii="Times New Roman;serif" w:hAnsi="Times New Roman;serif"/>
          <w:b w:val="false"/>
          <w:color w:val="000000"/>
          <w:sz w:val="20"/>
          <w:shd w:fill="FFFFFF" w:val="clear"/>
        </w:rPr>
        <w:t>breach of contract.</w:t>
      </w:r>
      <w:r>
        <w:rPr>
          <w:color w:val="000000"/>
        </w:rPr>
        <w:t xml:space="preserve"> </w:t>
      </w:r>
      <w:r>
        <w:rPr>
          <w:rFonts w:ascii="Times New Roman;serif" w:hAnsi="Times New Roman;serif"/>
          <w:b w:val="false"/>
          <w:color w:val="000000"/>
          <w:sz w:val="20"/>
          <w:shd w:fill="FFFFFF" w:val="clear"/>
        </w:rPr>
        <w:t>The complaint was initially filed in 2022 and the trial was scheduled to commence on October 27, 2026. See Note 14, “Commitments and Contingencies” to the condensed consolidated financial statements included in the Company’s Quarterly Report on Form 10-Q for the quarter ended June 30, 2026 for a further description of this legal proceeding.</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The Settlement Agreement provides for total consideration of $120 million (the “Settlement Payment”) to the Plaintiffs consisting of (i) </w:t>
      </w:r>
      <w:r>
        <w:rPr>
          <w:rFonts w:ascii="Times New Roman;serif" w:hAnsi="Times New Roman;serif"/>
          <w:b w:val="false"/>
          <w:color w:val="000000"/>
          <w:sz w:val="20"/>
          <w:shd w:fill="FFFFFF" w:val="clear"/>
        </w:rPr>
        <w:t xml:space="preserve">a cash payment of $85 million by September 18, 2026 </w:t>
      </w:r>
      <w:r>
        <w:rPr>
          <w:rFonts w:ascii="Times New Roman;serif" w:hAnsi="Times New Roman;serif"/>
          <w:b w:val="false"/>
          <w:color w:val="000000"/>
          <w:sz w:val="20"/>
        </w:rPr>
        <w:t xml:space="preserve">and (ii) $35 million to be paid no later than January 31, 2027, which $35 million payment will be treated as an advance against Modified Adjusted Gross Receipts participation amounts that will accrue to the Plaintiffs under contractual arrangements relating to </w:t>
      </w:r>
      <w:r>
        <w:rPr>
          <w:rFonts w:ascii="Times New Roman;serif" w:hAnsi="Times New Roman;serif"/>
          <w:b w:val="false"/>
          <w:i/>
          <w:color w:val="000000"/>
          <w:sz w:val="20"/>
        </w:rPr>
        <w:t xml:space="preserve">The Walking Dead </w:t>
      </w:r>
      <w:r>
        <w:rPr>
          <w:rFonts w:ascii="Times New Roman;serif" w:hAnsi="Times New Roman;serif"/>
          <w:b w:val="false"/>
          <w:color w:val="000000"/>
          <w:sz w:val="20"/>
        </w:rPr>
        <w:t xml:space="preserve">and </w:t>
      </w:r>
      <w:r>
        <w:rPr>
          <w:rFonts w:ascii="Times New Roman;serif" w:hAnsi="Times New Roman;serif"/>
          <w:b w:val="false"/>
          <w:i/>
          <w:color w:val="000000"/>
          <w:sz w:val="20"/>
        </w:rPr>
        <w:t>Fear The Walking Dead</w:t>
      </w:r>
      <w:r>
        <w:rPr>
          <w:rFonts w:ascii="Times New Roman;serif" w:hAnsi="Times New Roman;serif"/>
          <w:b w:val="false"/>
          <w:color w:val="000000"/>
          <w:sz w:val="20"/>
        </w:rPr>
        <w:t>. The Plaintiffs will continue to receive ordinary course Modified Adjusted Gross Receipts participation on a go-forward basis, offset by the advance. With regard to the Settlement Payment,</w:t>
      </w:r>
      <w:r>
        <w:rPr>
          <w:color w:val="000000"/>
          <w:shd w:fill="FFFFFF" w:val="clear"/>
        </w:rPr>
        <w:t xml:space="preserve"> </w:t>
      </w:r>
      <w:r>
        <w:rPr>
          <w:rFonts w:ascii="Times New Roman;serif" w:hAnsi="Times New Roman;serif"/>
          <w:b w:val="false"/>
          <w:color w:val="000000"/>
          <w:sz w:val="20"/>
          <w:shd w:fill="FFFFFF" w:val="clear"/>
        </w:rPr>
        <w:t xml:space="preserve">the Company is taking a charge of approximately $85 million in the quarter ending September 30, 2026 </w:t>
      </w:r>
      <w:r>
        <w:rPr>
          <w:rFonts w:ascii="Times New Roman;serif" w:hAnsi="Times New Roman;serif"/>
          <w:b w:val="false"/>
          <w:color w:val="000000"/>
          <w:sz w:val="20"/>
        </w:rPr>
        <w:t>in consideration for the dismissal of the actions with prejudice.</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Settlement Agreement also includes customary provisions included in such agreements, including providing for mutual releases, covenants not to sue, waivers, confidentiality, non-disparagement and indemnification for third party claims.</w:t>
      </w:r>
    </w:p>
    <w:p>
      <w:pPr>
        <w:pStyle w:val="TextBody"/>
        <w:bidi w:val="0"/>
        <w:spacing w:before="120" w:after="12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8187" w:type="dxa"/>
        <w:jc w:val="left"/>
        <w:tblInd w:w="0" w:type="dxa"/>
        <w:tblLayout w:type="fixed"/>
        <w:tblCellMar>
          <w:top w:w="28" w:type="dxa"/>
          <w:left w:w="28" w:type="dxa"/>
          <w:bottom w:w="28" w:type="dxa"/>
          <w:right w:w="28" w:type="dxa"/>
        </w:tblCellMar>
      </w:tblPr>
      <w:tblGrid>
        <w:gridCol w:w="457"/>
        <w:gridCol w:w="401"/>
        <w:gridCol w:w="403"/>
        <w:gridCol w:w="109"/>
        <w:gridCol w:w="109"/>
        <w:gridCol w:w="109"/>
        <w:gridCol w:w="1921"/>
        <w:gridCol w:w="1921"/>
        <w:gridCol w:w="2757"/>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Exhibit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Item</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18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80" w:after="180"/>
        <w:ind w:left="0" w:right="0" w:firstLine="990"/>
        <w:jc w:val="left"/>
        <w:rPr/>
      </w:pPr>
      <w:r>
        <w:rPr/>
      </w:r>
    </w:p>
    <w:tbl>
      <w:tblPr>
        <w:tblW w:w="6834" w:type="dxa"/>
        <w:jc w:val="left"/>
        <w:tblInd w:w="0" w:type="dxa"/>
        <w:tblLayout w:type="fixed"/>
        <w:tblCellMar>
          <w:top w:w="28" w:type="dxa"/>
          <w:left w:w="28" w:type="dxa"/>
          <w:bottom w:w="28" w:type="dxa"/>
          <w:right w:w="28" w:type="dxa"/>
        </w:tblCellMar>
      </w:tblPr>
      <w:tblGrid>
        <w:gridCol w:w="200"/>
        <w:gridCol w:w="177"/>
        <w:gridCol w:w="178"/>
        <w:gridCol w:w="539"/>
        <w:gridCol w:w="539"/>
        <w:gridCol w:w="541"/>
        <w:gridCol w:w="109"/>
        <w:gridCol w:w="109"/>
        <w:gridCol w:w="109"/>
        <w:gridCol w:w="134"/>
        <w:gridCol w:w="134"/>
        <w:gridCol w:w="136"/>
        <w:gridCol w:w="1146"/>
        <w:gridCol w:w="1146"/>
        <w:gridCol w:w="163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AMC Global Media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Sal Romanello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 Romanello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General Counsel</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815</Words>
  <Characters>4546</Characters>
  <CharactersWithSpaces>5321</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