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6"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700" w:hanging="665"/>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6" w:lineRule="exact"/>
        <w:rPr>
          <w:sz w:val="24"/>
          <w:szCs w:val="24"/>
          <w:color w:val="auto"/>
        </w:rPr>
      </w:pPr>
    </w:p>
    <w:p>
      <w:pPr>
        <w:ind w:left="1620"/>
        <w:spacing w:after="0"/>
        <w:tabs>
          <w:tab w:leader="none" w:pos="4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214630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137795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2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(State or other jurisdiction of</w:t>
            </w:r>
          </w:p>
        </w:tc>
        <w:tc>
          <w:tcPr>
            <w:tcW w:w="38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incorporation or organization)</w:t>
            </w:r>
          </w:p>
        </w:tc>
        <w:tc>
          <w:tcPr>
            <w:tcW w:w="38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2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11 Penn Plaza,</w:t>
            </w:r>
          </w:p>
        </w:tc>
        <w:tc>
          <w:tcPr>
            <w:tcW w:w="3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2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New York, NY</w:t>
            </w:r>
          </w:p>
        </w:tc>
        <w:tc>
          <w:tcPr>
            <w:tcW w:w="50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10001</w:t>
            </w:r>
          </w:p>
        </w:tc>
      </w:tr>
      <w:tr>
        <w:trPr>
          <w:trHeight w:val="218"/>
        </w:trPr>
        <w:tc>
          <w:tcPr>
            <w:tcW w:w="2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1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80" w:type="dxa"/>
            <w:vAlign w:val="bottom"/>
          </w:tcPr>
          <w:p>
            <w:pPr>
              <w:jc w:val="right"/>
              <w:ind w:right="1594"/>
              <w:spacing w:after="0"/>
              <w:rPr>
                <w:sz w:val="20"/>
                <w:szCs w:val="20"/>
                <w:color w:val="auto"/>
              </w:rPr>
            </w:pPr>
            <w:r>
              <w:rPr>
                <w:rFonts w:ascii="Arial" w:cs="Arial" w:eastAsia="Arial" w:hAnsi="Arial"/>
                <w:sz w:val="18"/>
                <w:szCs w:val="18"/>
                <w:b w:val="1"/>
                <w:bCs w:val="1"/>
                <w:color w:val="auto"/>
              </w:rPr>
              <w:t>(212) 324-8500</w:t>
            </w:r>
          </w:p>
        </w:tc>
        <w:tc>
          <w:tcPr>
            <w:tcW w:w="1180" w:type="dxa"/>
            <w:vAlign w:val="bottom"/>
          </w:tcPr>
          <w:p>
            <w:pPr>
              <w:spacing w:after="0"/>
              <w:rPr>
                <w:sz w:val="24"/>
                <w:szCs w:val="24"/>
                <w:color w:val="auto"/>
              </w:rPr>
            </w:pPr>
          </w:p>
        </w:tc>
      </w:tr>
      <w:tr>
        <w:trPr>
          <w:trHeight w:val="218"/>
        </w:trPr>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gridSpan w:val="2"/>
          </w:tcPr>
          <w:p>
            <w:pPr>
              <w:jc w:val="center"/>
              <w:ind w:right="172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8"/>
        </w:trPr>
        <w:tc>
          <w:tcPr>
            <w:tcW w:w="17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r>
    </w:tbl>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Exchange Act Rule 12b-2).</w:t>
      </w:r>
    </w:p>
    <w:p>
      <w:pPr>
        <w:sectPr>
          <w:pgSz w:w="11900" w:h="16838" w:orient="portrait"/>
          <w:cols w:equalWidth="0" w:num="1">
            <w:col w:w="11420"/>
          </w:cols>
          <w:pgMar w:left="240" w:top="517" w:right="239" w:bottom="1440" w:gutter="0" w:footer="0" w:header="0"/>
        </w:sectPr>
      </w:pPr>
    </w:p>
    <w:p>
      <w:pPr>
        <w:spacing w:after="0" w:line="1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00"/>
            <w:col w:w="5240" w:space="720"/>
            <w:col w:w="1840" w:space="720"/>
            <w:col w:w="7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580"/>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560" w:space="600"/>
            <w:col w:w="5240" w:space="720"/>
            <w:col w:w="1960" w:space="600"/>
            <w:col w:w="740"/>
          </w:cols>
          <w:pgMar w:left="240" w:top="517" w:right="23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60"/>
          </w:cols>
          <w:pgMar w:left="240" w:top="517" w:right="2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November 1, 2012:</w:t>
      </w:r>
    </w:p>
    <w:p>
      <w:pPr>
        <w:sectPr>
          <w:pgSz w:w="11900" w:h="16838" w:orient="portrait"/>
          <w:cols w:equalWidth="0" w:num="1">
            <w:col w:w="11420"/>
          </w:cols>
          <w:pgMar w:left="240" w:top="517" w:right="239" w:bottom="1440" w:gutter="0" w:footer="0" w:header="0"/>
          <w:type w:val="continuous"/>
        </w:sectPr>
      </w:pPr>
    </w:p>
    <w:p>
      <w:pPr>
        <w:spacing w:after="0" w:line="248"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auto"/>
        </w:rPr>
        <w:t>59,909,223</w:t>
      </w:r>
    </w:p>
    <w:p>
      <w:pPr>
        <w:spacing w:after="0" w:line="97" w:lineRule="exact"/>
        <w:rPr>
          <w:sz w:val="24"/>
          <w:szCs w:val="24"/>
          <w:color w:val="auto"/>
        </w:rPr>
      </w:pPr>
    </w:p>
    <w:p>
      <w:pPr>
        <w:sectPr>
          <w:pgSz w:w="11900" w:h="16838" w:orient="portrait"/>
          <w:cols w:equalWidth="0" w:num="2">
            <w:col w:w="7680" w:space="720"/>
            <w:col w:w="3020"/>
          </w:cols>
          <w:pgMar w:left="240" w:top="517"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Class B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11,784,408</w:t>
      </w:r>
    </w:p>
    <w:p>
      <w:pPr>
        <w:sectPr>
          <w:pgSz w:w="11900" w:h="16838" w:orient="portrait"/>
          <w:cols w:equalWidth="0" w:num="2">
            <w:col w:w="7680" w:space="720"/>
            <w:col w:w="3020"/>
          </w:cols>
          <w:pgMar w:left="240" w:top="51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98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gridSpan w:val="4"/>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11"/>
            <w:vMerge w:val="restart"/>
          </w:tcPr>
          <w:p>
            <w:pPr>
              <w:spacing w:after="0"/>
              <w:rPr>
                <w:sz w:val="20"/>
                <w:szCs w:val="20"/>
                <w:color w:val="auto"/>
              </w:rPr>
            </w:pPr>
            <w:r>
              <w:rPr>
                <w:rFonts w:ascii="Arial" w:cs="Arial" w:eastAsia="Arial" w:hAnsi="Arial"/>
                <w:sz w:val="18"/>
                <w:szCs w:val="18"/>
                <w:color w:val="auto"/>
              </w:rPr>
              <w:t>Financial Statements</w:t>
            </w: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260" w:type="dxa"/>
            <w:vAlign w:val="bottom"/>
            <w:vMerge w:val="continue"/>
          </w:tcPr>
          <w:p>
            <w:pPr>
              <w:spacing w:after="0"/>
              <w:rPr>
                <w:sz w:val="24"/>
                <w:szCs w:val="24"/>
                <w:color w:val="auto"/>
              </w:rPr>
            </w:pPr>
          </w:p>
        </w:tc>
        <w:tc>
          <w:tcPr>
            <w:tcW w:w="8980" w:type="dxa"/>
            <w:vAlign w:val="bottom"/>
            <w:gridSpan w:val="11"/>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898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 September 30, 2012 and December 31, 2011 (unaudited)</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80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Income - Three and Nine Months Ended September 30, 2012 and 2011 (unaudited)</w:t>
              </w:r>
            </w:hyperlink>
          </w:p>
        </w:tc>
        <w:tc>
          <w:tcPr>
            <w:tcW w:w="98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60" w:type="dxa"/>
            <w:vAlign w:val="bottom"/>
          </w:tcPr>
          <w:p>
            <w:pPr>
              <w:spacing w:after="0"/>
              <w:rPr>
                <w:sz w:val="24"/>
                <w:szCs w:val="24"/>
                <w:color w:val="auto"/>
              </w:rPr>
            </w:pPr>
          </w:p>
        </w:tc>
        <w:tc>
          <w:tcPr>
            <w:tcW w:w="83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Income - Three and Nine Months Ended September 30, 2012 and 2011</w:t>
              </w:r>
            </w:hyperlink>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60" w:type="dxa"/>
            <w:vAlign w:val="bottom"/>
            <w:gridSpan w:val="10"/>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(unaudited)</w:t>
              </w:r>
            </w:hyperlink>
          </w:p>
        </w:tc>
        <w:tc>
          <w:tcPr>
            <w:tcW w:w="114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898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 - Nine Months Ended September 30, 2012 and 2011 (unaudited)</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372"/>
        </w:trPr>
        <w:tc>
          <w:tcPr>
            <w:tcW w:w="126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Consolidated Financial Statements (unaudited)</w:t>
              </w:r>
            </w:hyperlink>
          </w:p>
        </w:tc>
        <w:tc>
          <w:tcPr>
            <w:tcW w:w="3500" w:type="dxa"/>
            <w:vAlign w:val="bottom"/>
            <w:tcBorders>
              <w:top w:val="single" w:sz="8" w:color="0000FF"/>
            </w:tcBorders>
            <w:gridSpan w:val="4"/>
          </w:tcPr>
          <w:p>
            <w:pPr>
              <w:spacing w:after="0"/>
              <w:rPr>
                <w:sz w:val="24"/>
                <w:szCs w:val="24"/>
                <w:color w:val="auto"/>
              </w:rPr>
            </w:pPr>
          </w:p>
        </w:tc>
        <w:tc>
          <w:tcPr>
            <w:tcW w:w="1460" w:type="dxa"/>
            <w:vAlign w:val="bottom"/>
            <w:gridSpan w:val="3"/>
          </w:tcPr>
          <w:p>
            <w:pPr>
              <w:spacing w:after="0"/>
              <w:rPr>
                <w:sz w:val="24"/>
                <w:szCs w:val="24"/>
                <w:color w:val="auto"/>
              </w:rPr>
            </w:pPr>
          </w:p>
        </w:tc>
        <w:tc>
          <w:tcPr>
            <w:tcW w:w="102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6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60" w:type="dxa"/>
            <w:vAlign w:val="bottom"/>
            <w:gridSpan w:val="7"/>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Management’s Discussion and Analysis of Financial Condition and Results of Operations</w:t>
              </w:r>
            </w:hyperlink>
          </w:p>
        </w:tc>
        <w:tc>
          <w:tcPr>
            <w:tcW w:w="2520" w:type="dxa"/>
            <w:vAlign w:val="bottom"/>
            <w:gridSpan w:val="4"/>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Item 3.</w:t>
            </w:r>
          </w:p>
        </w:tc>
        <w:tc>
          <w:tcPr>
            <w:tcW w:w="1760" w:type="dxa"/>
            <w:vAlign w:val="bottom"/>
            <w:gridSpan w:val="3"/>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vMerge w:val="continue"/>
          </w:tcPr>
          <w:p>
            <w:pPr>
              <w:spacing w:after="0"/>
              <w:rPr>
                <w:sz w:val="24"/>
                <w:szCs w:val="24"/>
                <w:color w:val="auto"/>
              </w:rPr>
            </w:pPr>
          </w:p>
        </w:tc>
        <w:tc>
          <w:tcPr>
            <w:tcW w:w="4360" w:type="dxa"/>
            <w:vAlign w:val="bottom"/>
            <w:gridSpan w:val="5"/>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4"/>
                <w:szCs w:val="24"/>
                <w:color w:val="auto"/>
              </w:rPr>
            </w:pPr>
          </w:p>
        </w:tc>
        <w:tc>
          <w:tcPr>
            <w:tcW w:w="2520" w:type="dxa"/>
            <w:vAlign w:val="bottom"/>
            <w:gridSpan w:val="4"/>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Item 4.</w:t>
            </w:r>
          </w:p>
        </w:tc>
        <w:tc>
          <w:tcPr>
            <w:tcW w:w="1760" w:type="dxa"/>
            <w:vAlign w:val="bottom"/>
            <w:gridSpan w:val="3"/>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vMerge w:val="continue"/>
          </w:tcPr>
          <w:p>
            <w:pPr>
              <w:spacing w:after="0"/>
              <w:rPr>
                <w:sz w:val="24"/>
                <w:szCs w:val="24"/>
                <w:color w:val="auto"/>
              </w:rPr>
            </w:pPr>
          </w:p>
        </w:tc>
        <w:tc>
          <w:tcPr>
            <w:tcW w:w="4360" w:type="dxa"/>
            <w:vAlign w:val="bottom"/>
            <w:gridSpan w:val="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4620" w:type="dxa"/>
            <w:vAlign w:val="bottom"/>
            <w:gridSpan w:val="6"/>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0"/>
                <w:szCs w:val="20"/>
                <w:color w:val="auto"/>
              </w:rPr>
            </w:pPr>
          </w:p>
        </w:tc>
      </w:tr>
      <w:tr>
        <w:trPr>
          <w:trHeight w:val="351"/>
        </w:trPr>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w:t>
            </w:r>
          </w:p>
        </w:tc>
        <w:tc>
          <w:tcPr>
            <w:tcW w:w="99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180" w:type="dxa"/>
            <w:vAlign w:val="bottom"/>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44</w:t>
              </w:r>
            </w:hyperlink>
          </w:p>
        </w:tc>
      </w:tr>
      <w:tr>
        <w:trPr>
          <w:trHeight w:val="372"/>
        </w:trPr>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6.</w:t>
            </w:r>
          </w:p>
        </w:tc>
        <w:tc>
          <w:tcPr>
            <w:tcW w:w="1320" w:type="dxa"/>
            <w:vAlign w:val="bottom"/>
            <w:tcBorders>
              <w:top w:val="single" w:sz="8" w:color="0000FF"/>
            </w:tcBorders>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8600" w:type="dxa"/>
            <w:vAlign w:val="bottom"/>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r>
      <w:tr>
        <w:trPr>
          <w:trHeight w:val="574"/>
        </w:trPr>
        <w:tc>
          <w:tcPr>
            <w:tcW w:w="1160" w:type="dxa"/>
            <w:vAlign w:val="bottom"/>
            <w:tcBorders>
              <w:bottom w:val="single" w:sz="8" w:color="0000FF"/>
            </w:tcBorders>
          </w:tcPr>
          <w:p>
            <w:pPr>
              <w:spacing w:after="0"/>
              <w:rPr>
                <w:rFonts w:ascii="Arial" w:cs="Arial" w:eastAsia="Arial" w:hAnsi="Arial"/>
                <w:sz w:val="18"/>
                <w:szCs w:val="18"/>
                <w:b w:val="1"/>
                <w:bCs w:val="1"/>
                <w:color w:val="0000FF"/>
                <w:w w:val="96"/>
              </w:rPr>
            </w:pPr>
            <w:hyperlink w:anchor="page47">
              <w:r>
                <w:rPr>
                  <w:rFonts w:ascii="Arial" w:cs="Arial" w:eastAsia="Arial" w:hAnsi="Arial"/>
                  <w:sz w:val="18"/>
                  <w:szCs w:val="18"/>
                  <w:b w:val="1"/>
                  <w:bCs w:val="1"/>
                  <w:color w:val="0000FF"/>
                  <w:w w:val="96"/>
                </w:rPr>
                <w:t>SIGNATURES</w:t>
              </w:r>
            </w:hyperlink>
          </w:p>
        </w:tc>
        <w:tc>
          <w:tcPr>
            <w:tcW w:w="1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r>
    </w:tbl>
    <w:p>
      <w:pPr>
        <w:sectPr>
          <w:pgSz w:w="11900" w:h="16838" w:orient="portrait"/>
          <w:cols w:equalWidth="0" w:num="1">
            <w:col w:w="11380"/>
          </w:cols>
          <w:pgMar w:left="280" w:top="634" w:right="239" w:bottom="1440" w:gutter="0" w:footer="0" w:header="0"/>
        </w:sectPr>
      </w:pPr>
    </w:p>
    <w:bookmarkStart w:id="2" w:name="page3"/>
    <w:bookmarkEnd w:id="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jc w:val="center"/>
        <w:spacing w:after="0" w:line="206" w:lineRule="auto"/>
        <w:rPr>
          <w:sz w:val="20"/>
          <w:szCs w:val="20"/>
          <w:color w:val="auto"/>
        </w:rPr>
      </w:pPr>
      <w:r>
        <w:rPr>
          <w:rFonts w:ascii="Arial" w:cs="Arial" w:eastAsia="Arial" w:hAnsi="Arial"/>
          <w:sz w:val="15"/>
          <w:szCs w:val="15"/>
          <w:b w:val="1"/>
          <w:bCs w:val="1"/>
          <w:color w:val="auto"/>
        </w:rPr>
        <w:t>AMC NETWORKS INC. AND SUBSIDIARIES</w:t>
      </w:r>
    </w:p>
    <w:p>
      <w:pPr>
        <w:jc w:val="center"/>
        <w:spacing w:after="0" w:line="207" w:lineRule="auto"/>
        <w:rPr>
          <w:sz w:val="20"/>
          <w:szCs w:val="20"/>
          <w:color w:val="auto"/>
        </w:rPr>
      </w:pPr>
      <w:r>
        <w:rPr>
          <w:rFonts w:ascii="Arial" w:cs="Arial" w:eastAsia="Arial" w:hAnsi="Arial"/>
          <w:sz w:val="15"/>
          <w:szCs w:val="15"/>
          <w:b w:val="1"/>
          <w:bCs w:val="1"/>
          <w:color w:val="auto"/>
        </w:rPr>
        <w:t>CONSOLIDATED BALANCE SHEETS</w:t>
      </w:r>
    </w:p>
    <w:p>
      <w:pPr>
        <w:jc w:val="center"/>
        <w:spacing w:after="0" w:line="207" w:lineRule="auto"/>
        <w:rPr>
          <w:sz w:val="20"/>
          <w:szCs w:val="20"/>
          <w:color w:val="auto"/>
        </w:rPr>
      </w:pPr>
      <w:r>
        <w:rPr>
          <w:rFonts w:ascii="Arial" w:cs="Arial" w:eastAsia="Arial" w:hAnsi="Arial"/>
          <w:sz w:val="15"/>
          <w:szCs w:val="15"/>
          <w:b w:val="1"/>
          <w:bCs w:val="1"/>
          <w:color w:val="auto"/>
        </w:rPr>
        <w:t>(Dollars in thousands, except per share amounts)</w:t>
      </w:r>
    </w:p>
    <w:p>
      <w:pPr>
        <w:jc w:val="center"/>
        <w:ind w:right="40"/>
        <w:spacing w:after="0"/>
        <w:rPr>
          <w:sz w:val="20"/>
          <w:szCs w:val="20"/>
          <w:color w:val="auto"/>
        </w:rPr>
      </w:pPr>
      <w:r>
        <w:rPr>
          <w:rFonts w:ascii="Arial" w:cs="Arial" w:eastAsia="Arial" w:hAnsi="Arial"/>
          <w:sz w:val="15"/>
          <w:szCs w:val="15"/>
          <w:b w:val="1"/>
          <w:bCs w:val="1"/>
          <w:color w:val="auto"/>
        </w:rPr>
        <w:t>(unaudited)</w:t>
      </w:r>
    </w:p>
    <w:p>
      <w:pPr>
        <w:spacing w:after="0" w:line="130" w:lineRule="exact"/>
        <w:rPr>
          <w:sz w:val="20"/>
          <w:szCs w:val="20"/>
          <w:color w:val="auto"/>
        </w:rPr>
      </w:pPr>
    </w:p>
    <w:p>
      <w:pPr>
        <w:jc w:val="right"/>
        <w:ind w:right="260"/>
        <w:spacing w:after="0"/>
        <w:tabs>
          <w:tab w:leader="none" w:pos="8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420"/>
          </w:cols>
          <w:pgMar w:left="240" w:top="125" w:right="239" w:bottom="138" w:gutter="0" w:footer="0" w:header="0"/>
        </w:sectPr>
      </w:pP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Current Assets:</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3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4"/>
          <w:szCs w:val="14"/>
          <w:color w:val="auto"/>
        </w:rPr>
        <w:t>Accounts receivable, trade (less allowance for doubtful accounts of $1,325 and $3,092)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from related parties,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Program rights,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tax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Property and equipment, net of accumulated depreciation of $148,051 and $132,745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Program rights,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due from related parties,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carriage fees,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2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6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6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6340" w:type="dxa"/>
            <w:vAlign w:val="bottom"/>
          </w:tcPr>
          <w:p>
            <w:pPr>
              <w:jc w:val="right"/>
              <w:ind w:right="2568"/>
              <w:spacing w:after="0"/>
              <w:rPr>
                <w:sz w:val="20"/>
                <w:szCs w:val="20"/>
                <w:color w:val="auto"/>
              </w:rPr>
            </w:pPr>
            <w:r>
              <w:rPr>
                <w:rFonts w:ascii="Arial" w:cs="Arial" w:eastAsia="Arial" w:hAnsi="Arial"/>
                <w:sz w:val="14"/>
                <w:szCs w:val="14"/>
                <w:b w:val="1"/>
                <w:bCs w:val="1"/>
                <w:color w:val="auto"/>
              </w:rPr>
              <w:t>LIABILITIES AND STOCKHOLDERS’ DEFICIENCY</w:t>
            </w:r>
          </w:p>
        </w:tc>
        <w:tc>
          <w:tcPr>
            <w:tcW w:w="0" w:type="dxa"/>
            <w:vAlign w:val="bottom"/>
          </w:tcPr>
          <w:p>
            <w:pPr>
              <w:spacing w:after="0"/>
              <w:rPr>
                <w:sz w:val="1"/>
                <w:szCs w:val="1"/>
                <w:color w:val="auto"/>
              </w:rPr>
            </w:pPr>
          </w:p>
        </w:tc>
      </w:tr>
      <w:tr>
        <w:trPr>
          <w:trHeight w:val="297"/>
        </w:trPr>
        <w:tc>
          <w:tcPr>
            <w:tcW w:w="2280" w:type="dxa"/>
            <w:vAlign w:val="bottom"/>
          </w:tcPr>
          <w:p>
            <w:pPr>
              <w:spacing w:after="0"/>
              <w:rPr>
                <w:sz w:val="20"/>
                <w:szCs w:val="20"/>
                <w:color w:val="auto"/>
              </w:rPr>
            </w:pPr>
            <w:r>
              <w:rPr>
                <w:rFonts w:ascii="Arial" w:cs="Arial" w:eastAsia="Arial" w:hAnsi="Arial"/>
                <w:sz w:val="14"/>
                <w:szCs w:val="14"/>
                <w:color w:val="auto"/>
              </w:rPr>
              <w:t>Current Liabilities:</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6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6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6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680"/>
              <w:spacing w:after="0"/>
              <w:rPr>
                <w:sz w:val="20"/>
                <w:szCs w:val="20"/>
                <w:color w:val="auto"/>
              </w:rPr>
            </w:pPr>
            <w:r>
              <w:rPr>
                <w:rFonts w:ascii="Arial" w:cs="Arial" w:eastAsia="Arial" w:hAnsi="Arial"/>
                <w:sz w:val="14"/>
                <w:szCs w:val="14"/>
                <w:color w:val="auto"/>
              </w:rPr>
              <w:t>Interest</w:t>
            </w:r>
          </w:p>
        </w:tc>
        <w:tc>
          <w:tcPr>
            <w:tcW w:w="6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680"/>
              <w:spacing w:after="0"/>
              <w:rPr>
                <w:sz w:val="20"/>
                <w:szCs w:val="20"/>
                <w:color w:val="auto"/>
              </w:rPr>
            </w:pPr>
            <w:r>
              <w:rPr>
                <w:rFonts w:ascii="Arial" w:cs="Arial" w:eastAsia="Arial" w:hAnsi="Arial"/>
                <w:sz w:val="14"/>
                <w:szCs w:val="14"/>
                <w:color w:val="auto"/>
              </w:rPr>
              <w:t>Employee related costs</w:t>
            </w:r>
          </w:p>
        </w:tc>
        <w:tc>
          <w:tcPr>
            <w:tcW w:w="6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680"/>
              <w:spacing w:after="0"/>
              <w:rPr>
                <w:sz w:val="20"/>
                <w:szCs w:val="20"/>
                <w:color w:val="auto"/>
              </w:rPr>
            </w:pPr>
            <w:r>
              <w:rPr>
                <w:rFonts w:ascii="Arial" w:cs="Arial" w:eastAsia="Arial" w:hAnsi="Arial"/>
                <w:sz w:val="14"/>
                <w:szCs w:val="14"/>
                <w:color w:val="auto"/>
              </w:rPr>
              <w:t>Other accrued expenses</w:t>
            </w:r>
          </w:p>
        </w:tc>
        <w:tc>
          <w:tcPr>
            <w:tcW w:w="6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related parties,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Program rights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Credit facility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lease obligations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Program rights obligations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 facility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tax liability,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deficiency:</w:t>
      </w:r>
    </w:p>
    <w:p>
      <w:pPr>
        <w:spacing w:after="0" w:line="109" w:lineRule="exact"/>
        <w:rPr>
          <w:sz w:val="20"/>
          <w:szCs w:val="20"/>
          <w:color w:val="auto"/>
        </w:rPr>
      </w:pPr>
    </w:p>
    <w:p>
      <w:pPr>
        <w:ind w:left="720" w:right="160"/>
        <w:spacing w:after="0" w:line="253" w:lineRule="auto"/>
        <w:rPr>
          <w:sz w:val="20"/>
          <w:szCs w:val="20"/>
          <w:color w:val="auto"/>
        </w:rPr>
      </w:pPr>
      <w:r>
        <w:rPr>
          <w:rFonts w:ascii="Arial" w:cs="Arial" w:eastAsia="Arial" w:hAnsi="Arial"/>
          <w:sz w:val="14"/>
          <w:szCs w:val="14"/>
          <w:color w:val="auto"/>
        </w:rPr>
        <w:t>Class A Common Stock, $0.01 par value, 360,000,000 shares authorized, 60,554,932 and 58,628,764 shares issued and 59,914,043 and 58,434,704 shares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720" w:right="240"/>
        <w:spacing w:after="0" w:line="253" w:lineRule="auto"/>
        <w:rPr>
          <w:sz w:val="20"/>
          <w:szCs w:val="20"/>
          <w:color w:val="auto"/>
        </w:rPr>
      </w:pPr>
      <w:r>
        <w:rPr>
          <w:rFonts w:ascii="Arial" w:cs="Arial" w:eastAsia="Arial" w:hAnsi="Arial"/>
          <w:sz w:val="14"/>
          <w:szCs w:val="14"/>
          <w:color w:val="auto"/>
        </w:rPr>
        <w:t>Class B Common Stock, $0.01 par value, 90,000,000 shares authorized, 11,784,408 and 13,534,408 shares issued and 11,784,408 and 13,534,408 shares outstanding, respectively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stock, $0.01 par value, 45,000,000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220" w:type="dxa"/>
            <w:vAlign w:val="bottom"/>
          </w:tcPr>
          <w:p>
            <w:pPr>
              <w:spacing w:after="0"/>
              <w:rPr>
                <w:sz w:val="20"/>
                <w:szCs w:val="20"/>
                <w:color w:val="auto"/>
              </w:rPr>
            </w:pPr>
            <w:r>
              <w:rPr>
                <w:rFonts w:ascii="Arial" w:cs="Arial" w:eastAsia="Arial" w:hAnsi="Arial"/>
                <w:sz w:val="14"/>
                <w:szCs w:val="14"/>
                <w:color w:val="auto"/>
              </w:rPr>
              <w:t>Paid-in capital</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14"/>
                <w:szCs w:val="14"/>
                <w:color w:val="auto"/>
              </w:rPr>
              <w:t>Accumulated deficit</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680"/>
              <w:spacing w:after="0"/>
              <w:rPr>
                <w:sz w:val="20"/>
                <w:szCs w:val="20"/>
                <w:color w:val="auto"/>
              </w:rPr>
            </w:pPr>
            <w:r>
              <w:rPr>
                <w:rFonts w:ascii="Arial" w:cs="Arial" w:eastAsia="Arial" w:hAnsi="Arial"/>
                <w:sz w:val="14"/>
                <w:szCs w:val="14"/>
                <w:color w:val="auto"/>
              </w:rPr>
              <w:t>Treasury stock, at cost (640,889 and 194,060 shares Class A Common Stock, respectively)</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680"/>
              <w:spacing w:after="0"/>
              <w:rPr>
                <w:sz w:val="20"/>
                <w:szCs w:val="20"/>
                <w:color w:val="auto"/>
              </w:rPr>
            </w:pPr>
            <w:r>
              <w:rPr>
                <w:rFonts w:ascii="Arial" w:cs="Arial" w:eastAsia="Arial" w:hAnsi="Arial"/>
                <w:sz w:val="14"/>
                <w:szCs w:val="14"/>
                <w:color w:val="auto"/>
              </w:rPr>
              <w:t>Total stockholders’ deficiency</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680"/>
              <w:spacing w:after="0"/>
              <w:rPr>
                <w:sz w:val="20"/>
                <w:szCs w:val="20"/>
                <w:color w:val="auto"/>
              </w:rPr>
            </w:pPr>
            <w:r>
              <w:rPr>
                <w:rFonts w:ascii="Arial" w:cs="Arial" w:eastAsia="Arial" w:hAnsi="Arial"/>
                <w:sz w:val="14"/>
                <w:szCs w:val="14"/>
                <w:color w:val="auto"/>
              </w:rPr>
              <w:t>Total liabilities and stockholders’ deficiency</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313,252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215,836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254,895</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286,810</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7,753</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5,540</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242,402</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235,171</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37,352</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67,370</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19,724</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59,272</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875,378</w:t>
            </w: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869,999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65,105</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63,814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773,101</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765,609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3,282</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3,214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40,756</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47,304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253,706</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305,673</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79,963</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83,173</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61,585</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45,148</w:t>
            </w:r>
          </w:p>
        </w:tc>
      </w:tr>
      <w:tr>
        <w:trPr>
          <w:trHeight w:val="237"/>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2,152,876</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2,183,934</w:t>
            </w:r>
          </w:p>
        </w:tc>
      </w:tr>
      <w:tr>
        <w:trPr>
          <w:trHeight w:val="20"/>
        </w:trPr>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85"/>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62,604</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61,605</w:t>
            </w:r>
          </w:p>
        </w:tc>
      </w:tr>
      <w:tr>
        <w:trPr>
          <w:trHeight w:val="54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14,862</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31,254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63,858</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57,160</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24,127</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11,385</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1,066</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5,336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162,557</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146,339</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32,975</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23,853</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5,950</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5,950</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1,520</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1,314</w:t>
            </w:r>
          </w:p>
        </w:tc>
      </w:tr>
      <w:tr>
        <w:trPr>
          <w:trHeight w:val="244"/>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369,519</w:t>
            </w: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344,196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392,566</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472,690</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687,169</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686,434</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1,496,529</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1,598,896</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14,508</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14,363</w:t>
            </w:r>
          </w:p>
        </w:tc>
      </w:tr>
      <w:tr>
        <w:trPr>
          <w:trHeight w:val="270"/>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41,435</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51,905</w:t>
            </w:r>
          </w:p>
        </w:tc>
      </w:tr>
      <w:tr>
        <w:trPr>
          <w:trHeight w:val="276"/>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66,574</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52,445</w:t>
            </w:r>
          </w:p>
        </w:tc>
      </w:tr>
      <w:tr>
        <w:trPr>
          <w:trHeight w:val="250"/>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3,068,300</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3,220,929</w:t>
            </w:r>
          </w:p>
        </w:tc>
      </w:tr>
      <w:tr>
        <w:trPr>
          <w:trHeight w:val="865"/>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606</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-557530</wp:posOffset>
            </wp:positionV>
            <wp:extent cx="883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-1929765</wp:posOffset>
            </wp:positionV>
            <wp:extent cx="883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-3996690</wp:posOffset>
            </wp:positionV>
            <wp:extent cx="883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49" w:lineRule="exact"/>
        <w:rPr>
          <w:sz w:val="20"/>
          <w:szCs w:val="20"/>
          <w:color w:val="auto"/>
        </w:rPr>
      </w:pPr>
    </w:p>
    <w:p>
      <w:pPr>
        <w:ind w:left="1840" w:hanging="1471"/>
        <w:spacing w:after="0"/>
        <w:tabs>
          <w:tab w:leader="none" w:pos="1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135</w:t>
      </w:r>
    </w:p>
    <w:p>
      <w:pPr>
        <w:spacing w:after="0" w:line="10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148"/>
              <w:spacing w:after="0"/>
              <w:rPr>
                <w:sz w:val="20"/>
                <w:szCs w:val="20"/>
                <w:color w:val="auto"/>
              </w:rPr>
            </w:pPr>
            <w:r>
              <w:rPr>
                <w:rFonts w:ascii="Arial" w:cs="Arial" w:eastAsia="Arial" w:hAnsi="Arial"/>
                <w:sz w:val="14"/>
                <w:szCs w:val="14"/>
                <w:color w:val="auto"/>
              </w:rPr>
              <w:t>25,523</w:t>
            </w:r>
          </w:p>
        </w:tc>
        <w:tc>
          <w:tcPr>
            <w:tcW w:w="3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5,942</w:t>
            </w:r>
          </w:p>
        </w:tc>
      </w:tr>
      <w:tr>
        <w:trPr>
          <w:trHeight w:val="270"/>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(908,615)</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(1,029,954)</w:t>
            </w:r>
          </w:p>
        </w:tc>
      </w:tr>
      <w:tr>
        <w:trPr>
          <w:trHeight w:val="270"/>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(17,666)</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(1,677)</w:t>
            </w:r>
          </w:p>
        </w:tc>
      </w:tr>
      <w:tr>
        <w:trPr>
          <w:trHeight w:val="276"/>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(15,390)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(12,027)</w:t>
            </w:r>
          </w:p>
        </w:tc>
      </w:tr>
      <w:tr>
        <w:trPr>
          <w:trHeight w:val="250"/>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(915,424)</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(1,036,995)</w:t>
            </w:r>
          </w:p>
        </w:tc>
      </w:tr>
      <w:tr>
        <w:trPr>
          <w:trHeight w:val="237"/>
        </w:trPr>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2,152,876</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2,183,934</w:t>
            </w:r>
          </w:p>
        </w:tc>
      </w:tr>
      <w:tr>
        <w:trPr>
          <w:trHeight w:val="20"/>
        </w:trPr>
        <w:tc>
          <w:tcPr>
            <w:tcW w:w="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-25400</wp:posOffset>
            </wp:positionV>
            <wp:extent cx="883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-8255</wp:posOffset>
            </wp:positionV>
            <wp:extent cx="883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-187960</wp:posOffset>
            </wp:positionV>
            <wp:extent cx="883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8660" w:space="600"/>
            <w:col w:w="2160"/>
          </w:cols>
          <w:pgMar w:left="240" w:top="125" w:right="239" w:bottom="138"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5" w:right="239" w:bottom="138" w:gutter="0" w:footer="0" w:header="0"/>
          <w:type w:val="continuous"/>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38" w:gutter="0" w:footer="0" w:header="0"/>
          <w:type w:val="continuous"/>
        </w:sectPr>
      </w:pPr>
    </w:p>
    <w:bookmarkStart w:id="3" w:name="page4"/>
    <w:bookmarkEnd w:id="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Three and Nine Months Ended September 30, 2012 and 2011</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15"/>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Revenues, net (including revenues, net from related parties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of $8,106, $7,901, $24,281 and $23,869,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332,056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985,865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848,782</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51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8"/>
              </w:rPr>
              <w:t>Technical and operating (excluding depreciation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amortization shown below and including charges from</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related parties of $155, $1,292, $465 and $3,893,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282,714</w:t>
            </w:r>
          </w:p>
        </w:tc>
      </w:tr>
      <w:tr>
        <w:trPr>
          <w:trHeight w:val="229"/>
        </w:trPr>
        <w:tc>
          <w:tcPr>
            <w:tcW w:w="5160" w:type="dxa"/>
            <w:vAlign w:val="bottom"/>
          </w:tcPr>
          <w:p>
            <w:pPr>
              <w:ind w:left="1040"/>
              <w:spacing w:after="0"/>
              <w:rPr>
                <w:sz w:val="20"/>
                <w:szCs w:val="20"/>
                <w:color w:val="auto"/>
              </w:rPr>
            </w:pPr>
            <w:r>
              <w:rPr>
                <w:rFonts w:ascii="Arial" w:cs="Arial" w:eastAsia="Arial" w:hAnsi="Arial"/>
                <w:sz w:val="18"/>
                <w:szCs w:val="18"/>
                <w:color w:val="auto"/>
                <w:w w:val="96"/>
              </w:rPr>
              <w:t>Selling, general and administrative (including charges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5160" w:type="dxa"/>
            <w:vAlign w:val="bottom"/>
          </w:tcPr>
          <w:p>
            <w:pPr>
              <w:ind w:left="1040"/>
              <w:spacing w:after="0"/>
              <w:rPr>
                <w:sz w:val="20"/>
                <w:szCs w:val="20"/>
                <w:color w:val="auto"/>
              </w:rPr>
            </w:pPr>
            <w:r>
              <w:rPr>
                <w:rFonts w:ascii="Arial" w:cs="Arial" w:eastAsia="Arial" w:hAnsi="Arial"/>
                <w:sz w:val="18"/>
                <w:szCs w:val="18"/>
                <w:color w:val="auto"/>
                <w:w w:val="91"/>
              </w:rPr>
              <w:t>(credits) from related parties of $(1,174), $3,184, $1,930</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60" w:type="dxa"/>
            <w:vAlign w:val="bottom"/>
          </w:tcPr>
          <w:p>
            <w:pPr>
              <w:ind w:left="1040"/>
              <w:spacing w:after="0"/>
              <w:rPr>
                <w:sz w:val="20"/>
                <w:szCs w:val="20"/>
                <w:color w:val="auto"/>
              </w:rPr>
            </w:pPr>
            <w:r>
              <w:rPr>
                <w:rFonts w:ascii="Arial" w:cs="Arial" w:eastAsia="Arial" w:hAnsi="Arial"/>
                <w:sz w:val="18"/>
                <w:szCs w:val="18"/>
                <w:color w:val="auto"/>
              </w:rPr>
              <w:t>and $53,934, respectively)</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97,202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287,302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243,714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18,368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75,197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245,197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601,385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86,859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282,174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247,397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Write-off of deferred financing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56,664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162,485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(65,388)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36,543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97,097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from discontinued operations, net of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36,648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96,976</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97"/>
        </w:trPr>
        <w:tc>
          <w:tcPr>
            <w:tcW w:w="5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5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70,209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96,976</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loss on interest rate swaps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6,397</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net of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AMC NETWORKS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2012 and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121,025</w:t>
            </w:r>
          </w:p>
        </w:tc>
        <w:tc>
          <w:tcPr>
            <w:tcW w:w="10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97,097</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income from continuing operations to net cash provided by operating activities: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67,486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75,197</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Share-based compensation expense related to equity classified awards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12,846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12,663</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Amortization and write-off of program rights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234,894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174,216</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deferred carriage fees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6,550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17,972</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Amortization and write-off of financing and other costs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7,064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9,566</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14,535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(Recovery of) provision for doubtful accounts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29,645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53,275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Excess tax benefits from share-based compensation arrangements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(7,259)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net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Changes in assets and liabilities: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 trade</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32,550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9,419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Amounts due from/to related parties, net</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(6,203)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10,487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Program rights and obligations, net</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(313,523)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(224,949)</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carriage fees and deferred carriage fees payable, net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720"/>
              <w:spacing w:after="0"/>
              <w:rPr>
                <w:sz w:val="20"/>
                <w:szCs w:val="20"/>
                <w:color w:val="auto"/>
              </w:rPr>
            </w:pPr>
            <w:r>
              <w:rPr>
                <w:rFonts w:ascii="Arial" w:cs="Arial" w:eastAsia="Arial" w:hAnsi="Arial"/>
                <w:sz w:val="14"/>
                <w:szCs w:val="14"/>
                <w:color w:val="auto"/>
              </w:rPr>
              <w:t>Accounts payable, accrued expenses and other liabilities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29,608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(13,484)</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224,002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202,361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expenditures</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(13,673)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(7,129)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Acquisition of investment securities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for acquisition of a business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Proceeds from sale of equipment, net of costs of disposal</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(14,508)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(7,386)</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contributions from Cablevision</w:t>
            </w:r>
          </w:p>
        </w:tc>
        <w:tc>
          <w:tcPr>
            <w:tcW w:w="40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20,813</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Capital distributions to Cablevision</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(20,813)</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credit facility debt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(104,463)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(826,488)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Redemption of senior notes</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Redemption of senior subordinated notes, including tender premium and fees</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(338,365)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Payments for financing costs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(26,599)</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credit facility debt</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1,442,364</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(15,989)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Excess tax benefits from share-based compensation arrangements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7,259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(3,417)</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400" w:type="dxa"/>
            <w:vAlign w:val="bottom"/>
          </w:tcPr>
          <w:p>
            <w:pPr>
              <w:spacing w:after="0"/>
              <w:rPr>
                <w:sz w:val="14"/>
                <w:szCs w:val="14"/>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(112,559)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(50,128)</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 from continuing operations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96,935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144,847</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40"/>
              <w:spacing w:after="0"/>
              <w:rPr>
                <w:sz w:val="20"/>
                <w:szCs w:val="20"/>
                <w:color w:val="auto"/>
              </w:rPr>
            </w:pPr>
            <w:r>
              <w:rPr>
                <w:rFonts w:ascii="Arial" w:cs="Arial" w:eastAsia="Arial" w:hAnsi="Arial"/>
                <w:sz w:val="14"/>
                <w:szCs w:val="14"/>
                <w:color w:val="auto"/>
              </w:rPr>
              <w:t>Cash flows from discontinued operations:</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in) operating activities</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Net cash provided by investing activities</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Net increase in cash and cash equivalents from discontinued operations</w:t>
            </w: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481</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215,836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79,960</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313,252</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224,959</w:t>
            </w:r>
          </w:p>
        </w:tc>
        <w:tc>
          <w:tcPr>
            <w:tcW w:w="0" w:type="dxa"/>
            <w:vAlign w:val="bottom"/>
          </w:tcPr>
          <w:p>
            <w:pPr>
              <w:spacing w:after="0"/>
              <w:rPr>
                <w:sz w:val="1"/>
                <w:szCs w:val="1"/>
                <w:color w:val="auto"/>
              </w:rPr>
            </w:pPr>
          </w:p>
        </w:tc>
      </w:tr>
      <w:tr>
        <w:trPr>
          <w:trHeight w:val="60"/>
        </w:trPr>
        <w:tc>
          <w:tcPr>
            <w:tcW w:w="788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40" w:top="125" w:right="259" w:bottom="219"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219"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AMC Networks Inc. (“AMC Networks”) and collectively with its subsidiaries (the “Company”) own and operate entertainment businesses and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comprised of two reportable segments:</w:t>
      </w:r>
    </w:p>
    <w:p>
      <w:pPr>
        <w:spacing w:after="0" w:line="211" w:lineRule="exact"/>
        <w:rPr>
          <w:sz w:val="20"/>
          <w:szCs w:val="20"/>
          <w:color w:val="auto"/>
        </w:rPr>
      </w:pPr>
    </w:p>
    <w:p>
      <w:pPr>
        <w:jc w:val="both"/>
        <w:ind w:left="1300" w:hanging="644"/>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four nationally distributed programming networks: AMC, WE tv, IFC and Sundance Channel.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networks are distributed throughout the United States (“U.S.”) via cable and other multichannel video programming distribution platforms, including direct broadcast satellite (“DBS”) and platforms operated by telecommunications providers (we refer collectively to these cable and other multichannel video programming distributors as “multichannel video programming distributors” or “distributors”); and</w:t>
      </w:r>
    </w:p>
    <w:p>
      <w:pPr>
        <w:spacing w:after="0" w:line="188"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and Other: </w:t>
      </w:r>
      <w:r>
        <w:rPr>
          <w:rFonts w:ascii="Arial" w:cs="Arial" w:eastAsia="Arial" w:hAnsi="Arial"/>
          <w:sz w:val="17"/>
          <w:szCs w:val="17"/>
          <w:color w:val="auto"/>
        </w:rPr>
        <w:t>Principally includes AMC/Sundance Channel Global, the Company’s international programming business; IFC</w:t>
      </w:r>
      <w:r>
        <w:rPr>
          <w:rFonts w:ascii="Arial" w:cs="Arial" w:eastAsia="Arial" w:hAnsi="Arial"/>
          <w:sz w:val="17"/>
          <w:szCs w:val="17"/>
          <w:i w:val="1"/>
          <w:iCs w:val="1"/>
          <w:color w:val="auto"/>
        </w:rPr>
        <w:t xml:space="preserve"> </w:t>
      </w:r>
      <w:r>
        <w:rPr>
          <w:rFonts w:ascii="Arial" w:cs="Arial" w:eastAsia="Arial" w:hAnsi="Arial"/>
          <w:sz w:val="17"/>
          <w:szCs w:val="17"/>
          <w:color w:val="auto"/>
        </w:rPr>
        <w:t>Films, the Company’s independent film distribution business; and AMC Networks Broadcasting &amp; Technology, the Company’s network technical services business, which primarily services the programming networks of the Company. AMC and Sundance Channel are distributed in Canada and Sundance Channel and WE tv are distributed in other countries throughout Europe and Asia. The International and Other reportable segment also includes VOOM HD Holdings LLC (“VOOM HD”), which the Company is winding down, and which continues to sell certain limited amounts of programming through program license agreements.</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June 30, 2011, Cablevision Systems Corporation (Cablevision Systems Corporation and its subsidiaries are referred to as “Cablevision”) spun-off the Company (the “Distribution”) and AMC Networks became an independent public company. In connection with the Distribution, Cablevision contributed all of the membership interests of Rainbow Media Holdings LLC (“RMH”) to AMC Networks, which was an indirect wholly-owned subsidiary of Cablevision immediately prior to the Distribution. RMH owned, directly or indirectly, the businesses included in Cablevision’s Rainbow segment. On June 30, 2011, Cablevision effected the Distribution of all of AMC Networks’ outstanding common stock to its shareholders. Both Cablevision and the Company continue to be controlled by Charles F. Dolan, certain members of his immediate family and certain family related entities (collectively the “Dolan Family”).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These unaudited consolidated financial statements have been prepared in accordance with U.S. generally accepted accounting principles (“GAAP”) and Article 10 of Regulation S-X of the Securities and Exchange Commission (“SEC”) for interim financial information. Accordingly, these unaudited consolidated financial statements do not include all the information and notes required for complete annual financial statements.</w:t>
      </w:r>
    </w:p>
    <w:p>
      <w:pPr>
        <w:spacing w:after="0" w:line="16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These unaudited consolidated financial statements should be read in conjunction with the Company’s audited consolidated financial statements and notes thereto for the year ended December 31, 2011 contained in the Company’s 2011 Annual Report on Form 10-K (“2011 Form 10-K”) filed with the SEC.</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consolidated financial statements as of September 30, 2012 and for the three and nine months ended September 30, 2012 and 2011 are unaudited; however, in the opinion of management, such consolidated financial statements include all adjustments, consisting solely of normal recurring adjustments, necessary for a fair presentation of the results for the periods presented. All intercompany transactions and balances have been eliminated in consolidation.</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that might be expected for future interim periods or for the full year ending December 31, 2012.</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determination of ultimate revenues as it relates to accounting for amortization of owned original programming costs, valuation and recoverability of long-lived assets, income taxes and contingencies and litigation matters.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Company’s consolidated financial statements for periods prior to the Distribution have been derived from the consolidated financial statements and accounting records of Cablevision and reflect certain assumptions and allocations. The results of operations and cash flows of the Company for those periods could differ from those that might have resulted had the Company been operated autonomously or as an entity independent of Cablevision. The Company’s consolidated financial statements after the Distribution reflect certain revenues and expenses related to transactions with or charges from Cablevision and The Madison Square Garden Company and its subsidiaries (“MSG”) as described in Note 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Discontinued operations consists of receipts related to the sale of the Lifeskool and Sportskool video-on-demand services in September and October 2008, respectively, which were recorded under the installment sales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September 2011, the Financial Accounting Standards Board (“FASB”) issued Accounting Standards Update (“ASU”) No. 2011-08, Intangibles - Goodwill and Other (Topic 350): Testing Goodwill for Impairment (ASU 2011-08), to allow entities to use a qualitative approach to test goodwill for impairment. ASU 2011-08 permits an entity to first perform a qualitative assessment to determine whether it is more likely than not that the fair value of a reporting unit is less than its carrying value. If it is concluded that this is the case, it is necessary to perform the prescribed two-step goodwill impairment test. Otherwise, the two-step goodwill impairment test is not required. The Company adopted ASU 2011-08 effective January 1, 2012 and applied it to the Company’s annual impairment test as of the end of February 2012 (see Note 3).</w:t>
      </w:r>
    </w:p>
    <w:p>
      <w:pPr>
        <w:spacing w:after="0" w:line="19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June 2011, the FASB issued ASU No. 2011-05, Comprehensive Income (Topic 220): Presentation of Comprehensive Income (ASU 2011-05). The provisions of ASU 2011-05 provide that an entity that reports items of other comprehensive income has the option to present comprehensive income as (i) a single statement that presents the components of net income and total net income, the components of other comprehensive income and total other comprehensive income and a total for comprehensive income or (ii) in a two-statement approach, whereby an entity must present the components of net income and total net income in the first statement and that statement is immediately followed by a financial statement that presents the components of other comprehensive income, a total for other comprehensive income and a total for comprehensive income. The previous option under GAAP that permitted the presentation of other comprehensive income in the statement of stockholders’ equity has been eliminated. In December 2011, the FASB issued ASU No. 2011-12, Deferral of the Effective Date for Amendments to the Presentation of Reclassification of Items Out of Accumulated Other Comprehensive Income in Accounting Standards Update No. 2011-05 (ASU 2011-12). ASU 2011-12 defers the requirement in ASU 2011-05 to present reclassification adjustments for each component of accumulated other comprehensive income (“AOCI”) in both other comprehensive income and net income on the face of the financial statements, and the presentation of reclassification adjustments is not required in interim periods. The Company adopted ASU 2011-05 and ASU 2011-12 effective January 1, 2012 and presents comprehensive income using the two-statement approach.</w:t>
      </w:r>
    </w:p>
    <w:p>
      <w:pPr>
        <w:spacing w:after="0" w:line="169" w:lineRule="exact"/>
        <w:rPr>
          <w:sz w:val="20"/>
          <w:szCs w:val="20"/>
          <w:color w:val="auto"/>
        </w:rPr>
      </w:pPr>
    </w:p>
    <w:p>
      <w:pPr>
        <w:jc w:val="both"/>
        <w:ind w:firstLine="461"/>
        <w:spacing w:after="0" w:line="257" w:lineRule="auto"/>
        <w:rPr>
          <w:sz w:val="20"/>
          <w:szCs w:val="20"/>
          <w:color w:val="auto"/>
        </w:rPr>
      </w:pPr>
      <w:r>
        <w:rPr>
          <w:rFonts w:ascii="Arial" w:cs="Arial" w:eastAsia="Arial" w:hAnsi="Arial"/>
          <w:sz w:val="18"/>
          <w:szCs w:val="18"/>
          <w:color w:val="auto"/>
        </w:rPr>
        <w:t>In May 2011, the FASB issued ASU No. 2011-04, Fair Value Measurement (Topic 820): Amendments to Achieve Common Fair Value Measurement and Disclosure Requirements in GAAP and IFRSs (ASU 2011-04). ASU 2011-04 provides amendments to Topic 820 that change the wording used to describe many of the requirements in GAAP for measuring fair value and for disclosing information about fair value measurements. The Company adopted ASU 2011-04 effective January 1, 2012. The adoption of this authoritative guidance did not have any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October 2012, the FASB issued ASU No. 2012-07, Accounting for Fair Value Information That Arises after the Measurement Date and Its Inclusion in the Impairment Analysis of Unamortized Film Costs (ASU 2012-07), which eliminates the rebuttable presumption that the conditions leading to the write-off of unamortized film costs after the balance sheet date existed as of the balance sheet date. ASU 2012-07 also eliminates the requirement that an entity incorporate into fair value measurements used in the impairment tests the effects of any changes in estimates resulting from the consideration of subsequent evidence if the information would not have been considered by market participants at the measurement date. ASU 2012-07 does not change an entity's responsibility to analyze and consider any relevant subsequent events and information to assess whether the fair value measurement reflects all relevant information and assumptions that market participants would have considered under the current conditions at the measurement date. This authoritative guidance will be effective for the Company's programming usefulness impairment assessments performed on or after December 15, 2012 and earlier application is permitted.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July 2012, the FASB issued ASU No. 2012-02, Intangibles - Goodwill and Other (Topic 350): Testing Indefinite-Lived Intangible Assets for Impairment (ASU 2012-02), to allow entities to use a qualitative approach to test indefinite-lived intangible assets for impairment. ASU 2012-02 permits an entity to first perform a qualitative assessment to determine whether the existence of events and circumstances indicates that it is more likely than not that the indefinite-lived intangible asset is impaired. If it is concluded that this is the case, an entity is required to determine the fair value of the indefinite-lived intangible asset and perform the quantitative impairment test by comparing the fair value with the carrying amount in accordance with Subtopic 350-30. Otherwise, the quantitative impairment test is not required. This authoritative guidance will be effective for the Company’s 2013 annual impairment test and earlier adoption is permitted. The Company will evaluate performing a qualitative assessment in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stock options (including those held by directors and employees of related parties of the Company) and AMC Networks restricted shares/units (including those held by employees of related parties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2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70,506,000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69,284,000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70,286,000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69,203,000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821,000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1,083,000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847,000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365,000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Restricted shares/units</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938,000</w:t>
            </w:r>
          </w:p>
        </w:tc>
        <w:tc>
          <w:tcPr>
            <w:tcW w:w="12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1,901,000</w:t>
            </w:r>
          </w:p>
        </w:tc>
        <w:tc>
          <w:tcPr>
            <w:tcW w:w="12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1,061,000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641,000</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72,265,000</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72,268,000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72,194,000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70,209,000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number of shares used to compute basic and diluted EPS includes the number of shares of AMC Networks common stock issued to Cablevision shareholders on the Distribution date, and excludes unvested outstanding restricted shares, based on a distribution ratio of one share of AMC Networks common stock for every four shares of Cablevision common stock outstanding. The dilutive effect of the Company’s share-based awards that were issued in connection with the adjustment or conversion of Cablevision’s share-based awards upon the Distribution (including Cablevision stock options and restricted share awards granted prior to the Distribution) and subsequent Company grants, are included in the computation of diluted EPS in periods subsequent to the Distribution.</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Approximately 231,000 restricted shares/units for the three and nine months ended September 30, 2012 and approximately 149,000 restricted shares/units for the three and nine months ended September 30, 2011 have been excluded from diluted weighted average common shares outstanding since the performance criteria on these awards has not yet been satisfied.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Note 3. Goodwill and Other Intangible Assets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7080" w:type="dxa"/>
            <w:vAlign w:val="bottom"/>
          </w:tcPr>
          <w:p>
            <w:pPr>
              <w:ind w:left="440"/>
              <w:spacing w:after="0"/>
              <w:rPr>
                <w:sz w:val="20"/>
                <w:szCs w:val="20"/>
                <w:color w:val="auto"/>
              </w:rPr>
            </w:pPr>
            <w:r>
              <w:rPr>
                <w:rFonts w:ascii="Arial" w:cs="Arial" w:eastAsia="Arial" w:hAnsi="Arial"/>
                <w:sz w:val="18"/>
                <w:szCs w:val="18"/>
                <w:color w:val="auto"/>
                <w:w w:val="95"/>
              </w:rPr>
              <w:t>The carrying amount of goodwill, by reporting unit and reportable segment is as follows:</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2012</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Reporting Unit and Segment</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34,251</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34,251</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 tv</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IFC</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13,582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13,582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Sundance Channel</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25,720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National Networks</w:t>
            </w: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78,767</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81,977</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AMC Networks Broadcasting &amp; Technology</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International and Other</w:t>
            </w: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79,963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83,173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reduction of $3,210 in the carrying amount of goodwill for Sundance Channel is due to the realization of a tax benefit for the amortization of "second component" goodwill. Second component goodwill is the amount of tax deductible goodwill in excess of goodwill for financial reporting purposes. In accordance with the authoritative guidance at the time of the Sundance Channel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2012</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6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420" w:type="dxa"/>
            <w:vAlign w:val="bottom"/>
          </w:tcPr>
          <w:p>
            <w:pPr>
              <w:spacing w:after="0"/>
              <w:rPr>
                <w:sz w:val="13"/>
                <w:szCs w:val="13"/>
                <w:color w:val="auto"/>
              </w:rPr>
            </w:pPr>
          </w:p>
        </w:tc>
        <w:tc>
          <w:tcPr>
            <w:tcW w:w="128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4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Amortizable intangible assets:</w:t>
            </w:r>
          </w:p>
        </w:tc>
        <w:tc>
          <w:tcPr>
            <w:tcW w:w="4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Affiliation agreements and affiliate relationships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840,757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(612,986)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Advertiser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Other amortizable intangible assets</w:t>
            </w:r>
          </w:p>
        </w:tc>
        <w:tc>
          <w:tcPr>
            <w:tcW w:w="4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915,649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(681,843)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233,806</w:t>
            </w:r>
          </w:p>
        </w:tc>
        <w:tc>
          <w:tcPr>
            <w:tcW w:w="0" w:type="dxa"/>
            <w:vAlign w:val="bottom"/>
          </w:tcPr>
          <w:p>
            <w:pPr>
              <w:spacing w:after="0"/>
              <w:rPr>
                <w:sz w:val="1"/>
                <w:szCs w:val="1"/>
                <w:color w:val="auto"/>
              </w:rPr>
            </w:pPr>
          </w:p>
        </w:tc>
      </w:tr>
      <w:tr>
        <w:trPr>
          <w:trHeight w:val="183"/>
        </w:trPr>
        <w:tc>
          <w:tcPr>
            <w:tcW w:w="606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Indefinite-lived intangible assets: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935,549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(681,843)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253,706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 2011</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6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420" w:type="dxa"/>
            <w:vAlign w:val="bottom"/>
          </w:tcPr>
          <w:p>
            <w:pPr>
              <w:spacing w:after="0"/>
              <w:rPr>
                <w:sz w:val="13"/>
                <w:szCs w:val="13"/>
                <w:color w:val="auto"/>
              </w:rPr>
            </w:pPr>
          </w:p>
        </w:tc>
        <w:tc>
          <w:tcPr>
            <w:tcW w:w="128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4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Amortizable intangible assets:</w:t>
            </w:r>
          </w:p>
        </w:tc>
        <w:tc>
          <w:tcPr>
            <w:tcW w:w="4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Affiliation agreements and affiliate relationships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911,357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(637,394)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273,963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Advertiser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Other amortizable intangible assets</w:t>
            </w:r>
          </w:p>
        </w:tc>
        <w:tc>
          <w:tcPr>
            <w:tcW w:w="4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1,015,724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285,773</w:t>
            </w:r>
          </w:p>
        </w:tc>
        <w:tc>
          <w:tcPr>
            <w:tcW w:w="0" w:type="dxa"/>
            <w:vAlign w:val="bottom"/>
          </w:tcPr>
          <w:p>
            <w:pPr>
              <w:spacing w:after="0"/>
              <w:rPr>
                <w:sz w:val="1"/>
                <w:szCs w:val="1"/>
                <w:color w:val="auto"/>
              </w:rPr>
            </w:pPr>
          </w:p>
        </w:tc>
      </w:tr>
      <w:tr>
        <w:trPr>
          <w:trHeight w:val="183"/>
        </w:trPr>
        <w:tc>
          <w:tcPr>
            <w:tcW w:w="606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Indefinite-lived intangible assets: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1,035,624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(729,951)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305,673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nine months ended September 30, 2012, the Company retired $29,475 and $70,600 of fully amortized advertiser relationships and affiliation agreements, respectively.</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jc w:val="both"/>
        <w:ind w:firstLine="441"/>
        <w:spacing w:after="0" w:line="360" w:lineRule="auto"/>
        <w:rPr>
          <w:sz w:val="20"/>
          <w:szCs w:val="20"/>
          <w:color w:val="auto"/>
        </w:rPr>
      </w:pPr>
      <w:r>
        <w:rPr>
          <w:rFonts w:ascii="Arial" w:cs="Arial" w:eastAsia="Arial" w:hAnsi="Arial"/>
          <w:sz w:val="16"/>
          <w:szCs w:val="16"/>
          <w:color w:val="auto"/>
        </w:rPr>
        <w:t>Aggregate amortization expense for amortizable intangible assets for the nine months ended September 30, 2012 and 2011 was $51,967 and $59,332, respectively. The Company expects its future aggregate amortization expense for existing intangible assets subject to amortization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Years Ending December 31,</w:t>
      </w:r>
    </w:p>
    <w:p>
      <w:pPr>
        <w:spacing w:after="0" w:line="67" w:lineRule="exact"/>
        <w:rPr>
          <w:sz w:val="20"/>
          <w:szCs w:val="20"/>
          <w:color w:val="auto"/>
        </w:rPr>
      </w:pPr>
    </w:p>
    <w:p>
      <w:pPr>
        <w:ind w:left="8980"/>
        <w:spacing w:after="0"/>
        <w:tabs>
          <w:tab w:leader="none" w:pos="10800" w:val="left"/>
        </w:tabs>
        <w:rPr>
          <w:sz w:val="20"/>
          <w:szCs w:val="20"/>
          <w:color w:val="auto"/>
        </w:rPr>
      </w:pPr>
      <w:r>
        <w:rPr>
          <w:rFonts w:ascii="Arial" w:cs="Arial" w:eastAsia="Arial" w:hAnsi="Arial"/>
          <w:sz w:val="18"/>
          <w:szCs w:val="18"/>
          <w:color w:val="auto"/>
        </w:rPr>
        <w:t>2012 $</w:t>
      </w:r>
      <w:r>
        <w:rPr>
          <w:sz w:val="20"/>
          <w:szCs w:val="20"/>
          <w:color w:val="auto"/>
        </w:rPr>
        <w:tab/>
      </w:r>
      <w:r>
        <w:rPr>
          <w:rFonts w:ascii="Arial" w:cs="Arial" w:eastAsia="Arial" w:hAnsi="Arial"/>
          <w:sz w:val="16"/>
          <w:szCs w:val="16"/>
          <w:color w:val="auto"/>
        </w:rPr>
        <w:t>64,489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8980"/>
        <w:spacing w:after="0"/>
        <w:tabs>
          <w:tab w:leader="none" w:pos="1080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31,631</w:t>
      </w:r>
    </w:p>
    <w:p>
      <w:pPr>
        <w:spacing w:after="0" w:line="63"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9,759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9,746</w:t>
      </w:r>
    </w:p>
    <w:p>
      <w:pPr>
        <w:spacing w:after="0" w:line="63" w:lineRule="exact"/>
        <w:rPr>
          <w:sz w:val="20"/>
          <w:szCs w:val="20"/>
          <w:color w:val="auto"/>
        </w:rPr>
      </w:pPr>
    </w:p>
    <w:p>
      <w:pPr>
        <w:ind w:left="8980"/>
        <w:spacing w:after="0"/>
        <w:tabs>
          <w:tab w:leader="none" w:pos="1088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9,746</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 and Identifiable Indefinite-Lived Intangible Assets</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accordance with the accounting guidance adopted on January 1, 2012, 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6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assessing the recoverability of goodwill and other long-lived assets, the Company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are primarily determined using discounted cash flows and comparable market transactions. These valuations are based on estimates and assumptions including projected future cash flows, discount rate and determination of appropriate market comparables and determination of whether a premium or discount should be applied to comparables. These valuations also include assumptions for renewals of affiliation agreements,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our long-lived assets.</w:t>
      </w:r>
    </w:p>
    <w:p>
      <w:pPr>
        <w:spacing w:after="0" w:line="1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 Significant judgments inherent in a valuation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Based on the Company’s annual impairment test for goodwill and identifiable indefinite-lived intangible assets as of the end of February 2012, no impairment charge was required for any of the reporting units. The Company performed a qualitative assessment for the AMC, WE tv, IFC and AMC Networks Broadcasting and Technology reporting units, which included, but was not limited to, consideration of the historical significant excesses of the estimated fair value of each reporting unit over its respective carrying value (including allocated goodwill), macroeconomic conditions, industry and market considerations, cost factors and historical and projected cash flows. The Company performed a quantitative assessment for the Sundance Channel reporting unit. Based on the quantitative assessment, if the fair value of the Sundance Channel reporting unit decreased by 11%, the Company would be required to perform step-two of the quantitative assessment.</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indefinite-lived trademark intangible assets relate to Sundance Channel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three and nine months ended September 30, 2012, income tax expense attributable to continuing operations was $20,121 and $70,989, respectively, representing an effective tax rate of 36% and 37%, respectively. The effective tax rate differs from the federal statutory rate of 35% due primarily to state and local income tax expense of $1,147 and $4,210, for the three and nine months ended September 30, 2012, respectively, and tax expense of $1,544 related to uncertain tax positions, including accrued interest, for the nine months ended September 30, 2012, partially offset by a tax benefit of $570 and $2,370 resulting from a decrease in the valuation allowance with regard to certain local income tax credit carry forwards, for the three and nine months ended September 30, 2012, respectively.</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three and nine months ended September 30, 2011, income tax expense attributable to continuing operations was $22,440 and $65,388, respectively, representing an effective tax rate of 36% and 40%, respectively. The effective tax rate differs from the federal statutory rate of 35% due primarily to state and local income tax expense of $1,272 and $6,562, tax expense of $839 and $2,908 related to uncertain tax positions, including accrued interest, partially offset by a tax benefit of $2,674 and $2,182 resulting from a decrease in the valuation allowance with regard to certain local income tax credit carry forwards, for the three and nine months ended September 30, 2011, respectively.</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At September 30, 2012, the Company had foreign tax credit carry forwards of approximately $17,000, expiring on various dates from 2014 through 2022. For the nine months ended September 30, 2012, the utilization of the remaining federal net operating loss carry forwards (“NOLs”) and alternative minimum tax credit carry forwards reduced current deferred income tax assets by $50,000 and $2,300, respectively. In addition, for the nine months ended September 30, 2012, excess tax benefits of $7,259 relating to share-based compensation awards and $3,210 relating to amortization of tax deductible second component goodwill were realized as a reduction in tax liability (as determined on a 'with-and-without' approach) and recorded as an increase to paid-in capital and a decrease in goodwill, respectively.</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Company's Tax Disaffiliation Agreement with Cablevision, Cablevision is liable for all income taxes of the Company for periods prior to the Distribution except for New York City Unincorporated Business Tax. A deemed capital distribution, net of $2,596 was recorded for the nine months ended September 30, 2012 to reflect true-ups as of the Distribution date for utilization of Cablevision's NOLs and for adjustments to deferred tax assets and liabilities as a result of the Distribution. The City of New York is currently auditing the Company's Unincorporated Business Tax Returns for the years 2006 through 2008.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2012</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2011</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Credit facility debt: </w:t>
            </w:r>
            <w:r>
              <w:rPr>
                <w:rFonts w:ascii="Arial" w:cs="Arial" w:eastAsia="Arial" w:hAnsi="Arial"/>
                <w:sz w:val="25"/>
                <w:szCs w:val="25"/>
                <w:color w:val="auto"/>
                <w:vertAlign w:val="superscript"/>
              </w:rPr>
              <w:t>(a) (b)</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Term A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926,016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1,025,065</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B Facility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579,781</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(b)</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687,169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686,434</w:t>
            </w: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2,291,280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5,950</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2,183,698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2,285,330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$500,000 revolving credit facility remains undrawn at September 30, 2012. Total undrawn revolver commitments are available to be drawn for general corporate purposes of the Company.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carrying amount of credit facility debt and senior notes is net of unamortized discounts.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each of March, July and November 2012, the Company voluntarily prepaid $50,000 under the Term A Facility. These voluntary prepayments were applied to the earliest required quarterly installments due, and were in addition to the regularly scheduled quarterly principal payments made under the Term B Facility. As a result of these voluntary prepayments, the next required quarterly installment under the Term A Facility will be due on December 31, 2014 in the amount of $4,250. The Company wrote-off $334 and $646 of deferred financing costs associated with the voluntary prepayments that were made during the three and nine months ended September 30, 2012, respectively.</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Pursuant to a registration rights agreement, dated as of June 30, 2011, among AMC Networks, the Subsidiary Guarantors (as defined in the agreement) and the initial purchasers of the $700,000 of AMC Networks 7.75% Senior Notes due July 15, 2021 (the “Notes”), AMC Networks filed a registration statement with the SEC on April 24, 2012 with respect to an offer to exchange the Notes for registered notes (the “Exchange Offer”) with terms identical in all material respects to the Notes except that the registered notes do not contain terms that provide for restrictions on transfer (the “Registered Notes”), which was declared effective by the SEC on June 7, 2012. On July 10, 2012, the Exchange Offer was completed and all of AMC Networks’ original Notes were exchanged for Registered Notes.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Financial Instruments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LIBOR index rate, the designated benchmark interest rate being hedged (the “hedged risk”), on an amount of the Company’s debt principal equal to the then-outstanding swap notional. The forecasted interest payments are deemed to be probable of occurring.</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interest rate swap contracts are designated as cash flow hedges for accounting and tax purposes. 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the interest rate swap contracts is recorded in current-period earnings.</w:t>
      </w:r>
    </w:p>
    <w:p>
      <w:pPr>
        <w:spacing w:after="0" w:line="187" w:lineRule="exact"/>
        <w:rPr>
          <w:sz w:val="20"/>
          <w:szCs w:val="20"/>
          <w:color w:val="auto"/>
        </w:rPr>
      </w:pPr>
    </w:p>
    <w:p>
      <w:pPr>
        <w:jc w:val="both"/>
        <w:ind w:firstLine="455"/>
        <w:spacing w:after="0" w:line="271" w:lineRule="auto"/>
        <w:rPr>
          <w:sz w:val="20"/>
          <w:szCs w:val="20"/>
          <w:color w:val="auto"/>
        </w:rPr>
      </w:pPr>
      <w:r>
        <w:rPr>
          <w:rFonts w:ascii="Arial" w:cs="Arial" w:eastAsia="Arial" w:hAnsi="Arial"/>
          <w:sz w:val="18"/>
          <w:szCs w:val="18"/>
          <w:color w:val="auto"/>
        </w:rPr>
        <w:t>As of September 30, 2012, the Company had interest rate swap contracts outstanding with notional amounts aggregating $849,406. The Company’s outstanding interest rate swap contracts have varying maturities ranging from September 2015 to July 2017. At September 30, 2012, the Company’s interest rate cash flow hedges were highly effective, in all material respects.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180" w:type="dxa"/>
            <w:vAlign w:val="bottom"/>
          </w:tcPr>
          <w:p>
            <w:pPr>
              <w:spacing w:after="0"/>
              <w:rPr>
                <w:sz w:val="22"/>
                <w:szCs w:val="22"/>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Pr>
          <w:p>
            <w:pPr>
              <w:spacing w:after="0"/>
              <w:rPr>
                <w:sz w:val="22"/>
                <w:szCs w:val="22"/>
                <w:color w:val="auto"/>
              </w:rPr>
            </w:pPr>
          </w:p>
        </w:tc>
      </w:tr>
      <w:tr>
        <w:trPr>
          <w:trHeight w:val="264"/>
        </w:trPr>
        <w:tc>
          <w:tcPr>
            <w:tcW w:w="56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2012</w:t>
            </w:r>
          </w:p>
        </w:tc>
        <w:tc>
          <w:tcPr>
            <w:tcW w:w="3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1"/>
              </w:rPr>
              <w:t>December 31, 2011</w:t>
            </w: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21"/>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19,091</w:t>
            </w:r>
          </w:p>
        </w:tc>
      </w:tr>
      <w:tr>
        <w:trPr>
          <w:trHeight w:val="27"/>
        </w:trPr>
        <w:tc>
          <w:tcPr>
            <w:tcW w:w="56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19,091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the gains and losses related to the Company’s derivative financial instruments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4"/>
          </w:tcPr>
          <w:p>
            <w:pPr>
              <w:jc w:val="center"/>
              <w:ind w:right="94"/>
              <w:spacing w:after="0"/>
              <w:rPr>
                <w:sz w:val="20"/>
                <w:szCs w:val="20"/>
                <w:color w:val="auto"/>
              </w:rPr>
            </w:pPr>
            <w:r>
              <w:rPr>
                <w:rFonts w:ascii="Arial" w:cs="Arial" w:eastAsia="Arial" w:hAnsi="Arial"/>
                <w:sz w:val="16"/>
                <w:szCs w:val="16"/>
                <w:b w:val="1"/>
                <w:bCs w:val="1"/>
                <w:color w:val="auto"/>
                <w:w w:val="89"/>
              </w:rPr>
              <w:t>Amount of Loss Recognized</w:t>
            </w:r>
          </w:p>
        </w:tc>
        <w:tc>
          <w:tcPr>
            <w:tcW w:w="100" w:type="dxa"/>
            <w:vAlign w:val="bottom"/>
          </w:tcPr>
          <w:p>
            <w:pPr>
              <w:spacing w:after="0"/>
              <w:rPr>
                <w:sz w:val="17"/>
                <w:szCs w:val="17"/>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Reclassified from</w:t>
            </w:r>
          </w:p>
        </w:tc>
        <w:tc>
          <w:tcPr>
            <w:tcW w:w="220" w:type="dxa"/>
            <w:vAlign w:val="bottom"/>
          </w:tcPr>
          <w:p>
            <w:pPr>
              <w:spacing w:after="0"/>
              <w:rPr>
                <w:sz w:val="17"/>
                <w:szCs w:val="17"/>
                <w:color w:val="auto"/>
              </w:rPr>
            </w:pPr>
          </w:p>
        </w:tc>
        <w:tc>
          <w:tcPr>
            <w:tcW w:w="242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89"/>
              </w:rPr>
              <w:t>Amount of Loss Reclassified</w:t>
            </w: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4"/>
          </w:tcPr>
          <w:p>
            <w:pPr>
              <w:jc w:val="center"/>
              <w:ind w:right="54"/>
              <w:spacing w:after="0"/>
              <w:rPr>
                <w:sz w:val="20"/>
                <w:szCs w:val="20"/>
                <w:color w:val="auto"/>
              </w:rPr>
            </w:pPr>
            <w:r>
              <w:rPr>
                <w:rFonts w:ascii="Arial" w:cs="Arial" w:eastAsia="Arial" w:hAnsi="Arial"/>
                <w:sz w:val="16"/>
                <w:szCs w:val="16"/>
                <w:b w:val="1"/>
                <w:bCs w:val="1"/>
                <w:color w:val="auto"/>
                <w:w w:val="93"/>
              </w:rPr>
              <w:t>in Other Comprehensive Income</w:t>
            </w:r>
          </w:p>
        </w:tc>
        <w:tc>
          <w:tcPr>
            <w:tcW w:w="10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Accumulated OCI into</w:t>
            </w:r>
          </w:p>
        </w:tc>
        <w:tc>
          <w:tcPr>
            <w:tcW w:w="220" w:type="dxa"/>
            <w:vAlign w:val="bottom"/>
          </w:tcPr>
          <w:p>
            <w:pPr>
              <w:spacing w:after="0"/>
              <w:rPr>
                <w:sz w:val="17"/>
                <w:szCs w:val="17"/>
                <w:color w:val="auto"/>
              </w:rPr>
            </w:pPr>
          </w:p>
        </w:tc>
        <w:tc>
          <w:tcPr>
            <w:tcW w:w="2420" w:type="dxa"/>
            <w:vAlign w:val="bottom"/>
            <w:gridSpan w:val="4"/>
          </w:tcPr>
          <w:p>
            <w:pPr>
              <w:jc w:val="center"/>
              <w:ind w:right="154"/>
              <w:spacing w:after="0"/>
              <w:rPr>
                <w:sz w:val="20"/>
                <w:szCs w:val="20"/>
                <w:color w:val="auto"/>
              </w:rPr>
            </w:pPr>
            <w:r>
              <w:rPr>
                <w:rFonts w:ascii="Arial" w:cs="Arial" w:eastAsia="Arial" w:hAnsi="Arial"/>
                <w:sz w:val="16"/>
                <w:szCs w:val="16"/>
                <w:b w:val="1"/>
                <w:bCs w:val="1"/>
                <w:color w:val="auto"/>
                <w:w w:val="93"/>
              </w:rPr>
              <w:t>from Accumulated OCI into</w:t>
            </w: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4"/>
          </w:tcPr>
          <w:p>
            <w:pPr>
              <w:jc w:val="center"/>
              <w:ind w:right="94"/>
              <w:spacing w:after="0"/>
              <w:rPr>
                <w:sz w:val="20"/>
                <w:szCs w:val="20"/>
                <w:color w:val="auto"/>
              </w:rPr>
            </w:pPr>
            <w:r>
              <w:rPr>
                <w:rFonts w:ascii="Arial" w:cs="Arial" w:eastAsia="Arial" w:hAnsi="Arial"/>
                <w:sz w:val="16"/>
                <w:szCs w:val="16"/>
                <w:b w:val="1"/>
                <w:bCs w:val="1"/>
                <w:color w:val="auto"/>
                <w:w w:val="95"/>
              </w:rPr>
              <w:t>(“OCI”) on Derivatives</w:t>
            </w:r>
          </w:p>
        </w:tc>
        <w:tc>
          <w:tcPr>
            <w:tcW w:w="100" w:type="dxa"/>
            <w:vAlign w:val="bottom"/>
          </w:tcPr>
          <w:p>
            <w:pPr>
              <w:spacing w:after="0"/>
              <w:rPr>
                <w:sz w:val="17"/>
                <w:szCs w:val="17"/>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Earnings</w:t>
            </w:r>
          </w:p>
        </w:tc>
        <w:tc>
          <w:tcPr>
            <w:tcW w:w="220" w:type="dxa"/>
            <w:vAlign w:val="bottom"/>
          </w:tcPr>
          <w:p>
            <w:pPr>
              <w:spacing w:after="0"/>
              <w:rPr>
                <w:sz w:val="17"/>
                <w:szCs w:val="17"/>
                <w:color w:val="auto"/>
              </w:rPr>
            </w:pPr>
          </w:p>
        </w:tc>
        <w:tc>
          <w:tcPr>
            <w:tcW w:w="1540" w:type="dxa"/>
            <w:vAlign w:val="bottom"/>
            <w:gridSpan w:val="3"/>
          </w:tcPr>
          <w:p>
            <w:pPr>
              <w:jc w:val="center"/>
              <w:ind w:left="597"/>
              <w:spacing w:after="0"/>
              <w:rPr>
                <w:sz w:val="20"/>
                <w:szCs w:val="20"/>
                <w:color w:val="auto"/>
              </w:rPr>
            </w:pPr>
            <w:r>
              <w:rPr>
                <w:rFonts w:ascii="Arial" w:cs="Arial" w:eastAsia="Arial" w:hAnsi="Arial"/>
                <w:sz w:val="16"/>
                <w:szCs w:val="16"/>
                <w:b w:val="1"/>
                <w:bCs w:val="1"/>
                <w:color w:val="auto"/>
                <w:w w:val="90"/>
              </w:rPr>
              <w:t>Earnings</w:t>
            </w:r>
          </w:p>
        </w:tc>
        <w:tc>
          <w:tcPr>
            <w:tcW w:w="88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center"/>
              <w:ind w:right="74"/>
              <w:spacing w:after="0"/>
              <w:rPr>
                <w:sz w:val="20"/>
                <w:szCs w:val="20"/>
                <w:color w:val="auto"/>
              </w:rPr>
            </w:pPr>
            <w:r>
              <w:rPr>
                <w:rFonts w:ascii="Arial" w:cs="Arial" w:eastAsia="Arial" w:hAnsi="Arial"/>
                <w:sz w:val="16"/>
                <w:szCs w:val="16"/>
                <w:b w:val="1"/>
                <w:bCs w:val="1"/>
                <w:color w:val="auto"/>
                <w:w w:val="92"/>
              </w:rPr>
              <w:t>(Effective Portion)</w:t>
            </w:r>
          </w:p>
        </w:tc>
        <w:tc>
          <w:tcPr>
            <w:tcW w:w="10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(Effective Portion)</w:t>
            </w:r>
          </w:p>
        </w:tc>
        <w:tc>
          <w:tcPr>
            <w:tcW w:w="220" w:type="dxa"/>
            <w:vAlign w:val="bottom"/>
          </w:tcPr>
          <w:p>
            <w:pPr>
              <w:spacing w:after="0"/>
              <w:rPr>
                <w:sz w:val="18"/>
                <w:szCs w:val="18"/>
                <w:color w:val="auto"/>
              </w:rPr>
            </w:pPr>
          </w:p>
        </w:tc>
        <w:tc>
          <w:tcPr>
            <w:tcW w:w="242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2"/>
              </w:rPr>
              <w:t>(Effective Portion)(a)</w:t>
            </w:r>
          </w:p>
        </w:tc>
      </w:tr>
      <w:tr>
        <w:trPr>
          <w:trHeight w:val="33"/>
        </w:trPr>
        <w:tc>
          <w:tcPr>
            <w:tcW w:w="3780" w:type="dxa"/>
            <w:vAlign w:val="bottom"/>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7"/>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7"/>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4"/>
              <w:spacing w:after="0"/>
              <w:rPr>
                <w:sz w:val="20"/>
                <w:szCs w:val="20"/>
                <w:color w:val="auto"/>
              </w:rPr>
            </w:pPr>
            <w:r>
              <w:rPr>
                <w:rFonts w:ascii="Arial" w:cs="Arial" w:eastAsia="Arial" w:hAnsi="Arial"/>
                <w:sz w:val="16"/>
                <w:szCs w:val="16"/>
                <w:b w:val="1"/>
                <w:bCs w:val="1"/>
                <w:color w:val="auto"/>
              </w:rPr>
              <w:t>2011</w:t>
            </w: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7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in Cash Flow Hedging</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3,618</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19,666</w:t>
            </w:r>
          </w:p>
        </w:tc>
        <w:tc>
          <w:tcPr>
            <w:tcW w:w="100" w:type="dxa"/>
            <w:vAlign w:val="bottom"/>
          </w:tcPr>
          <w:p>
            <w:pPr>
              <w:spacing w:after="0"/>
              <w:rPr>
                <w:sz w:val="22"/>
                <w:szCs w:val="22"/>
                <w:color w:val="auto"/>
              </w:rPr>
            </w:pPr>
          </w:p>
        </w:tc>
        <w:tc>
          <w:tcPr>
            <w:tcW w:w="1880" w:type="dxa"/>
            <w:vAlign w:val="bottom"/>
            <w:gridSpan w:val="2"/>
          </w:tcPr>
          <w:p>
            <w:pPr>
              <w:ind w:left="580"/>
              <w:spacing w:after="0"/>
              <w:rPr>
                <w:sz w:val="20"/>
                <w:szCs w:val="20"/>
                <w:color w:val="auto"/>
              </w:rPr>
            </w:pPr>
            <w:r>
              <w:rPr>
                <w:rFonts w:ascii="Arial" w:cs="Arial" w:eastAsia="Arial" w:hAnsi="Arial"/>
                <w:sz w:val="18"/>
                <w:szCs w:val="18"/>
                <w:color w:val="auto"/>
                <w:w w:val="96"/>
              </w:rPr>
              <w:t>Interest expense</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2,728</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2,376</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three months ended September 30, 2012 and 2011.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128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Location of Loss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Reclassified from</w:t>
            </w:r>
          </w:p>
        </w:tc>
        <w:tc>
          <w:tcPr>
            <w:tcW w:w="2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Amount of Loss Reclassified</w:t>
            </w:r>
          </w:p>
        </w:tc>
      </w:tr>
      <w:tr>
        <w:trPr>
          <w:trHeight w:val="203"/>
        </w:trPr>
        <w:tc>
          <w:tcPr>
            <w:tcW w:w="2700" w:type="dxa"/>
            <w:vAlign w:val="bottom"/>
          </w:tcPr>
          <w:p>
            <w:pPr>
              <w:spacing w:after="0"/>
              <w:rPr>
                <w:sz w:val="17"/>
                <w:szCs w:val="17"/>
                <w:color w:val="auto"/>
              </w:rPr>
            </w:pPr>
          </w:p>
        </w:tc>
        <w:tc>
          <w:tcPr>
            <w:tcW w:w="2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Amount of Loss Recognized in</w:t>
            </w: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Accumulated OCI into</w:t>
            </w:r>
          </w:p>
        </w:tc>
        <w:tc>
          <w:tcPr>
            <w:tcW w:w="2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from Accumulated OCI into</w:t>
            </w:r>
          </w:p>
        </w:tc>
      </w:tr>
      <w:tr>
        <w:trPr>
          <w:trHeight w:val="203"/>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94"/>
              </w:rPr>
              <w:t>OCI on Derivatives</w:t>
            </w:r>
          </w:p>
        </w:tc>
        <w:tc>
          <w:tcPr>
            <w:tcW w:w="120" w:type="dxa"/>
            <w:vAlign w:val="bottom"/>
          </w:tcPr>
          <w:p>
            <w:pPr>
              <w:spacing w:after="0"/>
              <w:rPr>
                <w:sz w:val="17"/>
                <w:szCs w:val="17"/>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Earnings</w:t>
            </w:r>
          </w:p>
        </w:tc>
        <w:tc>
          <w:tcPr>
            <w:tcW w:w="220" w:type="dxa"/>
            <w:vAlign w:val="bottom"/>
          </w:tcPr>
          <w:p>
            <w:pPr>
              <w:spacing w:after="0"/>
              <w:rPr>
                <w:sz w:val="17"/>
                <w:szCs w:val="17"/>
                <w:color w:val="auto"/>
              </w:rPr>
            </w:pPr>
          </w:p>
        </w:tc>
        <w:tc>
          <w:tcPr>
            <w:tcW w:w="126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93"/>
              </w:rPr>
              <w:t>Earnings</w:t>
            </w:r>
          </w:p>
        </w:tc>
        <w:tc>
          <w:tcPr>
            <w:tcW w:w="70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 Portion)</w:t>
            </w:r>
          </w:p>
        </w:tc>
        <w:tc>
          <w:tcPr>
            <w:tcW w:w="220" w:type="dxa"/>
            <w:vAlign w:val="bottom"/>
          </w:tcPr>
          <w:p>
            <w:pPr>
              <w:spacing w:after="0"/>
              <w:rPr>
                <w:sz w:val="18"/>
                <w:szCs w:val="18"/>
                <w:color w:val="auto"/>
              </w:rPr>
            </w:pPr>
          </w:p>
        </w:tc>
        <w:tc>
          <w:tcPr>
            <w:tcW w:w="196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3"/>
              </w:rPr>
              <w:t>(Effective Portion)(b)</w:t>
            </w:r>
          </w:p>
        </w:tc>
      </w:tr>
      <w:tr>
        <w:trPr>
          <w:trHeight w:val="33"/>
        </w:trPr>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94"/>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94"/>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94"/>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7"/>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7"/>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54"/>
              <w:spacing w:after="0"/>
              <w:rPr>
                <w:sz w:val="20"/>
                <w:szCs w:val="20"/>
                <w:color w:val="auto"/>
              </w:rPr>
            </w:pPr>
            <w:r>
              <w:rPr>
                <w:rFonts w:ascii="Arial" w:cs="Arial" w:eastAsia="Arial" w:hAnsi="Arial"/>
                <w:sz w:val="16"/>
                <w:szCs w:val="16"/>
                <w:b w:val="1"/>
                <w:bCs w:val="1"/>
                <w:color w:val="auto"/>
                <w:w w:val="95"/>
              </w:rPr>
              <w:t>2011</w:t>
            </w:r>
          </w:p>
        </w:tc>
      </w:tr>
      <w:tr>
        <w:trPr>
          <w:trHeight w:val="33"/>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5"/>
        </w:trPr>
        <w:tc>
          <w:tcPr>
            <w:tcW w:w="2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1"/>
              </w:rPr>
              <w:t>Derivatives in Cash Flow Hedging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4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64"/>
        </w:trPr>
        <w:tc>
          <w:tcPr>
            <w:tcW w:w="27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19,666</w:t>
            </w:r>
          </w:p>
        </w:tc>
        <w:tc>
          <w:tcPr>
            <w:tcW w:w="120" w:type="dxa"/>
            <w:vAlign w:val="bottom"/>
          </w:tcPr>
          <w:p>
            <w:pPr>
              <w:spacing w:after="0"/>
              <w:rPr>
                <w:sz w:val="22"/>
                <w:szCs w:val="22"/>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w w:val="96"/>
              </w:rPr>
              <w:t>Interest expense</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nine months ended September 30, 2012 and 2011.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2012, the Company’s off-balance sheet arrangements not reflected on the Company’s consolidated balance sheet decreased approximately $26,000 to approximately $317,600 as compared to approximately $343,600 at December 31, 2011. The decrease relates primarily to future program rights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DISH Network Contract Dispute</w:t>
      </w:r>
    </w:p>
    <w:p>
      <w:pPr>
        <w:spacing w:after="0" w:line="22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In 2005, subsidiaries of the Company entered into agreements with EchoStar Communications Corporation and its affiliates by which EchoStar Media Holdings Corporation acquired a 20% interest in VOOM HD and EchoStar Satellite L.L.C. (the predecessor to DISH Network L.L.C. (“DISH Network”)) agreed to distribute VOOM on the satellite delivered programming of DISH Network for a 15-year term. The affiliation agreement with DISH Network for such distribution provides that if VOOM HD fails to spend $100,000 per year (subject to reduction to the extent that the number of offered channels is reduced to fewer than 21), up to a maximum of $500,000 in the aggregate, on VOOM, DISH Network may seek to terminate the agreement under certain circumstances. On January 30, 2008, DISH Network purported to terminate the affiliation agreement, effective February 1, 2008, based on its assertion that VOOM HD had failed to comply with this spending provision in 2006. On January 31, 2008, VOOM HD sought and obtained a temporary restraining order from the New York State Supreme Court for New York County prohibiting DISH Network from terminating the affiliation agreement. In conjunction with its request for a temporary restraining order, VOOM HD also requested a preliminary injunction and filed a lawsuit against DISH Network asserting that DISH Network did not have the right to terminate the affiliation agreement. In a decision filed on May 5, 2008, the court denied VOOM HD’s motion for a preliminary injunction. On or about May 13, 2008, DISH Network ceased distribution of VOOM on its DISH Network. On May 27, 2008, VOOM HD amended its complaint to seek damages for DISH Network’s improper termination of the affiliation agreement. On June 24, 2008, DISH Network answered VOOM HD’s amended complaint and asserted counterclaims alleging breach of contract and breach of the duty of good faith and fair dealing with respect to the affiliation agreement. On July 14, 2008, VOOM HD replied to DISH Network’s counterclaims. VOOM HD and DISH Network each filed cross-motions for summary judgment. In November 2010, the court denied both parties’ cross-motions for summary judgment but granted VOOM HD’s motion for sanctions based on DISH Network’s spoliation of evidence as well as its motion to exclude DISH Network’s principal damages expert. DISH Network appealed these latter two rulings. On January 31, 2012, the Appellate Division of the New York State Supreme Court issued a decision affirming (i) the trial court’s finding of spoliation and imposition of the sanction of an adverse inference at trial; and (ii) the trial court’s decision to exclude DISH Network’s damages expert. On February 6, 2012, DISH Network filed a motion seeking leave from the Appellate Division to appeal the order. On April 26, 2012, the Appellate Division denied DISH Network’s motion, thereby precluding any further appeal of the trial court rulings. The stay of the pending trial court proceedings was lifted on May 1, 2012. A trial before the New York State Supreme Court began on September 28, 2012. On October 21, 2012, VOOM HD and CSC Holdings, LLC ("CSC Holdings"), a wholly owned subsidiary of Cablevision, entered into a confidential settlement agreement and release (the “Settlement Agreement”) with DISH Network, and for certain limited purposes, MSG Holdings, L.P., The Madison Square Garden Company and EchoStar Corporation, to settle the litigation between VOOM HD and DISH Network. On October 24, 2012, VOOM HD and DISH Network filed a stipulation of discontinuance with prejudice</w:t>
      </w:r>
    </w:p>
    <w:p>
      <w:pPr>
        <w:sectPr>
          <w:pgSz w:w="11900" w:h="16838" w:orient="portrait"/>
          <w:cols w:equalWidth="0" w:num="1">
            <w:col w:w="11420"/>
          </w:cols>
          <w:pgMar w:left="240" w:top="125"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with the New York State Supreme Court with respect to the litigation.</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principal terms of the Settlement Agreement are as follows: 1) DISH Network paid $700 million to an account for the benefit of Cablevision and the Company, $80 million of which is in consideration for the purchase by DISH Network from a subsidiary of Cablevision of certain MVDDS spectrum licenses; 2) simultaneously with the execution of the Settlement Agreement, DISH Network entered into a long-term affiliation agreement with AMC Network Entertainment LLC, WE: Women's Entertainment LLC, The Independent Film Channel LLC, The Sundance Channel L.L.C. and Fuse Network LLC, a subsidiary of The Madison Square Garden Company, that provided for resumption of carriage of all of the Company's networks by no later than November 1, 2012; and 3) an affiliate of DISH Network agreed to convey its 20% membership interest in VOOM HD to Rainbow Programming Holdings LLC ("Rainbow Programming Holdings"), a wholly owned subsidiary of AMC Networks.</w:t>
      </w:r>
    </w:p>
    <w:p>
      <w:pPr>
        <w:spacing w:after="0" w:line="17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connection with the Distribution, AMC Networks and Rainbow Programming Holdings (collectively, the “AMC Parties”) and CSC Holdings entered into an agreement, pursuant to which, CSC Holdings had full control over the litigation with DISH Network and the decision with respect to settlement was made jointly by CSC Holdings and the AMC Parties. In addition, pursuant to this agreement CSC Holdings and the AMC Parties will share equally in the proceeds (including in the value of any non-cash consideration) of the settlement in the litigation with DISH Network. The AMC Parties were responsible for the legal fees and costs until such costs reached an agreed upon threshold, which occurred in the third quarter of 2012, subsequent to which CSC Holdings and the AMC Parties bear such fees and expenses equally. The allocation of the settlement proceeds between Cablevision and the AMC Parties is being determined pursuant to this existing agreement. Once the AMC Parties' share of the proceeds are determined, such amount will be allocated to the AMC Parties' related elements of the arrangement and will be recorded commencing in the fourth quarter of 2012.</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April 15, 2011, Thomas C. Dolan, a director of the Company and Executive Vice President, Strategy and Development, in the Office of the Chairman and a director of Cablevision, filed a lawsuit against Cablevision and RMH in New York Supreme Court. The lawsuit raises compensation-related claims (seeking approximately $11,000) related to events in 2005. The matter is being handled under the direction of an independent committee of the board of directors of Cablevision. In connection with the Distribution Agreement, Cablevision indemnified the Company and RMH against any liabilities and expenses related to this lawsuit. Based on the indemnification and Cablevision’s and the Company’s assessment of this possible loss contingency, no provision has been made for this matter in the consolidated financial statements.</w:t>
      </w:r>
    </w:p>
    <w:p>
      <w:pPr>
        <w:spacing w:after="0" w:line="19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addition to the matters discussed above, the Company is party to various lawsuits and claims in the ordinary course of business. Although the outcome of these other matters cannot be predicted with certainty and the impact of the final resolution of these other matters on the Company’s results of operations in a particular subsequent reporting period is not known,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and Long-Term Incentive Plans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connection with the Distribution, the Company adopted the AMC Networks Inc. 2011 Employee Stock Plan (the “2011 Employee Stock Plan”), the AMC Networks Inc. 2011 Stock Plan for Non-Employee Directors (the “2011 Non-Employee Director Plan”) and the AMC Networks Inc. 2011 Cash Incentive Plan (the “2011 Cash Incentive Plan”). All Plans were amended and restated and approved by the Company’s shareholders on June 5, 2012.</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15, 2012, AMC Networks granted 441,111 restricted share units to certain executive officers and employees under the 2011 Employee Stock Plan that vest on the third anniversary of the grant date. The vesting criteria for 97,915 of those restricted share units include the achievement of certain performance targets by the Company. Also in March 2012, AMC Networks granted three-year performance based awards to certain executive officers and employees under the 2011 Cash Incentive Plan.</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5, 2012, AMC Networks granted 30,393 restricted share units under the 2011 Non-Employee Director Plan to non-employee directors that vested on the date of grant.</w:t>
      </w:r>
    </w:p>
    <w:p>
      <w:pPr>
        <w:spacing w:after="0" w:line="17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Share-based compensation expense included in continuing operations, a component of selling, general and administrative expense, for the three and nine months ended September 30, 2012 was $4,362 and $12,846, respectively, related to equity classified awards. For the three and nine months ended September 30, 2011, share-based compensation expense was $4,320 and $12,663, respectively, related to equity classified awards. For the nine months ended September 30, 2012, there was no share-based compensation expense included in continuing operations for liability classified awards (stock appreciation rights). For the three and nine months ended September 30, 2011, there was $623 and $476, respectively, of share-based compensation credits included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continuing operations for liability classified awards. For periods prior to the Distribution, the Company’s share-based compensation expense includes amounts related to Company employees participating in the Cablevision equity awards programs, as well as amounts related to Cablevision corporate employees and non-employee directors to the extent allocated to the Company. For periods after the Distribution, the Company no longer receives an allocation of share-based compensation expense for Cablevision corporate employees and non-employee directors, including expense related to the Company’s Executive Chairman with respect to his participation in the Cablevision equity awards program (since he remained an executive officer of Cablevision).</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2012, there was $29,083 of total unrecognized share-based compensation cost related to Company employees who held unvested AMC Networks and Cablevision restricted shares/units. The unrecognized compensation cost is expected to be recognized over a weighted-average remaining period of approximately 2.0 years.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nine months ended September 30, 2012, 1,032,018 shares of AMC Networks Class A common stock previously issued to employees of Cablevision, MSG and the Company vested. In connection with the employees’ satisfaction of the statutory minimum tax withholding obligations for the applicable income and other employment taxes, 352,910 of these shares, with an aggregate value of $15,988, were surrendered to the Company. These acquired shares, as well as 93,919 forfeited unvested restricted shares, have been classified as treasury stock.</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Long-term incentive plan compensation expense included in continuing operations for the three and nine months ended September 30, 2012 was $2,987 and $8,057, respectively. For the three and nine months ended September 30, 2011, long-term incentive plan compensation expense was $2,166 and $9,451, respectively. Such amount is accrued for performance-based awards for which the performance criteria had not yet been met as the awards are based on achievement of certain performance criteria through December 31, 2014. The Company has accrued the pro-rata amount earned that it currently believes will ultimately be paid based upon the performance criteria established for these performance-based awards. If the Company subsequently determines that the performance criteria for the awards are not probable of being achieved, the Company would reverse the accrual in respect of the award at that time.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25" w:lineRule="exact"/>
        <w:rPr>
          <w:sz w:val="20"/>
          <w:szCs w:val="20"/>
          <w:color w:val="auto"/>
        </w:rPr>
      </w:pPr>
    </w:p>
    <w:p>
      <w:pPr>
        <w:ind w:firstLine="455"/>
        <w:spacing w:after="0" w:line="293"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w:t>
      </w:r>
    </w:p>
    <w:p>
      <w:pPr>
        <w:spacing w:after="0" w:line="270" w:lineRule="exact"/>
        <w:rPr>
          <w:sz w:val="20"/>
          <w:szCs w:val="20"/>
          <w:color w:val="auto"/>
        </w:rPr>
      </w:pPr>
    </w:p>
    <w:p>
      <w:pPr>
        <w:ind w:left="5680"/>
        <w:spacing w:after="0"/>
        <w:tabs>
          <w:tab w:leader="none" w:pos="7240" w:val="left"/>
          <w:tab w:leader="none" w:pos="8780" w:val="left"/>
          <w:tab w:leader="none" w:pos="10480" w:val="left"/>
        </w:tabs>
        <w:rPr>
          <w:sz w:val="20"/>
          <w:szCs w:val="20"/>
          <w:color w:val="auto"/>
        </w:rPr>
      </w:pPr>
      <w:r>
        <w:rPr>
          <w:rFonts w:ascii="Arial" w:cs="Arial" w:eastAsia="Arial" w:hAnsi="Arial"/>
          <w:sz w:val="14"/>
          <w:szCs w:val="14"/>
          <w:b w:val="1"/>
          <w:bCs w:val="1"/>
          <w:color w:val="auto"/>
        </w:rPr>
        <w:t>Level I</w:t>
      </w:r>
      <w:r>
        <w:rPr>
          <w:sz w:val="20"/>
          <w:szCs w:val="20"/>
          <w:color w:val="auto"/>
        </w:rPr>
        <w:tab/>
      </w:r>
      <w:r>
        <w:rPr>
          <w:rFonts w:ascii="Arial" w:cs="Arial" w:eastAsia="Arial" w:hAnsi="Arial"/>
          <w:sz w:val="14"/>
          <w:szCs w:val="14"/>
          <w:b w:val="1"/>
          <w:bCs w:val="1"/>
          <w:color w:val="auto"/>
        </w:rPr>
        <w:t>Level II</w:t>
      </w:r>
      <w:r>
        <w:rPr>
          <w:sz w:val="20"/>
          <w:szCs w:val="20"/>
          <w:color w:val="auto"/>
        </w:rPr>
        <w:tab/>
      </w:r>
      <w:r>
        <w:rPr>
          <w:rFonts w:ascii="Arial" w:cs="Arial" w:eastAsia="Arial" w:hAnsi="Arial"/>
          <w:sz w:val="14"/>
          <w:szCs w:val="14"/>
          <w:b w:val="1"/>
          <w:bCs w:val="1"/>
          <w:color w:val="auto"/>
        </w:rPr>
        <w:t>Level III</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At September 30, 2012:</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5140" w:val="left"/>
          <w:tab w:leader="none" w:pos="5920" w:val="left"/>
          <w:tab w:leader="none" w:pos="6760" w:val="left"/>
          <w:tab w:leader="none" w:pos="7920" w:val="left"/>
          <w:tab w:leader="none" w:pos="8340" w:val="left"/>
          <w:tab w:leader="none" w:pos="9500" w:val="left"/>
          <w:tab w:leader="none" w:pos="9920" w:val="left"/>
          <w:tab w:leader="none" w:pos="1068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5"/>
          <w:szCs w:val="25"/>
          <w:color w:val="auto"/>
          <w:vertAlign w:val="superscript"/>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287,100</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287,100</w:t>
      </w:r>
    </w:p>
    <w:p>
      <w:pPr>
        <w:ind w:left="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ind w:left="380"/>
        <w:spacing w:after="0"/>
        <w:tabs>
          <w:tab w:leader="none" w:pos="5140" w:val="left"/>
          <w:tab w:leader="none" w:pos="6340" w:val="left"/>
          <w:tab w:leader="none" w:pos="6760" w:val="left"/>
          <w:tab w:leader="none" w:pos="7600" w:val="left"/>
          <w:tab w:leader="none" w:pos="8340" w:val="left"/>
          <w:tab w:leader="none" w:pos="9500" w:val="left"/>
          <w:tab w:leader="none" w:pos="9920" w:val="left"/>
          <w:tab w:leader="none" w:pos="1078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24,429</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24,429</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6" w:lineRule="exact"/>
        <w:rPr>
          <w:sz w:val="20"/>
          <w:szCs w:val="20"/>
          <w:color w:val="auto"/>
        </w:rPr>
      </w:pPr>
    </w:p>
    <w:p>
      <w:pPr>
        <w:ind w:left="380"/>
        <w:spacing w:after="0"/>
        <w:tabs>
          <w:tab w:leader="none" w:pos="5140" w:val="left"/>
          <w:tab w:leader="none" w:pos="5920" w:val="left"/>
          <w:tab w:leader="none" w:pos="6760" w:val="left"/>
          <w:tab w:leader="none" w:pos="7920" w:val="left"/>
          <w:tab w:leader="none" w:pos="8340" w:val="left"/>
          <w:tab w:leader="none" w:pos="9500" w:val="left"/>
          <w:tab w:leader="none" w:pos="9920" w:val="left"/>
          <w:tab w:leader="none" w:pos="1068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5"/>
          <w:szCs w:val="25"/>
          <w:color w:val="auto"/>
          <w:vertAlign w:val="superscript"/>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202,276</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202,276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Liabilities:</w:t>
      </w:r>
    </w:p>
    <w:p>
      <w:pPr>
        <w:spacing w:after="0" w:line="47" w:lineRule="exact"/>
        <w:rPr>
          <w:sz w:val="20"/>
          <w:szCs w:val="20"/>
          <w:color w:val="auto"/>
        </w:rPr>
      </w:pPr>
    </w:p>
    <w:p>
      <w:pPr>
        <w:ind w:left="380"/>
        <w:spacing w:after="0"/>
        <w:tabs>
          <w:tab w:leader="none" w:pos="5140" w:val="left"/>
          <w:tab w:leader="none" w:pos="6340" w:val="left"/>
          <w:tab w:leader="none" w:pos="6760" w:val="left"/>
          <w:tab w:leader="none" w:pos="7600" w:val="left"/>
          <w:tab w:leader="none" w:pos="8340" w:val="left"/>
          <w:tab w:leader="none" w:pos="9500" w:val="left"/>
          <w:tab w:leader="none" w:pos="9920" w:val="left"/>
          <w:tab w:leader="none" w:pos="1078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19,091</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19,091</w:t>
      </w:r>
    </w:p>
    <w:p>
      <w:pPr>
        <w:spacing w:after="0" w:line="14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Company’s investment in money market funds.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cash equivalents are classified within Level I of the fair value hierarchy because they are valued using quoted market prices.</w:t>
      </w:r>
    </w:p>
    <w:p>
      <w:pPr>
        <w:spacing w:after="0" w:line="2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interest rate swap contracts are classified within Level II of the fair value hierarchy and their fair values are determined based on a market approach valuation technique that uses readily observable market parameters and the consideration of counterparty risk.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2012</w:t>
            </w:r>
          </w:p>
        </w:tc>
        <w:tc>
          <w:tcPr>
            <w:tcW w:w="1340" w:type="dxa"/>
            <w:vAlign w:val="bottom"/>
            <w:tcBorders>
              <w:bottom w:val="single" w:sz="8" w:color="auto"/>
            </w:tcBorders>
          </w:tcPr>
          <w:p>
            <w:pPr>
              <w:spacing w:after="0"/>
              <w:rPr>
                <w:sz w:val="16"/>
                <w:szCs w:val="16"/>
                <w:color w:val="auto"/>
              </w:rPr>
            </w:pPr>
          </w:p>
        </w:tc>
      </w:tr>
      <w:tr>
        <w:trPr>
          <w:trHeight w:val="152"/>
        </w:trPr>
        <w:tc>
          <w:tcPr>
            <w:tcW w:w="7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3"/>
                <w:szCs w:val="13"/>
                <w:color w:val="auto"/>
              </w:rPr>
            </w:pPr>
          </w:p>
        </w:tc>
        <w:tc>
          <w:tcPr>
            <w:tcW w:w="13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7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6"/>
                <w:szCs w:val="16"/>
                <w:color w:val="auto"/>
              </w:rPr>
            </w:pPr>
          </w:p>
        </w:tc>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Credit facility debt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1,502,479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1,495,866</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687,169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791,000</w:t>
            </w:r>
          </w:p>
        </w:tc>
      </w:tr>
      <w:tr>
        <w:trPr>
          <w:trHeight w:val="237"/>
        </w:trPr>
        <w:tc>
          <w:tcPr>
            <w:tcW w:w="74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2,189,648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2,286,866</w:t>
            </w:r>
          </w:p>
        </w:tc>
      </w:tr>
      <w:tr>
        <w:trPr>
          <w:trHeight w:val="27"/>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7"/>
        </w:trPr>
        <w:tc>
          <w:tcPr>
            <w:tcW w:w="74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2011</w:t>
            </w:r>
          </w:p>
        </w:tc>
        <w:tc>
          <w:tcPr>
            <w:tcW w:w="1340" w:type="dxa"/>
            <w:vAlign w:val="bottom"/>
            <w:tcBorders>
              <w:bottom w:val="single" w:sz="8" w:color="auto"/>
            </w:tcBorders>
          </w:tcPr>
          <w:p>
            <w:pPr>
              <w:spacing w:after="0"/>
              <w:rPr>
                <w:sz w:val="15"/>
                <w:szCs w:val="15"/>
                <w:color w:val="auto"/>
              </w:rPr>
            </w:pPr>
          </w:p>
        </w:tc>
      </w:tr>
      <w:tr>
        <w:trPr>
          <w:trHeight w:val="152"/>
        </w:trPr>
        <w:tc>
          <w:tcPr>
            <w:tcW w:w="7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3"/>
                <w:szCs w:val="13"/>
                <w:color w:val="auto"/>
              </w:rPr>
            </w:pPr>
          </w:p>
        </w:tc>
        <w:tc>
          <w:tcPr>
            <w:tcW w:w="13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7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6"/>
                <w:szCs w:val="16"/>
                <w:color w:val="auto"/>
              </w:rPr>
            </w:pPr>
          </w:p>
        </w:tc>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Credit facility debt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1,604,846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1,550,960</w:t>
            </w:r>
          </w:p>
        </w:tc>
      </w:tr>
      <w:tr>
        <w:trPr>
          <w:trHeight w:val="27"/>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686,434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761,250</w:t>
            </w:r>
          </w:p>
        </w:tc>
      </w:tr>
      <w:tr>
        <w:trPr>
          <w:trHeight w:val="237"/>
        </w:trPr>
        <w:tc>
          <w:tcPr>
            <w:tcW w:w="74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2,291,280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2,312,210</w:t>
            </w:r>
          </w:p>
        </w:tc>
      </w:tr>
      <w:tr>
        <w:trPr>
          <w:trHeight w:val="27"/>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Concentration of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 customers accounted for the following percentages of the Company’s revenues, net:</w:t>
      </w:r>
    </w:p>
    <w:p>
      <w:pPr>
        <w:spacing w:after="0" w:line="38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2011</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1</w:t>
            </w: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Customer 2</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21" w:lineRule="exact"/>
        <w:rPr>
          <w:sz w:val="20"/>
          <w:szCs w:val="20"/>
          <w:color w:val="auto"/>
        </w:rPr>
      </w:pPr>
    </w:p>
    <w:p>
      <w:pPr>
        <w:ind w:left="660" w:hanging="60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Failure to renew affiliation agreements with the Company’s largest customers, or renewal on less favorable terms, or the termination of those agreements could have a material adverse effect on the Company’s business. A reduced distribution of the Company’s programming networks would adversely affect the Company’s affiliation fee revenue, and impact the Company’s ability to sell advertising or the rates the Company charges for such advertising.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2012, Customer 2 represented 10% of the Company’s net trade receivable balances.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3% of the Company’s outstanding Class A Common Stock. Such shares of the Company’s Class A Common Stock and Class B Common Stock, collectively, represent approximately 67% of the aggregate voting power of the Company’s outstanding common stock. Members of the Dolan Family are also the controlling stockholders of both Cablevision and MSG.</w:t>
      </w:r>
    </w:p>
    <w:p>
      <w:pPr>
        <w:spacing w:after="0" w:line="18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the Distribution, the Company entered into various agreements with Cablevision, such as a distribution agreement, a tax disaffiliation agreement, a transition services agreement, an employee matters agreement and certain related party arrangements. These agreements govern certain of the Company’s relationships with Cablevision subsequent to the Distribution and provide for the allocation of employee benefits, taxes and certain other liabilities and obligations attributable to periods prior to the Distribution. These agreements also include arrangements with respect to transition services and a number of on-going commercial relationships. The distribution agreement includes an agreement that the Company and Cablevision agree to provide each other with indemnities with respect to liabilities arising out of the businesses Cablevision transferred to the Company.</w:t>
      </w:r>
    </w:p>
    <w:p>
      <w:pPr>
        <w:spacing w:after="0" w:line="17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provides services to and receives services from Cablevision and MSG. Until the Distribution date, the consolidated financial statements of the Company reflect the application of certain cost allocation policies of Cablevision. Management believes that these allocations were made on a reasonable basis. However, it is not practicable to determine whether the charged amounts represent amounts that might have been incurred on a stand-alone basis, including as a separate independent publicly owned company, as there are no company-specific or comparable industry benchmarks with which to make such estimates. Further, as many of these transactions are conducted between subsidiaries under common control of the Dolan Family, amounts charged for these services may not represent amounts that might have been received or incurred if the transactions were based upon arm’s-length negotiations. Through the Distribution date, the Company paid Cablevision a management fee pursuant to a consulting agreement between Cablevision and certain of the Company’s subsidiaries. The consulting agreement was terminated on the Distribution date and the Company did not replace it.</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records revenues, net from subsidiaries of Cablevision and MSG. Revenues, net from related parties amounted to $8,106 and $7,901 for the three months ended September 30, 2012 and 2011, respectively. Revenues, net from related parties amounted to $24,281 and $23,869 for the nine months ended September 30, 2012 and 2011, respectively.</w:t>
      </w:r>
    </w:p>
    <w:p>
      <w:pPr>
        <w:spacing w:after="0" w:line="18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the Company and its related parties routinely enter into transactions with each other in the ordinary course of business. Amounts charged to the Company, included in technical and operating expenses, pursuant to transactions with its related parties amounted to $155 and $1,292 for the three months ended September 30, 2012 and 2011, respectively, and $465 and $3,893 for the nine months ended September 30, 2012 and 2011, respectively. Amounts charged (credited) to the Company, included in selling, general and administrative expenses, pursuant to the transition services agreement and for other transactions, including management fees allocated by Cablevision for periods through the Distribution date, with its related parties amounted to $(1,174) and $3,184 for the three months ended September 30, 2012 and 2011, respectively, and $1,930 and $53,934 for the nine months ended September 30, 2012 and 2011, respectively. Amounts charged to the Company for the three and nine months ended September 30, 2012 are net of shared legal fees charged to Cablevision associated with the DISH Network Contract Dispute (see Note 7).</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Cash Flows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71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Continuing Operations: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Deemed capital (distribution) contribution related to the utilization of Cablevision tax losses (see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4)</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37,912</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5"/>
              </w:rPr>
              <w:t>Deemed capital (distribution) contribution, net related to adjustments to the liability for uncertain</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tax positions and net deferred tax assets as a result of the Distribution (see Note 4)</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44,508</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Capital distribution for the transfer of a promissory note receivable to Cablevision (see Promissory</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discussion below)</w:t>
            </w:r>
          </w:p>
        </w:tc>
        <w:tc>
          <w:tcPr>
            <w:tcW w:w="1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7"/>
              </w:rPr>
              <w:t>Deemed capital distribution to Cablevision related to employee benefit plans as a result of the</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Distribution (see Employee Matters Agreement discussion below)</w:t>
            </w:r>
          </w:p>
        </w:tc>
        <w:tc>
          <w:tcPr>
            <w:tcW w:w="1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Deemed capital distribution associated with the issuance of debt to Cablevision (see Issuance of</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to Cablevision discussion below)</w:t>
            </w:r>
          </w:p>
        </w:tc>
        <w:tc>
          <w:tcPr>
            <w:tcW w:w="1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6"/>
              </w:rPr>
              <w:t>Deemed capital contribution related to the allocation of Cablevision share-based compensation</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expense</w:t>
            </w:r>
          </w:p>
        </w:tc>
        <w:tc>
          <w:tcPr>
            <w:tcW w:w="1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8,343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 paid by landlord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Increase in capital lease obligations and related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Data:</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Cash interest paid — continuing operations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64,300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Income taxes paid, net — continuing operations (see Income Taxes Paid, Net discussion below)</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8,289</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September 2009, RMH and one of its subsidiaries that was transferred by the Company to Cablevision on December 31, 2010 agreed to the terms of a promissory note having an initial principal amount of $0 and increasing from time to time by advances made by RMH, with an interest rate of 8.625%. Interest income recognized by RMH related to this note amounted to $0 and $120 for the three and nine months ended September 30, 2011, respectively. On January 31, 2011, RMH distributed to a subsidiary of Cablevision all of its rights, title and interest in and to the promissory note. This distribution, which amounted to $17,113, including principal and accrued and unpaid interest, is reflected as a non-cash capital distribution for the nine months ended September 30,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connection with the Distribution, AMC Networks entered into an Employee Matters Agreement with Cablevision which allocated assets, liabilities and responsibilities with respect to certain employee compensation and benefit plans and programs and certain other related matters. As a result of such agreement, as of June 30, 2011, AMC Networks recorded a net receivable from Cablevision of $876, an increase in accrued employee related costs of $7,478 and a capital distribution of $6,602 which decreased additional paid-in capital for the transfer to the Company from Cablevision of the obligations related to the Company’s employees’ participant accounts in the Cablevision Excess Savings Plan $(3,616) and the Cablevision Excess Cash Balance Pension Plan $(3,862) and for the Company’s obligation to Cablevision for the $6,193 unfunded liability associated with Company employee participants in Cablevision’s Cash Balance Pension Plan. In addition, the Company reduced its long-term incentive plan and stock appreciation rights liabilities and increased amounts due to related parties by $6,742 for its obligation to pay Cablevision for its allocated share of the related expense for Cablevision corporate employees through June 30, 2011. As of December 31, 2011, these related party balances were settled.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Debt to Cablevision</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connection with the Distribution, as partial consideration for Cablevision’s contribution of the membership interests in RMH to the Company, $1,250,000, net of discount, of AMC Networks debt was issued to CSC Holdings, which was reflected as a deemed capital distribution in the consolidated statement of stockholders’ deficiency for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Paid, Net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taxes paid, net increased by $11,603 primarily due to federal estimated tax payments during the nine months ended September 30, 2012, which were based on annualized taxable income after utilization of NOLs.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discussed in Note 1, the Company classifies its operations into two reportable segments: National Networks, and International and Other. These reportable segments are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to the Company’s two reportable segments based upon their proportionate estimated usage of services, including such costs as executive salaries and benefits, costs of maintaining corporate headquarters, facilities and common support functions (such as human resources, legal, finance, tax, accounting, audit, treasury, risk management, strategic planning and information technology) as well as sales support functions and creative and production services.</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evaluates segment performance based on several factors, of which the primary financial measure is business segment adjusted operating cash flow (defined as operating income (loss) before depreciation and amortization, share-based compensation expense or benefit and restructuring expense or credit), a non-GAAP measure. The Company has presented the components that reconcile adjusted operating cash flow to operating income, an accepted GAAP measure. Information as to the continuing operations of the Company’s reportable segments is set forth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 2012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107,453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107,458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Affiliation fee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198,775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224,598</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306,228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332,056</w:t>
            </w:r>
          </w:p>
        </w:tc>
      </w:tr>
      <w:tr>
        <w:trPr>
          <w:trHeight w:val="67"/>
        </w:trPr>
        <w:tc>
          <w:tcPr>
            <w:tcW w:w="4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cash flow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109,589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(18,368)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98,528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86,859</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4"/>
        </w:trPr>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 2011</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98,482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98,487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Affiliation fee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185,427</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258,347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283,914</w:t>
            </w:r>
          </w:p>
        </w:tc>
      </w:tr>
      <w:tr>
        <w:trPr>
          <w:trHeight w:val="67"/>
        </w:trPr>
        <w:tc>
          <w:tcPr>
            <w:tcW w:w="4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cash flow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122,962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(25,012)</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Restructuring credit</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191</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94,444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 2012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366,218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366,233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Affiliation fee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619,632</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915,635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985,865</w:t>
            </w:r>
          </w:p>
        </w:tc>
      </w:tr>
      <w:tr>
        <w:trPr>
          <w:trHeight w:val="67"/>
        </w:trPr>
        <w:tc>
          <w:tcPr>
            <w:tcW w:w="4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cash flow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385,435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362,503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(67,486)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Restructuring credit</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319,043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282,174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6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9,402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13,673</w:t>
            </w:r>
          </w:p>
        </w:tc>
      </w:tr>
      <w:tr>
        <w:trPr>
          <w:trHeight w:val="251"/>
        </w:trPr>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 2011</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312,318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312,333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Affiliation fee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464,602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536,449</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776,920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86,327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848,782</w:t>
            </w:r>
          </w:p>
        </w:tc>
      </w:tr>
      <w:tr>
        <w:trPr>
          <w:trHeight w:val="67"/>
        </w:trPr>
        <w:tc>
          <w:tcPr>
            <w:tcW w:w="4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cash flow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346,476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334,541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(75,197)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Restructuring credit</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240</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247,397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6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7,129</w:t>
            </w: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Inter-segment eliminations are primarily revenues recognized by the International and Other segment for transmission revenues recognized by AMC Networks Broadcasting &amp; Technology and the licensing of its program rights by the national programming networks.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26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4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r>
      <w:tr>
        <w:trPr>
          <w:trHeight w:val="33"/>
        </w:trPr>
        <w:tc>
          <w:tcPr>
            <w:tcW w:w="4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4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(14,085)</w:t>
            </w:r>
          </w:p>
        </w:tc>
      </w:tr>
      <w:tr>
        <w:trPr>
          <w:trHeight w:val="237"/>
        </w:trPr>
        <w:tc>
          <w:tcPr>
            <w:tcW w:w="4500" w:type="dxa"/>
            <w:vAlign w:val="bottom"/>
          </w:tcPr>
          <w:p>
            <w:pPr>
              <w:spacing w:after="0"/>
              <w:rPr>
                <w:sz w:val="20"/>
                <w:szCs w:val="20"/>
                <w:color w:val="auto"/>
              </w:rPr>
            </w:pPr>
          </w:p>
        </w:tc>
        <w:tc>
          <w:tcPr>
            <w:tcW w:w="94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(14,465)</w:t>
            </w:r>
          </w:p>
        </w:tc>
      </w:tr>
      <w:tr>
        <w:trPr>
          <w:trHeight w:val="27"/>
        </w:trPr>
        <w:tc>
          <w:tcPr>
            <w:tcW w:w="4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Substantially all revenues and assets of the Company are attributed to or located in the U.S.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6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new programming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advertising inventory;</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programming among cable and other multichannel video programming distribution platforms, including direct broadcast satellite (“DBS”) and platforms operated by telecommunications providers (we refer collectively to these cable and other multichannel video programming distributors as “multichannel video programming distributors” or “distributors”) and our ability to maintain and renew affiliation agreements with multichannel video programming distributors;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 of, and our ability to obtain or produce, desirable programming content for our networks and film distribution businesses;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demand for our services internationally and for our film distribution business, and our ability to profitably provide those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highly competitive nature of the cable programming industry;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both domestic and foreign laws or regulations under which we operate;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outcome of litigation and other proceedings, including the matters described in the notes to our consolidated financial statements;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in the areas in which we operate;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community and rating agency perceptions of our business, operations, financial condition and the industry in which we operate, and the additional factors described herein;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allocation of the proceeds from the settlement of the litigation with DISH Network, as described in Note 7, Commitments and Contingencies in the unaudited consolidated financial statements included elsewhere herein;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2011 Annual Report on Form 10-K (the “2011 Form 10-K”), as filed with the Securities and Exchange Commission (“SEC”).</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All dollar amounts and subscriber data included in the following Management’s Discussion and Analysis of Financial Condition and Results of Operations are presented in thousands.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consolidated financial statements and notes thereto included elsewhere herein and our 2011 Form 10-K to enhance the understanding of our financial condition, changes in financial condition and results of our operations. Unless the context otherwise requires, all references to “we,” “us,” “our,” “AMC Networks” or the “Company” refer to AMC Networks Inc., together with its direct and indirect subsidiaries. Our MD&amp;A is organized as follows:</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as well as other matters that we believe are important in understanding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provides an analysis of our results of operations for the three and nine months ended September 30, 2012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and nine months ended September 30, 2011. Our discussion is presented on both a consolidated and segment basis. Our two segments are: (i) National Networks and (ii) International and Other.</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September 30, 2012,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nine months ended September 30, 2012 and 2011. The discussion of our financial condition and liquidity includes summaries of (i) our primary sources of liquidity and (ii) our off-balance sheet arrangements that existed at September 30, 2012 and December 31, 2011.</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Critical Accounting Policies</w:t>
      </w:r>
      <w:r>
        <w:rPr>
          <w:rFonts w:ascii="Arial" w:cs="Arial" w:eastAsia="Arial" w:hAnsi="Arial"/>
          <w:sz w:val="18"/>
          <w:szCs w:val="18"/>
          <w:color w:val="auto"/>
        </w:rPr>
        <w:t>. This section provides an update to, and should be read in conjunction with, the critical accounting policies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 our 2011 Form 10-K under “Item 7- Management's Discussion and Analysis of Financial Condition and Results of Operations.” Specifically, our goodwill and identifiable indefinite-lived intangible assets policy is updated in order to provide the results of our annual impairment testing performed as of the end of February 2012. In addition, our program rights policy is updated to provide additional clarification regarding the role this policy has in understanding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reportable segments:</w:t>
      </w:r>
    </w:p>
    <w:p>
      <w:pPr>
        <w:spacing w:after="0" w:line="225" w:lineRule="exact"/>
        <w:rPr>
          <w:sz w:val="20"/>
          <w:szCs w:val="20"/>
          <w:color w:val="auto"/>
        </w:rPr>
      </w:pPr>
    </w:p>
    <w:p>
      <w:pPr>
        <w:ind w:left="1300" w:hanging="644"/>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four nationally distributed programming networks: AMC, WE tv, IFC and Sundance Channel. These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programming networks are distributed throughout the United States (“U.S.”) via multichannel video programming distributors;</w:t>
      </w:r>
    </w:p>
    <w:p>
      <w:pPr>
        <w:spacing w:after="0" w:line="146"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and Other: </w:t>
      </w:r>
      <w:r>
        <w:rPr>
          <w:rFonts w:ascii="Arial" w:cs="Arial" w:eastAsia="Arial" w:hAnsi="Arial"/>
          <w:sz w:val="18"/>
          <w:szCs w:val="18"/>
          <w:color w:val="auto"/>
        </w:rPr>
        <w:t>Principally includes AMC/Sundance Channel Global, our international programming business; IFC Films,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film distribution business; and AMC Networks Broadcasting &amp; Technology, our network technical services business, which primarily services the programming networks of the Company. AMC and Sundance Channel are distributed in Canada and Sundance Channel and WE tv are distributed in other countries throughout Europe and Asia. The International and Other reportable segment also includes VOOM HD, which we are winding down, and which continues to sell certain limited amounts of programming through program license agreements.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cash flow (“AOCF”), defined below, for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9"/>
        </w:trPr>
        <w:tc>
          <w:tcPr>
            <w:tcW w:w="468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Revenues, net</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68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306,228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258,347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915,635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776,920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86,327</w:t>
            </w:r>
          </w:p>
        </w:tc>
        <w:tc>
          <w:tcPr>
            <w:tcW w:w="0" w:type="dxa"/>
            <w:vAlign w:val="bottom"/>
          </w:tcPr>
          <w:p>
            <w:pPr>
              <w:spacing w:after="0"/>
              <w:rPr>
                <w:sz w:val="1"/>
                <w:szCs w:val="1"/>
                <w:color w:val="auto"/>
              </w:rPr>
            </w:pPr>
          </w:p>
        </w:tc>
      </w:tr>
      <w:tr>
        <w:trPr>
          <w:trHeight w:val="243"/>
        </w:trPr>
        <w:tc>
          <w:tcPr>
            <w:tcW w:w="468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985,865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848,782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272,133</w:t>
            </w:r>
          </w:p>
        </w:tc>
        <w:tc>
          <w:tcPr>
            <w:tcW w:w="0" w:type="dxa"/>
            <w:vAlign w:val="bottom"/>
          </w:tcPr>
          <w:p>
            <w:pPr>
              <w:spacing w:after="0"/>
              <w:rPr>
                <w:sz w:val="1"/>
                <w:szCs w:val="1"/>
                <w:color w:val="auto"/>
              </w:rPr>
            </w:pPr>
          </w:p>
        </w:tc>
      </w:tr>
      <w:tr>
        <w:trPr>
          <w:trHeight w:val="243"/>
        </w:trPr>
        <w:tc>
          <w:tcPr>
            <w:tcW w:w="468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4680" w:type="dxa"/>
            <w:vAlign w:val="bottom"/>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86,859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94,444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282,174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247,397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68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AOCF (deficit)</w:t>
            </w: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8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68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116,440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123,228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385,435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346,476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43"/>
        </w:trPr>
        <w:tc>
          <w:tcPr>
            <w:tcW w:w="468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AOCF</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362,503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334,541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business segment AOCF. We define AOCF, which is not a generally accepted accounting principles (“GAAP”) financial measure, as operating income (loss) before depreciation and amortization, share-based compensation expense or benefit and restructuring expense or credit.</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AOCF is an appropriate measure for evaluating the operating performance on both a business segment and consolidated basis. AOCF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AOCF measures as the most important indicators of our business performance, and evaluate management’s effectiveness with specific reference to these indicators. AOCF should be viewed as a supplement to and not a substitute for operating income (loss), net income (loss), cash flows from operating activities and other measures of performance and/or liquidity presented in accordance with GAAP. Since AOCF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AOCF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282,174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12,846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12,187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18,368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25,012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67,486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75,197</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AOCF</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109,589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362,503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334,541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our National Networks segment, which accounted for 93% of our consolidated revenues for the nine months ended September 30, 2012, we earn revenues in two principal ways. First, we receive distribution revenue from affiliation fees paid by distributors. These revenues are generally based on a per subscriber fee under multi-year contracts, commonly referred to as “affiliation agreements,” which generally provide for annual affiliation rate increases. The specific affiliation fee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affiliation fee revenues we earn are a fixed contractual monthly fee, which could be adjusted for acquisitions and dispositions of multichannel video programming systems by the distributor. Other sources of revenue are primarily derived from the licensing of original programming for distribution, including digital, foreign and home video distribution.</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Advertising is our second principal source of revenues. Under our affiliation agreements with our distributors, we have the right to sell a specified amount of national advertising time on certain of our programming networks. Our advertising revenues are more variable than affiliation fee revenues because virtually all of our advertising is sold on a short-term basis, not under long-term contracts. Our advertising arrangements with advertisers provide for a set number of advertising units to air over a specific period of time at a negotiated price per unit. In certain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time, the guarantee obligation contractually expires or performance requirements become remote. Most of our advertising revenues vary based upon the popularity of our programming as measured by Nielsen Media Research (“Nielsen”). As of September 30, 2012, our national programming networks had approximately 1,000 advertisers representing companies in a broad range of sectors, including the health, insurance, food, automotive and retail industries. Our AMC, WE tv and IFC programming networks use a traditional advertising sales model, while Sundance Channel principally sells sponsorships. Prior to December 2010, IFC principally sold sponsorships.</w:t>
      </w:r>
    </w:p>
    <w:p>
      <w:pPr>
        <w:spacing w:after="0" w:line="180"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Changes in revenue are primarily derived from changes in contractual affiliation rates charged for our services, changes in the number of subscribers, changes in the prices and level of advertising on our networks and changes in the revenue earned from the distribution of our original programming. We seek to grow our revenues by increasing the number of viewing subscribers of the distributors that carry our services. We refer to this as our “penetration.” AMC, which is widely distributed, has a more limited ability to increase its penetration than WE tv, IFC and Sundance Channel. WE tv, IFC and Sundance Channel, although carried by substantially all of the larger distributors, have higher growth opportunities due to their current penetration levels with those distributors. IFC and Sundance Channel are currently carried primarily on digital tiers, while WE tv is carried on either analog expanded basic or digital tiers. Therefore, WE tv, IFC and Sundance Channel penetration rates may increase if distributors are successful in converting their analog subscribers to digital tiers of service that include those networks. Our revenues may also increase over time through contractual rate increases stipulated in most of our affiliation agreements. In negotiating for increased or extended carriage, we have in some instances made upfront payments in exchange for additional subscribers or extended carriage, which we record as deferred carriage fees and which are amortized as a reduction to revenue over the period of the related affiliation agreements, or agreed to waive for a specified period or accept lower per subscriber fees if certain additional subscribers are provided. We also may help fund the distributors’ efforts to market our channels. We believe that these transactions generate a positive return on investment over the contract period. We seek to increase our advertising revenues by increasing the number of minutes of national advertising sold and by increasing the rates we charge for such advertising, but, ultimately, the level of our advertising revenues, in most cases, is directly related to the overall distribution of our programming, penetration of our services and the popularity (including within desirable demographic groups) of our services as measured by Nielsen. Other revenues vary based on the timing of availability of our programming to distributors.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including the amortization and impairments of programming rights, such as those for original programming, feature films and licensed series, included in technical and operating expense, represents the largest expense of the National Networks segment. The other components of technical and operating expense primarily include participation and residual costs, distribution and production related costs and program operating costs, such as origination, transmission, uplinking and encryption.</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from programming services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an increasing extent, the success of our business depends on original programming, both scripted and unscripted, across all of our networks. In recent years, we have introduced a number of scripted original series, primarily on AMC, the majority of which have been critically acclaimed, award winning and commercially successful. These successful series have resulted in higher audience ratings for our networks. Historically, in periods when we air original programming, our ratings have increased. During 2012, AMC aired five scripted original series. This resulted in higher audience ratings for AMC. Among other things, higher audience ratings drive increased revenues particularly through higher advertising revenues. The timing of exhibition and distribution of original programming varies from period to period, which results in greater variability in our revenues, earnings and cash flows from operating activities.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Scripted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 — Critical Accounting Policies and Estimates” for a discussion of the amortization and write-off of program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DISH Network</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Effective May 20, 2012 with regard to Sundance Channel and July 1, 2012 with regard to AMC, WE tv and IFC, DISH Network L.L.C. (“DISH Network”) terminated carriage of our national networks. At the time of the termination, DISH Network's termination reduced the Company's total subscribers under affiliation agreements by approximately 13%. This termination had a material impact on revenues, net for the three months ended September 30, 2012; however, it did not have a material impact on revenues, net for the nine months ended September 30, 2012. Additionally, the termination had a material impact on the Company's and the National Network's AOCF and operating income for both the three and nine months ended September 30, 2012.</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21, 2012, DISH Network, VOOM HD, and Cablevision entered into a confidential settlement agreement and release (the “Settlement Agreement”) to settle litigation between VOOM HD and DISH Network involving various claims arising out of a joint venture between the parties. See Note 7, Commitments and Contingencies in the unaudited consolidated financial statements included elsewhere herein for a description of the principal terms of this settlement agreement. Simultaneously with the execution of the Settlement Agreement, DISH Network entered into a long-term affiliation agreement with AMC Network Entertainment LLC, WE: Women's Entertainment LLC, The Independent Film Channel LLC, The Sundance Channel L.L.C. and Fuse Network LLC, a subsidiary of The Madison Square Garden Company that provided for resumption of carriage of all the networks by no later than November 1, 2012.</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Cablevision and the Company entered into an agreement which provides that Cablevision and the Company will share equally in the proceeds (including in the value of any non-cash consideration) of any settlement of the litigation with DISH Network. As such, the allocation between Cablevision and the Company of the proceeds from the settlement will be determined pursuant to this agreement.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International and Other segment primarily includes the operations of AMC/Sundance Channel Global, IFC Films, AMC Networks Broadcasting &amp; Technology and VOOM HD.</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VOOM HD historically offered a suite of channels, produced exclusively in high definition (“HD”) and marketed for distribution to DBS and other multichannel video programming distributors. VOOM was available in the U.S. only on the cable television systems of Cablevision Systems Corporation (Cablevision Systems Corporation and its subsidiaries are referred to as “Cablevision”) and on the satellite delivered programming of DISH Network. VOOM HD, which we are winding down, continues to sell certain limited amounts of programming through program license agreements. See also Note 7, Commitments and Contingencies in the unaudited consolidated financial statements included elsewhere herein.</w:t>
      </w:r>
    </w:p>
    <w:p>
      <w:pPr>
        <w:spacing w:after="0" w:line="17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Although we view our international expansion as an important long-term strategy, our international operations are currently expected to represent only a small percentage of our projected overall financial results over the next five years. However, international expansion could provide a benefit to our financial results if we are able to grow this portion of our business faster than expected. Similar to our domestic businesses, the most significant business challenges we expect to encounter in our international business include programming competition (from both foreign and domestic programmers), limited channel capacity on distributors’ platforms, the growth of subscribers on those platforms and economic pressures on affiliation fees. Other significant business challenges unique to international expansion include increased programming costs for international rights and translation (i.e., dubbing and subtitling), a lack of availability of international rights for a portion of our domestic programming content, increased distribution costs for cable, satellite or fiber feeds and a limited physical presence in each territory.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Spin-off from Cablevision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June 30, 2011, Cablevision spun-off the Company (the “Distribution”) and we became an independent public company. In connection with the Distribution, Cablevision contributed all of the membership interests of Rainbow Media Holdings LLC (“RMH”) to us. Both Cablevision and the Company continue to be controlled by the Dolan family.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historical results of operations reflected in our consolidated financial statements, for periods prior to the Distribution, include management fee charges and the allocation of expenses related to certain corporate functions historically provided by Cablevision. Our results of operations after the Distribution reflect certain revenues and expenses related to transactions with or charges from related parties as described in Note 11 in the unaudited consolidated financial statements included elsewhere herein. As a separate, stand-alone public company, we have expanded our financial, administrative and other staff to support the related new requirements. In addition, we continue to add staff and are adding systems to replace some of the functions previously provided by Cablevision. However, our corporate operating costs as a separate company subsequent to the Distribution, including those associated with being a publicly-traded company, through September 30, 2012 have been, and are expected to continue to be, lower than the historical allocation of expenses related to certain corporate functions (including management fee charges). Pursuant to a consulting agreement with Cablevision, until the Distribution date, the Company paid a management fee calculated based on</w:t>
      </w:r>
    </w:p>
    <w:p>
      <w:pPr>
        <w:sectPr>
          <w:pgSz w:w="11900" w:h="16838" w:orient="portrait"/>
          <w:cols w:equalWidth="0" w:num="1">
            <w:col w:w="11420"/>
          </w:cols>
          <w:pgMar w:left="240" w:top="125"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subsidiaries gross revenues (as defined under the terms of the consulting agreement) on a monthly basis. We terminated the consulting agreement on the Distribution date and did not replace it.</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allocate corporate overhead to each segment based upon their proportionate estimated usage of services. The segment financial information set forth below, including the discussion related to individual line items, does not reflect inter-segment eliminations unless specifically indicated.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Cautionary Note Concerning Historical Financial Statements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noted above, our consolidated financial statements for periods prior to the Distribution have been derived from the consolidated financial statements and accounting records of Cablevision and reflect certain assumptions and allocations. Our results of operations and cash flows could differ from those that might have resulted had we operated autonomously or as an entity independent of Cablevision.</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capital structure after the Distribution is different from the capital structure presented in the historical consolidated financial statements for periods prior to the Distribution and, accordingly, our interest expense in periods after June 30, 2011 as a separate independent entity is, and we expect will continue to be, materially higher than the interest expense reflected in our historical consolidated financial statements in periods prior to June 30, 2011.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Impact of Economic Conditions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Additional capital and credit market disruptions could cause economic downturns, which may lead to lower demand for our products, such as lower demand for television advertising and a decrease in the number of subscribers receiving our programming networks from our distributors. We have experienced some of the effects of the recent economic downturn. Continuation of events such as these may adversely impact our results of operations, cash flows and financial position.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Compared to Three Months Ended September 30, 2011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09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05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2"/>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40" w:type="dxa"/>
            <w:vAlign w:val="bottom"/>
          </w:tcPr>
          <w:p>
            <w:pPr>
              <w:spacing w:after="0"/>
              <w:rPr>
                <w:sz w:val="12"/>
                <w:szCs w:val="12"/>
                <w:color w:val="auto"/>
              </w:rPr>
            </w:pPr>
          </w:p>
        </w:tc>
        <w:tc>
          <w:tcPr>
            <w:tcW w:w="10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332,056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283,914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48,142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3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129,627</w:t>
            </w:r>
          </w:p>
        </w:tc>
        <w:tc>
          <w:tcPr>
            <w:tcW w:w="148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96,420</w:t>
            </w:r>
          </w:p>
        </w:tc>
        <w:tc>
          <w:tcPr>
            <w:tcW w:w="1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33,207</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97,202</w:t>
            </w:r>
          </w:p>
        </w:tc>
        <w:tc>
          <w:tcPr>
            <w:tcW w:w="1480" w:type="dxa"/>
            <w:vAlign w:val="bottom"/>
            <w:gridSpan w:val="3"/>
          </w:tcPr>
          <w:p>
            <w:pPr>
              <w:jc w:val="right"/>
              <w:ind w:right="13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68,229</w:t>
            </w:r>
          </w:p>
        </w:tc>
        <w:tc>
          <w:tcPr>
            <w:tcW w:w="1440" w:type="dxa"/>
            <w:vAlign w:val="bottom"/>
            <w:gridSpan w:val="2"/>
          </w:tcPr>
          <w:p>
            <w:pPr>
              <w:jc w:val="right"/>
              <w:ind w:right="15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28,973</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18,368</w:t>
            </w:r>
          </w:p>
        </w:tc>
        <w:tc>
          <w:tcPr>
            <w:tcW w:w="1480" w:type="dxa"/>
            <w:vAlign w:val="bottom"/>
            <w:gridSpan w:val="3"/>
          </w:tcPr>
          <w:p>
            <w:pPr>
              <w:jc w:val="right"/>
              <w:ind w:right="138"/>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25,012</w:t>
            </w:r>
          </w:p>
        </w:tc>
        <w:tc>
          <w:tcPr>
            <w:tcW w:w="1440" w:type="dxa"/>
            <w:vAlign w:val="bottom"/>
            <w:gridSpan w:val="2"/>
          </w:tcPr>
          <w:p>
            <w:pPr>
              <w:jc w:val="right"/>
              <w:ind w:right="15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(6,644)</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245,197</w:t>
            </w:r>
          </w:p>
        </w:tc>
        <w:tc>
          <w:tcPr>
            <w:tcW w:w="148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189,470</w:t>
            </w:r>
          </w:p>
        </w:tc>
        <w:tc>
          <w:tcPr>
            <w:tcW w:w="1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55,727</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86,859</w:t>
            </w:r>
          </w:p>
        </w:tc>
        <w:tc>
          <w:tcPr>
            <w:tcW w:w="40" w:type="dxa"/>
            <w:vAlign w:val="bottom"/>
            <w:tcBorders>
              <w:top w:val="single" w:sz="8" w:color="auto"/>
            </w:tcBorders>
          </w:tcPr>
          <w:p>
            <w:pPr>
              <w:spacing w:after="0"/>
              <w:rPr>
                <w:sz w:val="20"/>
                <w:szCs w:val="20"/>
                <w:color w:val="auto"/>
              </w:rPr>
            </w:pPr>
          </w:p>
        </w:tc>
        <w:tc>
          <w:tcPr>
            <w:tcW w:w="1440" w:type="dxa"/>
            <w:vAlign w:val="bottom"/>
            <w:gridSpan w:val="2"/>
          </w:tcPr>
          <w:p>
            <w:pPr>
              <w:jc w:val="right"/>
              <w:ind w:right="13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94,444</w:t>
            </w:r>
          </w:p>
        </w:tc>
        <w:tc>
          <w:tcPr>
            <w:tcW w:w="1440" w:type="dxa"/>
            <w:vAlign w:val="bottom"/>
            <w:gridSpan w:val="2"/>
          </w:tcPr>
          <w:p>
            <w:pPr>
              <w:jc w:val="right"/>
              <w:ind w:right="15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(29,862)</w:t>
            </w:r>
          </w:p>
        </w:tc>
        <w:tc>
          <w:tcPr>
            <w:tcW w:w="1480" w:type="dxa"/>
            <w:vAlign w:val="bottom"/>
            <w:gridSpan w:val="3"/>
          </w:tcPr>
          <w:p>
            <w:pPr>
              <w:jc w:val="right"/>
              <w:ind w:right="7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(31,471)</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1,609</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328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(30,195)</w:t>
            </w:r>
          </w:p>
        </w:tc>
        <w:tc>
          <w:tcPr>
            <w:tcW w:w="40" w:type="dxa"/>
            <w:vAlign w:val="bottom"/>
            <w:tcBorders>
              <w:top w:val="single" w:sz="8" w:color="auto"/>
            </w:tcBorders>
          </w:tcPr>
          <w:p>
            <w:pPr>
              <w:spacing w:after="0"/>
              <w:rPr>
                <w:sz w:val="20"/>
                <w:szCs w:val="20"/>
                <w:color w:val="auto"/>
              </w:rPr>
            </w:pPr>
          </w:p>
        </w:tc>
        <w:tc>
          <w:tcPr>
            <w:tcW w:w="1440" w:type="dxa"/>
            <w:vAlign w:val="bottom"/>
            <w:gridSpan w:val="2"/>
          </w:tcPr>
          <w:p>
            <w:pPr>
              <w:jc w:val="right"/>
              <w:ind w:right="7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(31,687)</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1,492</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from continuing operations before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56,664</w:t>
            </w:r>
          </w:p>
        </w:tc>
        <w:tc>
          <w:tcPr>
            <w:tcW w:w="148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62,757</w:t>
            </w:r>
          </w:p>
        </w:tc>
        <w:tc>
          <w:tcPr>
            <w:tcW w:w="1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(20,121)</w:t>
            </w:r>
          </w:p>
        </w:tc>
        <w:tc>
          <w:tcPr>
            <w:tcW w:w="1480" w:type="dxa"/>
            <w:vAlign w:val="bottom"/>
            <w:gridSpan w:val="3"/>
          </w:tcPr>
          <w:p>
            <w:pPr>
              <w:jc w:val="right"/>
              <w:ind w:right="78"/>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(22,440)</w:t>
            </w:r>
          </w:p>
        </w:tc>
        <w:tc>
          <w:tcPr>
            <w:tcW w:w="1440" w:type="dxa"/>
            <w:vAlign w:val="bottom"/>
            <w:gridSpan w:val="2"/>
          </w:tcPr>
          <w:p>
            <w:pPr>
              <w:jc w:val="right"/>
              <w:ind w:right="9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2,319</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36,543</w:t>
            </w:r>
          </w:p>
        </w:tc>
        <w:tc>
          <w:tcPr>
            <w:tcW w:w="148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40,317</w:t>
            </w:r>
          </w:p>
        </w:tc>
        <w:tc>
          <w:tcPr>
            <w:tcW w:w="14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w w:val="92"/>
              </w:rPr>
              <w:t>Income (loss) from discontinued operations,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net of income taxes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40,003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AOCF:</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665</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18</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7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(6,644)</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(27)</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AOCF</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109,589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122,962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5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National Networks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gridSpan w:val="2"/>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306,228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258,347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47,881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115,366</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82,159</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33,207</w:t>
            </w:r>
          </w:p>
        </w:tc>
        <w:tc>
          <w:tcPr>
            <w:tcW w:w="1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77,885</w:t>
            </w:r>
          </w:p>
        </w:tc>
        <w:tc>
          <w:tcPr>
            <w:tcW w:w="1380" w:type="dxa"/>
            <w:vAlign w:val="bottom"/>
            <w:gridSpan w:val="3"/>
          </w:tcPr>
          <w:p>
            <w:pPr>
              <w:jc w:val="right"/>
              <w:ind w:right="12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56,013</w:t>
            </w:r>
          </w:p>
        </w:tc>
        <w:tc>
          <w:tcPr>
            <w:tcW w:w="1360" w:type="dxa"/>
            <w:vAlign w:val="bottom"/>
            <w:gridSpan w:val="3"/>
          </w:tcPr>
          <w:p>
            <w:pPr>
              <w:jc w:val="right"/>
              <w:ind w:right="10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21,872</w:t>
            </w:r>
          </w:p>
        </w:tc>
        <w:tc>
          <w:tcPr>
            <w:tcW w:w="1440" w:type="dxa"/>
            <w:vAlign w:val="bottom"/>
            <w:gridSpan w:val="2"/>
          </w:tcPr>
          <w:p>
            <w:pPr>
              <w:jc w:val="right"/>
              <w:ind w:right="13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14,449</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4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37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98,528</w:t>
            </w:r>
          </w:p>
        </w:tc>
        <w:tc>
          <w:tcPr>
            <w:tcW w:w="60" w:type="dxa"/>
            <w:vAlign w:val="bottom"/>
            <w:tcBorders>
              <w:top w:val="single" w:sz="8" w:color="auto"/>
              <w:bottom w:val="single" w:sz="8" w:color="auto"/>
            </w:tcBorders>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98,722</w:t>
            </w:r>
          </w:p>
        </w:tc>
        <w:tc>
          <w:tcPr>
            <w:tcW w:w="60" w:type="dxa"/>
            <w:vAlign w:val="bottom"/>
            <w:tcBorders>
              <w:top w:val="single" w:sz="8" w:color="auto"/>
              <w:bottom w:val="single" w:sz="8" w:color="auto"/>
            </w:tcBorders>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National Networks segment operating income to AOCF:</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720" w:type="dxa"/>
            <w:vAlign w:val="bottom"/>
            <w:gridSpan w:val="2"/>
          </w:tcPr>
          <w:p>
            <w:pPr>
              <w:jc w:val="right"/>
              <w:ind w:right="659"/>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98,528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7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AOCF</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116,440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123,228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10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2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2"/>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40" w:type="dxa"/>
            <w:vAlign w:val="bottom"/>
          </w:tcPr>
          <w:p>
            <w:pPr>
              <w:spacing w:after="0"/>
              <w:rPr>
                <w:sz w:val="12"/>
                <w:szCs w:val="12"/>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30,720</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Technical and operating (excluding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18,944</w:t>
            </w:r>
          </w:p>
        </w:tc>
        <w:tc>
          <w:tcPr>
            <w:tcW w:w="14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18,968</w:t>
            </w:r>
          </w:p>
        </w:tc>
        <w:tc>
          <w:tcPr>
            <w:tcW w:w="1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19,379</w:t>
            </w:r>
          </w:p>
        </w:tc>
        <w:tc>
          <w:tcPr>
            <w:tcW w:w="1480" w:type="dxa"/>
            <w:vAlign w:val="bottom"/>
            <w:gridSpan w:val="3"/>
          </w:tcPr>
          <w:p>
            <w:pPr>
              <w:jc w:val="right"/>
              <w:ind w:right="16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12,417</w:t>
            </w:r>
          </w:p>
        </w:tc>
        <w:tc>
          <w:tcPr>
            <w:tcW w:w="1500" w:type="dxa"/>
            <w:vAlign w:val="bottom"/>
            <w:gridSpan w:val="3"/>
          </w:tcPr>
          <w:p>
            <w:pPr>
              <w:jc w:val="right"/>
              <w:ind w:right="16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6,962</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3,919</w:t>
            </w:r>
          </w:p>
        </w:tc>
        <w:tc>
          <w:tcPr>
            <w:tcW w:w="1480" w:type="dxa"/>
            <w:vAlign w:val="bottom"/>
            <w:gridSpan w:val="3"/>
          </w:tcPr>
          <w:p>
            <w:pPr>
              <w:jc w:val="right"/>
              <w:ind w:right="16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3,559</w:t>
            </w:r>
          </w:p>
        </w:tc>
        <w:tc>
          <w:tcPr>
            <w:tcW w:w="1500" w:type="dxa"/>
            <w:vAlign w:val="bottom"/>
            <w:gridSpan w:val="3"/>
          </w:tcPr>
          <w:p>
            <w:pPr>
              <w:jc w:val="right"/>
              <w:ind w:right="16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360</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International and Other segment operating loss to AOCF deficit: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700" w:type="dxa"/>
            <w:vAlign w:val="bottom"/>
            <w:gridSpan w:val="2"/>
          </w:tcPr>
          <w:p>
            <w:pPr>
              <w:jc w:val="right"/>
              <w:ind w:right="639"/>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255</w:t>
            </w:r>
          </w:p>
        </w:tc>
        <w:tc>
          <w:tcPr>
            <w:tcW w:w="1700" w:type="dxa"/>
            <w:vAlign w:val="bottom"/>
            <w:gridSpan w:val="2"/>
          </w:tcPr>
          <w:p>
            <w:pPr>
              <w:jc w:val="right"/>
              <w:ind w:right="13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7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360</w:t>
            </w:r>
          </w:p>
        </w:tc>
        <w:tc>
          <w:tcPr>
            <w:tcW w:w="1700" w:type="dxa"/>
            <w:vAlign w:val="bottom"/>
            <w:gridSpan w:val="2"/>
          </w:tcPr>
          <w:p>
            <w:pPr>
              <w:jc w:val="right"/>
              <w:ind w:right="13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AOCF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$48,142 to $332,056 for the three months ended September 30, 2012 as compared to the three months ended September 30, 2011.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306,228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258,347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29,307</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30,720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3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332,056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283,914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48,142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is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107,453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98,482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Affiliation fee and other</w:t>
            </w: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198,775</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159,865</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38,910</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306,228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258,347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47,881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76"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Advertising revenues increased $8,971 primarily at AMC resulting from higher pricing per unit sold due to an increased demand for our programming by advertisers and an increased number of original programming series, as compared to the number of original programming series that aired on AMC during the three months ended September 30, 2011, partially offset by a decrease associated with the DISH Network carriage termination. As previously discussed, most of our advertising revenues vary based on the timing of our original programming series and the popularity of our programming as measured by Nielsen; and</w:t>
      </w:r>
    </w:p>
    <w:p>
      <w:pPr>
        <w:spacing w:after="0" w:line="172" w:lineRule="exact"/>
        <w:rPr>
          <w:rFonts w:ascii="Arial" w:cs="Arial" w:eastAsia="Arial" w:hAnsi="Arial"/>
          <w:sz w:val="17"/>
          <w:szCs w:val="17"/>
          <w:color w:val="auto"/>
        </w:rPr>
      </w:pPr>
    </w:p>
    <w:p>
      <w:pPr>
        <w:jc w:val="both"/>
        <w:ind w:left="1300" w:hanging="644"/>
        <w:spacing w:after="0" w:line="25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Affiliation fee and other revenues increased $38,910 primarily due to an increase of $43,024 from digital and licensing distribution revenues derived from our National Networks original programming, primarily at AMC, partially offset by a decrease in affiliation fee revenues. The decrease in affiliation fee revenues was primarily attributable to a net decrease in subscribers (see discussion below) and a contractual adjustment from a distributor that increased revenue in the three months ended September 30, 2011, partially offset by the impact of lower amortization of deferred carriage fees. As previously discussed, other revenues can vary based on the timing of availability of our programming to distributors. Due to this variability, the increase in affiliation fee and other revenues at AMC for the three months ended September 30, 2012 as compared to the same period in 2011 is not necessarily indicative of what we expect for the remainder of 2012.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certain subscriber information at September 30, 2012, June 30, 2012 and September 30, 2011: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Estimated Domestic Subscribers</w:t>
            </w:r>
          </w:p>
        </w:tc>
        <w:tc>
          <w:tcPr>
            <w:tcW w:w="180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National Programming Networks:</w:t>
            </w:r>
          </w:p>
        </w:tc>
        <w:tc>
          <w:tcPr>
            <w:tcW w:w="1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September 30, 2011</w:t>
            </w: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AMC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84,300</w:t>
            </w:r>
          </w:p>
        </w:tc>
        <w:tc>
          <w:tcPr>
            <w:tcW w:w="19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96,900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96,000</w:t>
            </w:r>
          </w:p>
        </w:tc>
      </w:tr>
      <w:tr>
        <w:trPr>
          <w:trHeight w:val="270"/>
        </w:trPr>
        <w:tc>
          <w:tcPr>
            <w:tcW w:w="5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WE tv </w:t>
            </w:r>
            <w:r>
              <w:rPr>
                <w:rFonts w:ascii="Arial" w:cs="Arial" w:eastAsia="Arial" w:hAnsi="Arial"/>
                <w:sz w:val="25"/>
                <w:szCs w:val="25"/>
                <w:color w:val="auto"/>
                <w:vertAlign w:val="superscript"/>
              </w:rPr>
              <w:t>(1)</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66,600</w:t>
            </w:r>
          </w:p>
        </w:tc>
        <w:tc>
          <w:tcPr>
            <w:tcW w:w="1940" w:type="dxa"/>
            <w:vAlign w:val="bottom"/>
            <w:gridSpan w:val="2"/>
          </w:tcPr>
          <w:p>
            <w:pPr>
              <w:jc w:val="right"/>
              <w:ind w:right="28"/>
              <w:spacing w:after="0"/>
              <w:rPr>
                <w:sz w:val="20"/>
                <w:szCs w:val="20"/>
                <w:color w:val="auto"/>
              </w:rPr>
            </w:pPr>
            <w:r>
              <w:rPr>
                <w:rFonts w:ascii="Arial" w:cs="Arial" w:eastAsia="Arial" w:hAnsi="Arial"/>
                <w:sz w:val="18"/>
                <w:szCs w:val="18"/>
                <w:color w:val="auto"/>
              </w:rPr>
              <w:t>78,500</w:t>
            </w:r>
          </w:p>
        </w:tc>
        <w:tc>
          <w:tcPr>
            <w:tcW w:w="120" w:type="dxa"/>
            <w:vAlign w:val="bottom"/>
          </w:tcPr>
          <w:p>
            <w:pPr>
              <w:spacing w:after="0"/>
              <w:rPr>
                <w:sz w:val="23"/>
                <w:szCs w:val="23"/>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76,500</w:t>
            </w: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IFC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55,200</w:t>
            </w:r>
          </w:p>
        </w:tc>
        <w:tc>
          <w:tcPr>
            <w:tcW w:w="19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66,900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61,600</w:t>
            </w:r>
          </w:p>
        </w:tc>
      </w:tr>
      <w:tr>
        <w:trPr>
          <w:trHeight w:val="272"/>
        </w:trPr>
        <w:tc>
          <w:tcPr>
            <w:tcW w:w="5720" w:type="dxa"/>
            <w:vAlign w:val="bottom"/>
          </w:tcPr>
          <w:p>
            <w:pPr>
              <w:ind w:left="40"/>
              <w:spacing w:after="0" w:line="271" w:lineRule="exact"/>
              <w:rPr>
                <w:sz w:val="20"/>
                <w:szCs w:val="20"/>
                <w:color w:val="auto"/>
              </w:rPr>
            </w:pPr>
            <w:r>
              <w:rPr>
                <w:rFonts w:ascii="Arial" w:cs="Arial" w:eastAsia="Arial" w:hAnsi="Arial"/>
                <w:sz w:val="18"/>
                <w:szCs w:val="18"/>
                <w:color w:val="auto"/>
              </w:rPr>
              <w:t xml:space="preserve">Sundance Channel </w:t>
            </w:r>
            <w:r>
              <w:rPr>
                <w:rFonts w:ascii="Arial" w:cs="Arial" w:eastAsia="Arial" w:hAnsi="Arial"/>
                <w:sz w:val="25"/>
                <w:szCs w:val="25"/>
                <w:color w:val="auto"/>
                <w:vertAlign w:val="superscript"/>
              </w:rPr>
              <w:t>(2)</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40,600</w:t>
            </w:r>
          </w:p>
        </w:tc>
        <w:tc>
          <w:tcPr>
            <w:tcW w:w="1940" w:type="dxa"/>
            <w:vAlign w:val="bottom"/>
            <w:gridSpan w:val="2"/>
          </w:tcPr>
          <w:p>
            <w:pPr>
              <w:jc w:val="right"/>
              <w:ind w:right="28"/>
              <w:spacing w:after="0"/>
              <w:rPr>
                <w:sz w:val="20"/>
                <w:szCs w:val="20"/>
                <w:color w:val="auto"/>
              </w:rPr>
            </w:pPr>
            <w:r>
              <w:rPr>
                <w:rFonts w:ascii="Arial" w:cs="Arial" w:eastAsia="Arial" w:hAnsi="Arial"/>
                <w:sz w:val="18"/>
                <w:szCs w:val="18"/>
                <w:color w:val="auto"/>
              </w:rPr>
              <w:t>40,400</w:t>
            </w:r>
          </w:p>
        </w:tc>
        <w:tc>
          <w:tcPr>
            <w:tcW w:w="120" w:type="dxa"/>
            <w:vAlign w:val="bottom"/>
          </w:tcPr>
          <w:p>
            <w:pPr>
              <w:spacing w:after="0"/>
              <w:rPr>
                <w:sz w:val="23"/>
                <w:szCs w:val="23"/>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41,100</w:t>
            </w:r>
          </w:p>
        </w:tc>
      </w:tr>
    </w:tbl>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 U.S. subscribers as measured by Nielsen.</w:t>
      </w:r>
    </w:p>
    <w:p>
      <w:pPr>
        <w:spacing w:after="0" w:line="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Subscriber counts are based on internal management reports and represent viewing subscribers.</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decline in AMC, WE tv and IFC subscribers as of September 30, 2012 as compared to June 30, 2012 and Sundance Channel subscribers as of September 30, 2012 as compared to September 30, 2011 principally reflects the impact of carriage being terminated by DISH Network on July 1, 2012 and May 20, 2012, respectively. On October 21, 2012, AMC WE tv, IFC and Sundance Channel entered into a long-term affiliation agreement with DISH Network to resume distribution of each network. For AMC, such distribution resumed effective as of October 21, 2012 and for WE tv, IFC and Sundance Channel, distribution resumed as of October 31, 2012.</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believes the WE tv, IFC and Sundance Channel programming services would benefit from increased distribution, especially on the digital tiers of cable television distributors as digital penetration increases, and increased advertising/sponsorship revenues as cable networks, including advertiser-supported niche programming networks (such as WE tv and IFC), attract a greater advertising market share. These increases could potentially be offset by lower net effective rates per viewing subscriber for our programming services due to the consolidation of distributors. Opportunities are more limited for increases in distribution in the U.S. for our substantially fully penetrated AMC programming service.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International and Other revenues, net is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360" w:type="dxa"/>
            <w:vAlign w:val="bottom"/>
            <w:gridSpan w:val="2"/>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Affiliation fee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29,302</w:t>
            </w:r>
          </w:p>
        </w:tc>
        <w:tc>
          <w:tcPr>
            <w:tcW w:w="12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30,715</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29,307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30,720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Affiliation fee and other revenues (excluding VOOM HD) decreased $1,024 primarily related to decreased transmission revenue at AMC Networks Broadcasting &amp; Technology due to the expiration of certain agreements and a net decrease in revenue at IFC Films, partially offset by increased foreign affiliation fee revenues from our international distribution of Sundance and WE tv channels due to expanded distribution in Asia and Europe; 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Affiliation fees and other revenues at VOOM HD decreased $389 primarily related to lower foreign licensing revenues.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$33,207 to $129,627 for the three months ended September 30, 2012 as compared to the three months ended September 30, 2011. The net increase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680" w:type="dxa"/>
            <w:vAlign w:val="bottom"/>
            <w:gridSpan w:val="2"/>
          </w:tcPr>
          <w:p>
            <w:pPr>
              <w:jc w:val="right"/>
              <w:ind w:right="639"/>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115,366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33,207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18,944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18,968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5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6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129,627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96,420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33,207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increase in the National Networks segment is attributable to the increased amortization of program rights of $32,366 which includes a write-off of $8,323 based on management's assessment of programming usefulness and increased participation and residual costs at AMC. 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additional competition for programming increases from programming services and alternate distribution technologies continue to develop in the industry, costs for content acquisition and original programming may increase. As we continue to increase our investment in original programming, we expect the amortization of program rights to increase for the fourth quarter and full year of 2012 over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Selling, general and administrative expenses increased $28,973 to $97,202 for the three months ended September 30, 2012, as compared to the three months ended September 30, 2011. The increase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680" w:type="dxa"/>
            <w:vAlign w:val="bottom"/>
            <w:gridSpan w:val="2"/>
          </w:tcPr>
          <w:p>
            <w:pPr>
              <w:jc w:val="right"/>
              <w:ind w:right="648"/>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77,885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21,872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19,379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6,962</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97,202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68,229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28,973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$21,872 increase in the National Networks segment consists of a $18,537 increase for sales and marketing expenses principally attributable to increased costs for subscriber retention marketing efforts associated with the DISH Network carriage termination and an increase at AMC due to the airing of a higher number of original programming series during the three months ended September 30, 2012 compared to the same period in 2011, increased general and administrative costs of $2,339 primarily due to higher employee related expenses and costs incurred in connection with becoming a stand-alone public company and an increase of $996 in expenses relating to long-term incentive plans and share-based compensation expense.</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expenses from quarter to quarter and year to year due to the timing of promotion and marketing of original programming.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the International and Other segment consists of an increase of $1,144 for selling, marketing and advertising costs primarily due to an increase at AMC/Sundance Channel Global due to increased distribution in Asia and Europe, and an increase of $631 for general and administrative costs incurred in connection with becoming a stand-alone public company. In addition, selling, general and administrative expense increased due to an increase of $4,697 related to VOOM HD principally due to increased legal fees and other related costs and expenses in connection with the DISH Network contract dispute and an increase in share-based compensation expense and expenses relating to long-term incentive plans of $490.</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decreased $6,644 to $18,368 for the three months ended September 30, 2012,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The net decrease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720" w:type="dxa"/>
            <w:vAlign w:val="bottom"/>
            <w:gridSpan w:val="2"/>
          </w:tcPr>
          <w:p>
            <w:pPr>
              <w:jc w:val="right"/>
              <w:ind w:right="668"/>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18,368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decrease in depreciation and amortization expense in the National Networks segment is primarily attributable to a decrease in amortization expense at Sundance Channel and at AMC as certain intangible assets became fully amortized in the second and third quarters of 2012.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AOCF</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AOCF decreased $13,373 for the three months ended September 30, 2012 as compared to the three months ended September 30, 2011. The decrease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720" w:type="dxa"/>
            <w:vAlign w:val="bottom"/>
            <w:gridSpan w:val="2"/>
          </w:tcPr>
          <w:p>
            <w:pPr>
              <w:jc w:val="right"/>
              <w:ind w:right="659"/>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116,440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21"/>
                <w:szCs w:val="21"/>
                <w:color w:val="auto"/>
              </w:rPr>
            </w:pPr>
          </w:p>
        </w:tc>
        <w:tc>
          <w:tcPr>
            <w:tcW w:w="160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17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AOCF</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109,589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122,962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National Networks AOCF decreased due to an increase in technical and operating expenses of $33,207 resulting primarily from an increase in amortization of program rights and program rights write-off expense and an increase in selling, general and administrative expense of $21,872 primarily due to an increase in marketing expense as a result of the number of original programming series and subscriber retention marketing efforts associated with the DISH Network carriage termination, partially offset by an increase in revenues, net of $47,881.</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International and Other AOCF deficit increased due primarily to a decrease in revenues, net of $1,413 and an increase in legal fees and other costs in connection with the DISH Network contract dispute.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interest expense, net of $1,609 for the three months ended September 30, 2012 as compared to the three months ended September 30, 2011 was primarily attributable to lower outstanding principal balances under the Term A Facility (as defined below) due to $200,000 of voluntary principal prepayments since the inception of the loan in June 2011 and due to the regularly scheduled quarterly principal payments made under the Term B Facility (as defined below).</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Write-off of deferred financing costs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$50,000 voluntary prepayment in July 2012 of our Term A Facility (as defined below), deferred financing costs of $334 were written off in the three months ended September 30, 2012.</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September 30, 2012, income tax expense attributable to continuing operations was $20,121, representing an effective tax rate of 36%. The effective tax rate differs from the federal statutory rate of 35% due primarily to state and local income tax expense of $1,147, partially offset by a tax benefit of $570 resulting from a decrease in the valuation allowance with regard to certain local income tax credit carry forwards. We expect our effective tax rate to be approximately 38% for both the fourth quarter and for the year.</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September 30, 2011, income tax expense attributable to continuing operations was $22,440, representing an effective tax rate of 36%. The effective tax rate differs from the federal statutory rate of 35% due primarily to state and local income tax expense of $1,272 and tax expense of $839 related to uncertain tax positions, including accrued interest, partially offset by a tax benefit of $2,674 resulting from a decrease in the valuation allowance with regard to certain local income tax credit carry forwards.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Compared to Nine Months Ended September 30, 2011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 change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985,865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848,782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3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348,906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282,714</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66,192</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287,302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243,714</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43,588</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67,486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75,197</w:t>
            </w:r>
          </w:p>
        </w:tc>
        <w:tc>
          <w:tcPr>
            <w:tcW w:w="1440" w:type="dxa"/>
            <w:vAlign w:val="bottom"/>
            <w:gridSpan w:val="2"/>
          </w:tcPr>
          <w:p>
            <w:pPr>
              <w:jc w:val="right"/>
              <w:ind w:right="13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(7,711)</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601,385</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102,306</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282,174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247,397</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34,777</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(64,554)</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(24,329)</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5,057</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(14,535)</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14,535</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7"/>
        </w:trPr>
        <w:tc>
          <w:tcPr>
            <w:tcW w:w="350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(84,912)</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192,014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162,485</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29,529</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(65,388)</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(5,601)</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97,097</w:t>
            </w:r>
          </w:p>
        </w:tc>
        <w:tc>
          <w:tcPr>
            <w:tcW w:w="1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23,928</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w w:val="98"/>
              </w:rPr>
              <w:t>Income (loss) from discontinued operations,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net of income taxes</w:t>
            </w:r>
          </w:p>
        </w:tc>
        <w:tc>
          <w:tcPr>
            <w:tcW w:w="2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121,339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96,976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24,363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AOCF:</w:t>
      </w: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0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CCEEFF"/>
              <w:bottom w:val="single" w:sz="8" w:color="auto"/>
            </w:tcBorders>
            <w:shd w:val="clear" w:color="auto" w:fill="CCEEFF"/>
          </w:tcPr>
          <w:p>
            <w:pPr>
              <w:spacing w:after="0"/>
              <w:rPr>
                <w:sz w:val="23"/>
                <w:szCs w:val="23"/>
                <w:color w:val="auto"/>
              </w:rPr>
            </w:pPr>
          </w:p>
        </w:tc>
        <w:tc>
          <w:tcPr>
            <w:tcW w:w="1180" w:type="dxa"/>
            <w:vAlign w:val="bottom"/>
            <w:tcBorders>
              <w:top w:val="single" w:sz="8" w:color="CCEEFF"/>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CCEEFF"/>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282,174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247,397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34,777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Restructuring credit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237</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(99)</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1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Consolidated AOCF</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362,503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334,541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27,962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46"/>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7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National Networks Segment Results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2"/>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915,635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776,920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138,715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304,756</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237,779</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66,977</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235,555</w:t>
            </w:r>
          </w:p>
        </w:tc>
        <w:tc>
          <w:tcPr>
            <w:tcW w:w="1380" w:type="dxa"/>
            <w:vAlign w:val="bottom"/>
            <w:gridSpan w:val="3"/>
          </w:tcPr>
          <w:p>
            <w:pPr>
              <w:jc w:val="right"/>
              <w:ind w:right="12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202,503</w:t>
            </w:r>
          </w:p>
        </w:tc>
        <w:tc>
          <w:tcPr>
            <w:tcW w:w="1380" w:type="dxa"/>
            <w:vAlign w:val="bottom"/>
            <w:gridSpan w:val="3"/>
          </w:tcPr>
          <w:p>
            <w:pPr>
              <w:jc w:val="right"/>
              <w:ind w:right="12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33,052</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56,281</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64,505</w:t>
            </w:r>
          </w:p>
        </w:tc>
        <w:tc>
          <w:tcPr>
            <w:tcW w:w="1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7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319,043</w:t>
            </w:r>
          </w:p>
        </w:tc>
        <w:tc>
          <w:tcPr>
            <w:tcW w:w="60" w:type="dxa"/>
            <w:vAlign w:val="bottom"/>
            <w:tcBorders>
              <w:top w:val="single" w:sz="8" w:color="auto"/>
              <w:bottom w:val="single" w:sz="8" w:color="auto"/>
            </w:tcBorders>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272,133</w:t>
            </w:r>
          </w:p>
        </w:tc>
        <w:tc>
          <w:tcPr>
            <w:tcW w:w="60" w:type="dxa"/>
            <w:vAlign w:val="bottom"/>
            <w:tcBorders>
              <w:top w:val="single" w:sz="8" w:color="auto"/>
              <w:bottom w:val="single" w:sz="8" w:color="auto"/>
            </w:tcBorders>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46,910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National Networks segment operating income to AOCF: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w:t>
            </w:r>
          </w:p>
        </w:tc>
      </w:tr>
      <w:tr>
        <w:trPr>
          <w:trHeight w:val="264"/>
        </w:trPr>
        <w:tc>
          <w:tcPr>
            <w:tcW w:w="5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319,043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46,910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3</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AOCF</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385,435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346,476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38,959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2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2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40" w:type="dxa"/>
            <w:vAlign w:val="bottom"/>
          </w:tcPr>
          <w:p>
            <w:pPr>
              <w:spacing w:after="0"/>
              <w:rPr>
                <w:sz w:val="12"/>
                <w:szCs w:val="12"/>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40" w:type="dxa"/>
            <w:vAlign w:val="bottom"/>
          </w:tcPr>
          <w:p>
            <w:pPr>
              <w:spacing w:after="0"/>
              <w:rPr>
                <w:sz w:val="12"/>
                <w:szCs w:val="12"/>
                <w:color w:val="auto"/>
              </w:rPr>
            </w:pP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81,922</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86,327</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Technical and operating (excluding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58,381</w:t>
            </w:r>
          </w:p>
        </w:tc>
        <w:tc>
          <w:tcPr>
            <w:tcW w:w="150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58,706</w:t>
            </w:r>
          </w:p>
        </w:tc>
        <w:tc>
          <w:tcPr>
            <w:tcW w:w="1500" w:type="dxa"/>
            <w:vAlign w:val="bottom"/>
            <w:tcBorders>
              <w:bottom w:val="single" w:sz="8" w:color="CCEEFF"/>
            </w:tcBorders>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52,014</w:t>
            </w:r>
          </w:p>
        </w:tc>
        <w:tc>
          <w:tcPr>
            <w:tcW w:w="1500" w:type="dxa"/>
            <w:vAlign w:val="bottom"/>
            <w:gridSpan w:val="3"/>
          </w:tcPr>
          <w:p>
            <w:pPr>
              <w:jc w:val="right"/>
              <w:ind w:right="16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41,853</w:t>
            </w:r>
          </w:p>
        </w:tc>
        <w:tc>
          <w:tcPr>
            <w:tcW w:w="1500" w:type="dxa"/>
            <w:vAlign w:val="bottom"/>
            <w:gridSpan w:val="3"/>
          </w:tcPr>
          <w:p>
            <w:pPr>
              <w:jc w:val="right"/>
              <w:ind w:right="18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10,161</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11,205</w:t>
            </w:r>
          </w:p>
        </w:tc>
        <w:tc>
          <w:tcPr>
            <w:tcW w:w="1500" w:type="dxa"/>
            <w:vAlign w:val="bottom"/>
            <w:gridSpan w:val="3"/>
          </w:tcPr>
          <w:p>
            <w:pPr>
              <w:jc w:val="right"/>
              <w:ind w:right="16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10,692</w:t>
            </w:r>
          </w:p>
        </w:tc>
        <w:tc>
          <w:tcPr>
            <w:tcW w:w="1500" w:type="dxa"/>
            <w:vAlign w:val="bottom"/>
            <w:gridSpan w:val="3"/>
          </w:tcPr>
          <w:p>
            <w:pPr>
              <w:jc w:val="right"/>
              <w:ind w:right="18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International and Other segment operating loss to AOCF deficit: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w:t>
            </w:r>
          </w:p>
        </w:tc>
      </w:tr>
      <w:tr>
        <w:trPr>
          <w:trHeight w:val="264"/>
        </w:trPr>
        <w:tc>
          <w:tcPr>
            <w:tcW w:w="5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386</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16</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c>
          <w:tcPr>
            <w:tcW w:w="1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5</w:t>
            </w: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AOCF deficit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increased $137,083 to $985,865, for the nine months ended September 30, 2012 as compared to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 The net increase by segment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915,635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776,920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138,715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81,922</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86,327</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(4,405)</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3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2,773</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985,865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848,782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is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366,218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312,318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53,900</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Affiliation fee and other</w:t>
            </w: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549,417</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464,602</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84,815</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915,635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776,920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138,715</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644"/>
        <w:spacing w:after="0" w:line="25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revenues increased $53,900 primarily at AMC resulting from higher pricing per unit sold due to an increased demand for our programming by advertisers and an increased number of original programming series, as compared to the number of original programming series that aired on AMC during the nine months ended September 30, 2011, partially offset by a decrease associated with the DISH Network carriage termination. Most of our advertising revenues vary based on the timing of our original programming series and the popularity of our programming as measured by Nielsen. Due to this variability, the increase in advertising revenues at AMC for the nine months ended September 30, 2012 as compared to the same period in 2011 is not necessarily indicative of what we expect for the remainder of 2012; and</w:t>
      </w:r>
    </w:p>
    <w:p>
      <w:pPr>
        <w:spacing w:after="0" w:line="189"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Affiliation fee and other revenues increased $84,815 primarily due to an increase of $65,180 from digital, licensing, international and home video distribution revenues derived from our National Networks programming, primarily at AMC, and an increase in affiliation fee revenues primarily attributable to an increase in rates, including the impact of lower amortization of deferred carriage fees, partially offset by the net decrease in subscribers and a contractual adjustment from a distributor that increased revenue in 2011. As previously discussed, other revenues can vary based on the timing of availability of our programming to distributors. Due to this variability, the increase in affiliation fee and other revenues for the nine months ended September 30, 2012 as compared to the same period in 2011 is not necessarily indicative of what we expect for the remainder of 2012.</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International and Other revenues, net is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360" w:type="dxa"/>
            <w:vAlign w:val="bottom"/>
            <w:gridSpan w:val="2"/>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Affiliation fee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81,907</w:t>
            </w:r>
          </w:p>
        </w:tc>
        <w:tc>
          <w:tcPr>
            <w:tcW w:w="12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86,312</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(4,405)</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81,922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86,327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Affiliation fees and other revenues (excluding VOOM HD) decreased $2,401 primarily related to decreased transmission revenue at AMC Networks Broadcasting &amp; Technology due to the expiration of certain agreements and a net decrease in revenue at IFC Films, partially offset by increased foreign affiliation fee revenues from our international distribution of Sundance Channel and WE tv channels due to expanded distribution in Asia and Europe; and</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Affiliation fees and other revenues at VOOM HD decreased $2,004 primarily related to lower foreign affiliation fee and licensing revenue and ceasing distribution of the Rush HD channel in Europe in April 2011.</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$66,192 to $348,906 for the nine months ended September 30, 2012 as compared to the nine months ended September 30, 2011. The net increase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w:t>
            </w:r>
          </w:p>
        </w:tc>
      </w:tr>
      <w:tr>
        <w:trPr>
          <w:trHeight w:val="264"/>
        </w:trPr>
        <w:tc>
          <w:tcPr>
            <w:tcW w:w="50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304,756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237,779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58,381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58,706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68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(13,771)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348,906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282,714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66,192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50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Percentage of revenues,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increase in the National Networks segment is attributable to increased amortization of program rights of $67,260 primarily at AMC and WE tv which includes a write-off of $8,323 based on management's assessment of programming usefulness and increased participation and residual costs at AMC, partially offset by a decrease of $283 for programming related costs. 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additional competition for programming from other programming services increases and alternate distribution technologies continue to develop in the industry, costs for content acquisition and original programming may increase. As we continue to increase our investment in original programming, we expect the amortization of program rights to increase for the fourth quarter and full year of 2012 over the prior year comparable period.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International and Other segment (excluding VOOM HD) decreased primarily due to; (i) a decrease of $3,125 in transmission expenses at AMC Networks Broadcasting &amp; Technology due to a reduction in transmission agreements, (ii) a decrease of $3,382 in content acquisition costs at IFC Films, offset by (iii) an increase at AMC/Sundance Channel Global of $4,897 related to programming costs, (iv) an increase of $1,757 in transmission and programming related expenses due to increased distribution in Asia and Europe and (v) an increase of $2,284 in programming expenses for our developing businesses. Technical and operating expenses in the International and Other segment also decreased because programming costs at VOOM HD decreased $2,238 resulting primarily from ceasing distribution of the Rush HD channel in Europe in April 2011.</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$43,588 to $287,302 for the nine months ended September 30, 2012 as compared to the nine months ended September 30, 2011. The increase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w:t>
            </w:r>
          </w:p>
        </w:tc>
      </w:tr>
      <w:tr>
        <w:trPr>
          <w:trHeight w:val="264"/>
        </w:trPr>
        <w:tc>
          <w:tcPr>
            <w:tcW w:w="50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235,555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202,503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41,853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10,161</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24</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(58)</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287,302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243,714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43,588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00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Percentage of revenues,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9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increase in the National Networks segment consists of a $44,822 increase for sales and marketing expenses principally due to the airing of a higher number of original programming series during the nine months ended September 30, 2012 and increased marketing costs for subscriber retention marketing efforts associated with the DISH Network carriage termination as well as a net increase in other general and administrative costs of $3,439 primarily due to higher employee related expenses and costs incurred in connection with becoming a stand-alone public company net of a reduction of corporate allocations from Cablevision following the Distribution. These increases were partially offset by a reduction of $13,958 in management fees as well as a decrease of $1,251 in expenses relating to long-term incentive plans and share-based compensation expense.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Prior to the Distribution, pursuant to a consulting agreement with Cablevision, we paid a management fee calculated based on certain subsidiaries’ gross revenues (as defined under the terms of the consulting agreement) on a monthly basis. We terminated the consulting agreement on the Distribution date and did not replace it.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expenses from quarter to quarter and year to year due to the timing of promotion and marketing of original programming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19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increase in the International and Other segment (excluding VOOM HD) primarily consists of an increase of $4,070 for selling, marketing and advertising costs primarily at AMC/Sundance Channel Global and IFC Films due to increased spending on titles being distributed, a net increase of $2,166 for general and administrative costs incurred in connection with becoming a stand-alone public company, net of a reduction of corporate allocations from Cablevision following the Distribution and an increase in share-based compensation expense and expenses relating to long-term incentive plans of $516. Selling, general and administrative expenses in the International and Other segment also increased due to an increase of $3,415 related to VOOM HD due primarily to higher legal fees and other related costs and expenses in connection with the DISH Network contract dispute.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decreased $7,711 to $67,486 for the nine months ended September 30, 2012,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The net decrease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264"/>
        </w:trPr>
        <w:tc>
          <w:tcPr>
            <w:tcW w:w="5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11,205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513</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5</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67,486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75,197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decrease in depreciation and amortization expense in the National Networks segment is primarily attributable to a decrease in amortization expense of $7,366 at Sundance Channel and at AMC as certain intangible assets became fully amortized in the second and third quarters of 2012.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AOCF</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AOCF increased $27,962 for the nine months ended September 30, 2012 as compared to the nine months ended September 30, 2011. The net increase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4"/>
        </w:trPr>
        <w:tc>
          <w:tcPr>
            <w:tcW w:w="5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38,959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(13,855)</w:t>
            </w:r>
          </w:p>
        </w:tc>
        <w:tc>
          <w:tcPr>
            <w:tcW w:w="1660" w:type="dxa"/>
            <w:vAlign w:val="bottom"/>
            <w:gridSpan w:val="2"/>
          </w:tcPr>
          <w:p>
            <w:pPr>
              <w:jc w:val="right"/>
              <w:ind w:right="99"/>
              <w:spacing w:after="0"/>
              <w:rPr>
                <w:sz w:val="20"/>
                <w:szCs w:val="20"/>
                <w:color w:val="auto"/>
              </w:rPr>
            </w:pPr>
            <w:r>
              <w:rPr>
                <w:rFonts w:ascii="Arial" w:cs="Arial" w:eastAsia="Arial" w:hAnsi="Arial"/>
                <w:sz w:val="18"/>
                <w:szCs w:val="18"/>
                <w:color w:val="auto"/>
              </w:rPr>
              <w:t>117</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n/m</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AOCF</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362,503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334,541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27,962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National Networks AOCF increased due to an increase in revenues, net of $138,715 and a decrease in management fees, partially offset by an increase in technical and operating expenses resulting primarily from an increase in amortization of program rights expense which includes program rights write-offs of $8,323 and marketing expense due to the increase in the number of original programming premieres and subscriber retention marketing efforts associated with the DISH Network carriage termination.</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AOCF deficit increased primarily due a decrease in revenues, net of $4,405, an increase in selling, general and administrative expenses and programming and transmission related costs and selling costs at AMC/Sundance Channel Global and an increase in legal fees and other costs in connection with the DISH Network contract dispute.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increase in interest expense, net of $24,329 for the nine months ended September 30, 2012 as compared to the nine months ended September 30, 2011 is attributable to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374"/>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9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Indebtedness incurred in connection with the Distribution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51,715</w:t>
            </w:r>
          </w:p>
        </w:tc>
      </w:tr>
      <w:tr>
        <w:trPr>
          <w:trHeight w:val="229"/>
        </w:trPr>
        <w:tc>
          <w:tcPr>
            <w:tcW w:w="9260" w:type="dxa"/>
            <w:vAlign w:val="bottom"/>
          </w:tcPr>
          <w:p>
            <w:pPr>
              <w:ind w:left="40"/>
              <w:spacing w:after="0"/>
              <w:rPr>
                <w:sz w:val="20"/>
                <w:szCs w:val="20"/>
                <w:color w:val="auto"/>
              </w:rPr>
            </w:pPr>
            <w:r>
              <w:rPr>
                <w:rFonts w:ascii="Arial" w:cs="Arial" w:eastAsia="Arial" w:hAnsi="Arial"/>
                <w:sz w:val="18"/>
                <w:szCs w:val="18"/>
                <w:color w:val="auto"/>
                <w:w w:val="93"/>
              </w:rPr>
              <w:t>Repayment of the RNS senior notes in May 2011 and the RNS credit facility and the RNS senior subordinated notes in June</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9260" w:type="dxa"/>
            <w:vAlign w:val="bottom"/>
          </w:tcPr>
          <w:p>
            <w:pPr>
              <w:ind w:left="4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(32,506)</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Decrease in interest income</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631</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92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24,329</w:t>
            </w:r>
          </w:p>
        </w:tc>
      </w:tr>
      <w:tr>
        <w:trPr>
          <w:trHeight w:val="27"/>
        </w:trPr>
        <w:tc>
          <w:tcPr>
            <w:tcW w:w="9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Write-off of deferred financing costs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connection with the $100,000 of voluntary prepayments in 2012 of our Term A Facility (as defined below), deferred financing costs of $646 were written off in the nine months ended September 30, 2012. The write-off of deferred financing costs of $5,703 for the nine months ended September 30, 2011 represents $1,186 of deferred financing costs written off in connection with the redemption of the Rainbow National Services LLC ("RNS") 8 3/4% senior notes in May 2011, and $2,062 and $2,455 of deferred financing costs written off in connection with the repayment of the outstanding borrowings under the RNS credit facility and the RNS 10 3/8% senior subordinated notes, respectively, in June 2011 in connection with the Distribution.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loss on extinguishment of debt of $14,535 for the nine months ended September 30, 2011 primarily represents $14,185 for the excess of the redemption price, premium paid and related fees along with the accretion to principal over the carrying value of the $325,000 RNS 10 3/8% senior subordinated notes redeemed June 30, 2011 associated with the tender offer which occurred in connection with the Distribution.</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nine months ended September 30, 2012, income tax expense attributable to continuing operations was $70,989, representing an effective tax rate of 37%. The effective tax rate differs from the federal statutory rate of 35% due primarily to state and local income tax expense of $4,210 and tax expense of $1,544 related to uncertain tax positions, including accrued interest, partially offset by a tax benefit of $2,370 resulting from a decrease in the valuation allowance with regard to certain local income tax credit carry forwards. We expect our effective tax rate to be approximately 38% for both the fourth quarter and for the year.</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nine months ended September 30, 2011, income tax expense attributable to continuing operations was $65,388, representing an effective tax rate of 40%. The effective tax rate differs from the federal statutory rate of 35% due primarily to state and local income tax expense of $6,562 and tax expense of $2,908 related to uncertain tax positions, including accrued interest, partially offset by a tax benefit of $2,182 resulting from a decrease in the valuation allowance with regard to certain local income tax credit carry forwards.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Sources of cash primarily include cash flow from operations and amounts available under our revolving credit facility.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principal uses of cash include our debt service, voluntary prepayments of debt and the acquisition and production of programming. We continue to increase our investment in original programming, the funding of which generally occurs six to nine months in advance of a program’s airing. We expect this increased investment to continue for the remainder of 2012. Historically, our businesses have not required significant capital expenditures. However, since the Distribution, as we continue to invest in infrastructure, we expect that our capital expenditures may be higher in future periods. In the nine months ended September 30, 2012, we voluntarily prepaid $100,000 of the outstanding balance of the Term A Facility (as defined below) and also paid quarterly installments of $4,463 under the Term B Facility (as defined below). In November 2012, we voluntarily prepaid an additional</w:t>
      </w:r>
    </w:p>
    <w:p>
      <w:pPr>
        <w:sectPr>
          <w:pgSz w:w="11900" w:h="16838" w:orient="portrait"/>
          <w:cols w:equalWidth="0" w:num="1">
            <w:col w:w="11420"/>
          </w:cols>
          <w:pgMar w:left="240" w:top="125"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$50,000 of the outstanding balance of the Term A Facility. The required term loan repayments over the next twelve months will be $5,950. 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level of debt could have important consequences for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June 30, 2011 AMC Networks, as Borrower, and substantially all of its subsidiaries, as restricted subsidiaries, entered into a credit agreement (the “Credit Facility”). The Credit Facility provides AMC Networks with senior secured credit facilities consisting of a $1,130,000 term loan A facility (the “Term A Facility”), a $595,000 term loan B facility (the “Term B Facility”) and a $500,000 revolving credit facility (the “Revolving Facility”). The Term A Facility and the Term B Facility were discounted $5,650 and $12,986, respectively, upon original issuance. The Term A Facility matures June 30, 2017, the Term B Facility matures December 31, 2018 and the Revolving Facility matures June 30, 2016. As of September 30, 2012, amounts outstanding, net of discount, under the Term A Facility and Term B Facility were $926,016 and $576,463, respectively.</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Facility remains undrawn at September 30, 2012. Total undrawn revolver commitments are available to be drawn for our general corporate purposes.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borrowings under the Term A Facility and Revolving Facility portions of the Credit Facility may be voluntarily prepaid without premiums and penalty at any time. From inception through September 30, 2012, we voluntarily prepaid $200,000 of the outstanding balance under the Term A Facility. In November 2012, we voluntarily prepaid an additional $50,000 of the outstanding balance under the Term A Facility. These voluntary prepayments were applied to the earliest required quarterly installments due. As a result, the next required quarterly installment under the Term A Facility will be due on December 31, 2014 in the amount of $4,250.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covenants under its Credit Facility as of September 30, 2012.</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may request an increase in the Term A Facility and/or Revolving Facility by an aggregate amount not exceeding the greater of $400,000 and an amount, which after giving effect to such increase, would not cause the ratio of senior secured debt to annual operating cash flow, as defined in the Credit Facility, to exceed 4.75:1. As of September 30, 2012, the Company does not have any commitments for an incremental facility.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continuing operations and discontinued operations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189"/>
        </w:trPr>
        <w:tc>
          <w:tcPr>
            <w:tcW w:w="462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Continuing operations:</w:t>
            </w:r>
          </w:p>
        </w:tc>
        <w:tc>
          <w:tcPr>
            <w:tcW w:w="30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30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r>
      <w:tr>
        <w:trPr>
          <w:trHeight w:val="243"/>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Cash flow provided by operating activities</w:t>
            </w:r>
          </w:p>
        </w:tc>
        <w:tc>
          <w:tcPr>
            <w:tcW w:w="41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224,002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202,361</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flow used in investing activities</w:t>
            </w:r>
          </w:p>
        </w:tc>
        <w:tc>
          <w:tcPr>
            <w:tcW w:w="30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r>
      <w:tr>
        <w:trPr>
          <w:trHeight w:val="243"/>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Cash flow used in financing activities</w:t>
            </w:r>
          </w:p>
        </w:tc>
        <w:tc>
          <w:tcPr>
            <w:tcW w:w="3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(112,559)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(50,128)</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in cash from continuing operations</w:t>
            </w:r>
          </w:p>
        </w:tc>
        <w:tc>
          <w:tcPr>
            <w:tcW w:w="30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144,847</w:t>
            </w:r>
          </w:p>
        </w:tc>
      </w:tr>
      <w:tr>
        <w:trPr>
          <w:trHeight w:val="203"/>
        </w:trPr>
        <w:tc>
          <w:tcPr>
            <w:tcW w:w="46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Discontinued operations:</w:t>
            </w:r>
          </w:p>
        </w:tc>
        <w:tc>
          <w:tcPr>
            <w:tcW w:w="3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7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in cash from discontinued operations</w:t>
            </w:r>
          </w:p>
        </w:tc>
        <w:tc>
          <w:tcPr>
            <w:tcW w:w="412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r>
      <w:tr>
        <w:trPr>
          <w:trHeight w:val="459"/>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40" w:type="dxa"/>
            <w:vAlign w:val="bottom"/>
          </w:tcPr>
          <w:p>
            <w:pPr>
              <w:jc w:val="right"/>
              <w:ind w:right="1774"/>
              <w:spacing w:after="0"/>
              <w:rPr>
                <w:sz w:val="20"/>
                <w:szCs w:val="20"/>
                <w:color w:val="auto"/>
              </w:rPr>
            </w:pPr>
            <w:r>
              <w:rPr>
                <w:rFonts w:ascii="Arial" w:cs="Arial" w:eastAsia="Arial" w:hAnsi="Arial"/>
                <w:sz w:val="18"/>
                <w:szCs w:val="18"/>
                <w:color w:val="auto"/>
              </w:rPr>
              <w:t>40</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Continuing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Net cash provided by operating activities amounted to $224,002 for the nine months ended September 30, 2012 as compared to $202,361 for the nine months ended September 30, 2011. The September 30, 2012 cash provided by operating activities resulted from $471,517 of net income before depreciation and amortization, amortization of program rights and other non-cash items, a decrease in accounts receivable, trade of $32,550 as well as a net increase in other net liabilities of $33,458 partially offset by payments for program rights of $313,523.</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flows from operating activities for the nine months ended September 30, 2012 is not necessarily indicative of what we expect for the remainder of 2012 due to various factors, including the timing of our cash investments in our original programming, the impact of the settlement of the DISH Network contract dispute and the impact of the DISH Network termination and subsequent resumption of carriage of our national networks (discussed elsewhere herein).</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September 30, 2011 cash provided by operating activities resulted from $455,191 of net income before depreciation and amortization and other non-cash items, partially offset by a decrease in cash resulting from payments for program rights of $224,949, a decrease in accounts payable, accrued expenses and other liabilities of $13,484, an increase in prepaid expenses and other assets of $11,279 and a decrease of other net liabilities of $3,118.</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Net cash used in investing activities for the nine months ended September 30, 2012 and 2011 was $14,508 and $7,386, respectively, which consisted primarily of capital expenditures of $13,673 and $7,129 for the nine months ended September 30, 2012 and 2011, respectively.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used in financing activities amounted to $112,559 for the nine months ended September 30, 2012 as compared to $50,128 for the nine months ended September 30, 2011. For the nine months ended September 30, 2012, financing activities consisted of repayments of credit facility debt of $104,463, treasury stock acquired from the acquisition of restricted shares of $15,989, principal payments on capital leases of $1,047 and payments for financing costs of $393, partially offset by proceeds from stock option exercises of $2,074 and the excess tax benefits from share-based compensation arrangements of $7,259.</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used in financing activities amounted to $50,128 for the nine months ended September 30, 2011. For the nine months ended September 30, 2011, financing activities consisted of proceeds from credit facility debt of $1,442,364 and proceeds from stock option exercises of $2,460, which was more than offset by the repayment of credit facility debt of $826,488, payments for the redemption of senior notes and senior subordinated notes, including tender premiums and fees of $638,365, deferred financing costs of $26,599, principal payments on capital leases of $3,417 and treasury stock acquired from acquisition of restricted shares of $83.</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of September 30, 2012, our off-balance sheet arrangements not reflected on the consolidated balance sheet decreased approximately $26,000 to approximately $317,600 as compared to approximately $343,600 at December 31, 2011. The decrease relates primarily to future program rights obligations.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Pursuant to a registration rights agreement, dated as of June 30, 2011, among AMC Networks, the Subsidiary Guarantors (as defined in the agreement) and the initial purchasers of the $700,000 of AMC Networks 7.75% Senior Notes due July 15, 2021 (the “Notes”), AMC Networks filed a registration statement with the SEC on April 24, 2012 with respect to an offer to exchange the Notes for registered notes (the “Exchange Offer”) with terms identical in all material respects to the Notes except that the registered notes do not contain terms that provide for restrictions on transfer (the “Registered Notes”), which was declared effective by the SEC on June 7, 2012. On July 10, 2012, the Exchange Offer was completed and all of AMC Networks’ original Notes were exchanged for Registered Notes.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discussion has been included to provide a discussion of our annual impairment testing of goodwill and identifiable indefinite-lived intangible assets performed during the first quarter of 2012 and to further expand our discussion relating to program rights addressing the role this policy has in understanding our results of operations. Accordingly, we have not repeated herein a discussion of the Company’s other critical accounting policies as set forth in our 2011 Form 10-K.</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Goodwill and Identifiable Indefinite-Lived Intangible Assets</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accordance with the accounting guidance adopted on January 1, 2012, 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6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purpose of evaluating goodwill impairment at the annual impairment test date, we have five reporting units, which recognized goodwill. These reporting units are AMC, WE tv, IFC and Sundance Channel, which are included in the National Networks reportable segment and AMC Networks Broadcasting &amp; Technology, which is included in the International and Other reportable segment.</w:t>
      </w:r>
    </w:p>
    <w:p>
      <w:pPr>
        <w:spacing w:after="0" w:line="18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assessing the recoverability of goodwill and other long-lived assets, we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are primarily determined using discounted cash flows and comparable market transactions. These valuations are based on estimates and assumptions including projected future cash flows, discount rate and determination of appropriate market comparables and determination of whether a premium or discount should be applied to comparables. These valuations also include assumptions for renewals of affiliation agreements,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our long-lived assets.</w:t>
      </w:r>
    </w:p>
    <w:p>
      <w:pPr>
        <w:spacing w:after="0" w:line="1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 Significant judgments inherent in a valuation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Based on our annual impairment test for goodwill and identifiable indefinite-lived intangible assets during the first quarter of 2012, no impairment charge was required for any of our reporting units. We performed a qualitative assessment for our AMC, WE tv, IFC and AMC Networks Broadcasting and Technology reporting units, which included, but was not limited to, consideration of the historical significant excesses of the estimated fair value of each reporting unit over its respective carrying value (including allocated goodwill), macroeconomic conditions, industry and market considerations, cost factors and historical and projected cash flows. We performed a quantitative assessment for our Sundance Channel reporting unit. Based on the quantitative assessment, if the fair value of the Sundance Channel reporting unit decreased by 11%, the Company would be required to perform step-two of the quantitative assessment.</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indefinite-lived trademark intangible assets relate to Sundance Channel trademarks, which were valued using a relief-from-royalty method in which the expected benefits are valued by discounting estimated royalty revenue over projected revenues covered by the trademarks. In order to evaluate the sensitivity of the fair value calculations for our identifiable indefinite-lived intangible assets, we applied a hypothetical 20% decrease to the estimated fair value of the identifiable indefinite-lived intangible assets. This hypothetical decrease in estimated fair value would have no impact on the impairment analysis.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Program Rights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Rights to programming, including feature films and episodic series, acquired under license agreements are stated at the lower of amortized cost or net realizable value. Such licensed rights along with the related obligations are recorded at the contract value when a license agreement is executed, unless there is uncertainty with respect to either cost, acceptability or availability. If such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uncertainty exists, those rights and obligations are recorded at the earlier of when the uncertainty is resolved or when the license period begins. Costs are amortized to technical and operating expense on a straight-line basis over a period not to exceed the respective license periods.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Our owned original programming is primarily produced by independent production companies, with the remainder produced by us. 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(film-forecast-computation method). Projected attributable revenue is based on previously generated revenues for similar content in established markets, primarily consisting of affiliation fee and advertising revenues, and may also include licensing and digital distribution revenues. Projected program usage is based on the historical usage of similar content. Estimated attributable revenue can change based upon programming market acceptance, levels of affiliation fee revenue, advertising revenue, distribution revenue and program usage. These calculations require management to make assumptions and to apply judgment regarding revenue and planned usage. We periodically review revenue estimates and planned usage and revise our assumptions if necessary, which could either accelerate or delay the timing of amortization expense or result in a write-down of the program right to net realizable value. We believe the most sensitive factor affecting our estimate of ultimate revenues is the program’s audience ratings. A program’s strong performance could result in increased usage and increased revenues resulting in accelerated amortization of production costs. Poor ratings may result in the reduction of planned usage or the abandonment of a program, which would require a write-off of any unamortized production costs. A failure to adjust for a downward change in estimates of ultimate revenues could result in the understatement of program rights amortization expense for the period. Historically, actual ultimate revenue amounts have not significantly differed from our estimates of ultimate revenue.</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periodically review the programming usefulness of our licensed and owned original program rights based on a series of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no future programming usefulness based on actual demand or market conditions, a write-off of the unamortized cost is recorded in technical and operating expense. Program rights write-offs of $8,323 and $665 were recorded for the nine months ended September 30, 2012 and 2011,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October 2012, the Financial Accounting Standards Board (“FASB”) issued Accounting Standards Update (“ASU”) No. 2012-07, Accounting for Fair Value Information That Arises after the Measurement Date and Its Inclusion in the Impairment Analysis of Unamortized Film Costs (ASU 2012-07), which eliminates the rebuttable presumption that the conditions leading to the write-off of unamortized film costs after the balance sheet date existed as of the balance sheet date. ASU 2012-07 also eliminates the requirement that an entity incorporate into fair value measurements used in the impairment tests the effects of any changes in estimates resulting from the consideration of subsequent evidence if the information would not have been considered by market participants at the measurement date. ASU 2012-07 does not change an entity's responsibility to analyze and consider any relevant subsequent events and information to assess whether the fair value measurement reflects all relevant information and assumptions that market participants would have considered under the current conditions at the measurement date. This authoritative guidance will be effective for our programming usefulness impairment assessments performed on or after December 15, 2012 and earlier application is permitted.</w:t>
      </w:r>
    </w:p>
    <w:p>
      <w:pPr>
        <w:spacing w:after="0" w:line="18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July 2012, the FASB issued ASU No. 2012-02, Intangibles - Goodwill and Other (Topic 350): Testing Indefinite-Lived Intangible Assets for Impairment (ASU 2012-02), to allow entities to use a qualitative approach to test indefinite-lived intangible assets for impairment. ASU 2012-02 permits an entity to first perform a qualitative assessment to determine whether the existence of events and circumstances indicates that it is more likely than not that the indefinite-lived intangible asset is impaired. If it is concluded that this is the case, an entity is required to determine the fair value of the indefinite-lived intangible asset and perform the quantitative impairment test by comparing the fair value with the carrying amount in accordance with Subtopic 350-30. Otherwise, the quantitative impairment test is not required. This authoritative guidance will be effective for our 2013 annual impairment test and earlier adoption is permitted. We will evaluate performing a qualitative assessment in 2013.</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dollar amounts included in the following discussion under this Item 3 are presented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September 30, 2012, the fair value of our fixed rate debt of $791,000 was more than its carrying value of $687,169 by $103,831. The fair value of these financial instruments is estimated based on reference to quoted market prices for these or comparable securities. A hypothetical 100 basis point decrease in interest rates prevailing at September 30, 2012 would increase the estimated fair value of our fixed rate debt by approximately $27,000 to approximately $820,000.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2012, we have $2,189,648 of debt outstanding (excluding capital leases), of which $1,502,479 outstanding under our Credit Facility is subject to variable interest rates. A hypothetical 100 basis point increase in interest rates prevailing at September 30, 2012 could increase our annual interest expense approximately $15,000.</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2012, we have interest rate swap contracts outstanding with notional amounts aggregating $849,406. The aggregate fair value of interest rate swap contracts at September 30, 2012 was a liability of $24,429 (included in other liabilities). Accumulated other comprehensive loss consists of $15,390 of cumulative unrealized losses, net of tax, on the floating-to-fixed interest rate swaps. As a result of these transactions, the interest rate paid on approximately 70% of the Company’s debt (excluding capital leases) as of September 30, 2012 is effectively fixed (31% being fixed rate obligations and 39% effectively fixed through utilization of these interest rate swap contracts). At September 30, 2012, the Company’s interest rate cash flow hedges were highly effective, in all material respects.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2012,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report does not include management’s assessment regarding changes in internal control over financial reporting due to a transition period established by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7, Commitments and Contingencies, in the unaudited consolidated financial statements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93"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920" w:type="dxa"/>
            <w:vAlign w:val="bottom"/>
          </w:tcPr>
          <w:p>
            <w:pPr>
              <w:jc w:val="right"/>
              <w:ind w:right="370"/>
              <w:spacing w:after="0"/>
              <w:rPr>
                <w:sz w:val="20"/>
                <w:szCs w:val="20"/>
                <w:color w:val="auto"/>
              </w:rPr>
            </w:pPr>
            <w:r>
              <w:rPr>
                <w:rFonts w:ascii="Arial" w:cs="Arial" w:eastAsia="Arial" w:hAnsi="Arial"/>
                <w:sz w:val="18"/>
                <w:szCs w:val="18"/>
                <w:color w:val="auto"/>
                <w:w w:val="93"/>
              </w:rPr>
              <w:t>* 10.1</w:t>
            </w:r>
          </w:p>
        </w:tc>
        <w:tc>
          <w:tcPr>
            <w:tcW w:w="10100" w:type="dxa"/>
            <w:vAlign w:val="bottom"/>
            <w:vMerge w:val="restart"/>
          </w:tcPr>
          <w:p>
            <w:pPr>
              <w:ind w:left="460"/>
              <w:spacing w:after="0"/>
              <w:rPr>
                <w:sz w:val="20"/>
                <w:szCs w:val="20"/>
                <w:color w:val="auto"/>
              </w:rPr>
            </w:pPr>
            <w:r>
              <w:rPr>
                <w:rFonts w:ascii="Arial" w:cs="Arial" w:eastAsia="Arial" w:hAnsi="Arial"/>
                <w:sz w:val="18"/>
                <w:szCs w:val="18"/>
                <w:color w:val="auto"/>
                <w:w w:val="92"/>
              </w:rPr>
              <w:t>Settlement Agreement dated as of October 21, 2012 by and between Voom HD Holdings LLC, CSC Holdings, LLC, DISH Network</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0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100" w:type="dxa"/>
            <w:vAlign w:val="bottom"/>
          </w:tcPr>
          <w:p>
            <w:pPr>
              <w:ind w:left="460"/>
              <w:spacing w:after="0"/>
              <w:rPr>
                <w:sz w:val="20"/>
                <w:szCs w:val="20"/>
                <w:color w:val="auto"/>
              </w:rPr>
            </w:pPr>
            <w:r>
              <w:rPr>
                <w:rFonts w:ascii="Arial" w:cs="Arial" w:eastAsia="Arial" w:hAnsi="Arial"/>
                <w:sz w:val="18"/>
                <w:szCs w:val="18"/>
                <w:color w:val="auto"/>
                <w:w w:val="94"/>
              </w:rPr>
              <w:t>L.L.C., and for certain limited purposes, MSG Holdings, L.P., The Madison Square Garden Company and EchoStar Corporation.</w:t>
            </w:r>
          </w:p>
        </w:tc>
        <w:tc>
          <w:tcPr>
            <w:tcW w:w="0" w:type="dxa"/>
            <w:vAlign w:val="bottom"/>
          </w:tcPr>
          <w:p>
            <w:pPr>
              <w:spacing w:after="0"/>
              <w:rPr>
                <w:sz w:val="1"/>
                <w:szCs w:val="1"/>
                <w:color w:val="auto"/>
              </w:rPr>
            </w:pPr>
          </w:p>
        </w:tc>
      </w:tr>
      <w:tr>
        <w:trPr>
          <w:trHeight w:val="689"/>
        </w:trPr>
        <w:tc>
          <w:tcPr>
            <w:tcW w:w="92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1010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92"/>
        </w:trPr>
        <w:tc>
          <w:tcPr>
            <w:tcW w:w="92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1010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20" w:right="160" w:hanging="1234"/>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 18 U.S.C. Section 1350.</w:t>
      </w:r>
    </w:p>
    <w:p>
      <w:pPr>
        <w:spacing w:after="0" w:line="130" w:lineRule="exact"/>
        <w:rPr>
          <w:sz w:val="20"/>
          <w:szCs w:val="20"/>
          <w:color w:val="auto"/>
        </w:rPr>
      </w:pPr>
    </w:p>
    <w:p>
      <w:pPr>
        <w:ind w:left="160"/>
        <w:spacing w:after="0"/>
        <w:tabs>
          <w:tab w:leader="none" w:pos="1600" w:val="left"/>
        </w:tabs>
        <w:rPr>
          <w:sz w:val="20"/>
          <w:szCs w:val="20"/>
          <w:color w:val="auto"/>
        </w:rPr>
      </w:pPr>
      <w:r>
        <w:rPr>
          <w:rFonts w:ascii="Arial" w:cs="Arial" w:eastAsia="Arial" w:hAnsi="Arial"/>
          <w:sz w:val="18"/>
          <w:szCs w:val="18"/>
          <w:color w:val="auto"/>
        </w:rPr>
        <w:t>** 101.INS</w:t>
      </w:r>
      <w:r>
        <w:rPr>
          <w:sz w:val="20"/>
          <w:szCs w:val="20"/>
          <w:color w:val="auto"/>
        </w:rPr>
        <w:tab/>
      </w:r>
      <w:r>
        <w:rPr>
          <w:rFonts w:ascii="Arial" w:cs="Arial" w:eastAsia="Arial" w:hAnsi="Arial"/>
          <w:sz w:val="16"/>
          <w:szCs w:val="16"/>
          <w:color w:val="auto"/>
        </w:rPr>
        <w:t>XBRL Instance Document.</w:t>
      </w:r>
    </w:p>
    <w:p>
      <w:pPr>
        <w:spacing w:after="0" w:line="185" w:lineRule="exact"/>
        <w:rPr>
          <w:sz w:val="20"/>
          <w:szCs w:val="20"/>
          <w:color w:val="auto"/>
        </w:rPr>
      </w:pPr>
    </w:p>
    <w:p>
      <w:pPr>
        <w:ind w:left="380" w:hanging="228"/>
        <w:spacing w:after="0"/>
        <w:tabs>
          <w:tab w:leader="none" w:pos="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101.SCH</w:t>
      </w:r>
      <w:r>
        <w:rPr>
          <w:rFonts w:ascii="Arial" w:cs="Arial" w:eastAsia="Arial" w:hAnsi="Arial"/>
          <w:sz w:val="16"/>
          <w:szCs w:val="16"/>
          <w:color w:val="auto"/>
        </w:rPr>
        <w:t>XBRL Taxonomy Extension Schema Document.</w:t>
      </w:r>
    </w:p>
    <w:p>
      <w:pPr>
        <w:spacing w:after="0" w:line="184" w:lineRule="exact"/>
        <w:rPr>
          <w:rFonts w:ascii="Arial" w:cs="Arial" w:eastAsia="Arial" w:hAnsi="Arial"/>
          <w:sz w:val="18"/>
          <w:szCs w:val="18"/>
          <w:color w:val="auto"/>
        </w:rPr>
      </w:pPr>
    </w:p>
    <w:p>
      <w:pPr>
        <w:ind w:left="380" w:hanging="228"/>
        <w:spacing w:after="0"/>
        <w:tabs>
          <w:tab w:leader="none" w:pos="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101.CAL</w:t>
      </w:r>
      <w:r>
        <w:rPr>
          <w:rFonts w:ascii="Arial" w:cs="Arial" w:eastAsia="Arial" w:hAnsi="Arial"/>
          <w:sz w:val="16"/>
          <w:szCs w:val="16"/>
          <w:color w:val="auto"/>
        </w:rPr>
        <w:t>XBRL Taxonomy Extension Calculation Linkbase Document.</w:t>
      </w:r>
    </w:p>
    <w:p>
      <w:pPr>
        <w:spacing w:after="0" w:line="184" w:lineRule="exact"/>
        <w:rPr>
          <w:rFonts w:ascii="Arial" w:cs="Arial" w:eastAsia="Arial" w:hAnsi="Arial"/>
          <w:sz w:val="18"/>
          <w:szCs w:val="18"/>
          <w:color w:val="auto"/>
        </w:rPr>
      </w:pPr>
    </w:p>
    <w:p>
      <w:pPr>
        <w:ind w:left="380" w:hanging="228"/>
        <w:spacing w:after="0"/>
        <w:tabs>
          <w:tab w:leader="none" w:pos="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101.DEF</w:t>
      </w:r>
      <w:r>
        <w:rPr>
          <w:rFonts w:ascii="Arial" w:cs="Arial" w:eastAsia="Arial" w:hAnsi="Arial"/>
          <w:sz w:val="16"/>
          <w:szCs w:val="16"/>
          <w:color w:val="auto"/>
        </w:rPr>
        <w:t>XBRL Taxonomy Extension Definition Linkbase.</w:t>
      </w:r>
    </w:p>
    <w:p>
      <w:pPr>
        <w:spacing w:after="0" w:line="184" w:lineRule="exact"/>
        <w:rPr>
          <w:rFonts w:ascii="Arial" w:cs="Arial" w:eastAsia="Arial" w:hAnsi="Arial"/>
          <w:sz w:val="18"/>
          <w:szCs w:val="18"/>
          <w:color w:val="auto"/>
        </w:rPr>
      </w:pPr>
    </w:p>
    <w:p>
      <w:pPr>
        <w:ind w:left="380" w:hanging="228"/>
        <w:spacing w:after="0"/>
        <w:tabs>
          <w:tab w:leader="none" w:pos="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 Linkbase Document.</w:t>
      </w:r>
    </w:p>
    <w:p>
      <w:pPr>
        <w:spacing w:after="0" w:line="184" w:lineRule="exact"/>
        <w:rPr>
          <w:rFonts w:ascii="Arial" w:cs="Arial" w:eastAsia="Arial" w:hAnsi="Arial"/>
          <w:sz w:val="18"/>
          <w:szCs w:val="18"/>
          <w:color w:val="auto"/>
        </w:rPr>
      </w:pPr>
    </w:p>
    <w:p>
      <w:pPr>
        <w:ind w:left="380" w:hanging="228"/>
        <w:spacing w:after="0"/>
        <w:tabs>
          <w:tab w:leader="none" w:pos="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101.PRE</w:t>
      </w:r>
      <w:r>
        <w:rPr>
          <w:rFonts w:ascii="Arial" w:cs="Arial" w:eastAsia="Arial" w:hAnsi="Arial"/>
          <w:sz w:val="16"/>
          <w:szCs w:val="16"/>
          <w:color w:val="auto"/>
        </w:rPr>
        <w:t>XBRL Taxonomy Extension Presentation Linkbase Document.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117" w:lineRule="exact"/>
        <w:rPr>
          <w:rFonts w:ascii="Arial" w:cs="Arial" w:eastAsia="Arial" w:hAnsi="Arial"/>
          <w:sz w:val="18"/>
          <w:szCs w:val="18"/>
          <w:color w:val="auto"/>
        </w:rPr>
      </w:pPr>
    </w:p>
    <w:p>
      <w:pPr>
        <w:ind w:left="66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Securities and Exchange Commission in accordance with a request for confidential treatment pursuant to Rule 24b-2 under the Securities Exchange Act of 1934, as amended.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185" w:lineRule="exact"/>
        <w:rPr>
          <w:sz w:val="20"/>
          <w:szCs w:val="20"/>
          <w:color w:val="auto"/>
        </w:rPr>
      </w:pPr>
    </w:p>
    <w:p>
      <w:pPr>
        <w:ind w:left="240"/>
        <w:spacing w:after="0"/>
        <w:tabs>
          <w:tab w:leader="none" w:pos="562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0784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10.1</w:t>
      </w:r>
    </w:p>
    <w:p>
      <w:pPr>
        <w:spacing w:after="0" w:line="163" w:lineRule="exact"/>
        <w:rPr>
          <w:sz w:val="20"/>
          <w:szCs w:val="20"/>
          <w:color w:val="auto"/>
        </w:rPr>
      </w:pPr>
    </w:p>
    <w:p>
      <w:pPr>
        <w:jc w:val="center"/>
        <w:ind w:left="5840"/>
        <w:spacing w:after="0"/>
        <w:rPr>
          <w:sz w:val="20"/>
          <w:szCs w:val="20"/>
          <w:color w:val="auto"/>
        </w:rPr>
      </w:pPr>
      <w:r>
        <w:rPr>
          <w:rFonts w:ascii="Arial" w:cs="Arial" w:eastAsia="Arial" w:hAnsi="Arial"/>
          <w:sz w:val="20"/>
          <w:szCs w:val="20"/>
          <w:b w:val="1"/>
          <w:bCs w:val="1"/>
          <w:color w:val="auto"/>
        </w:rPr>
        <w:t>EXECUTION</w:t>
      </w:r>
    </w:p>
    <w:p>
      <w:pPr>
        <w:spacing w:after="0" w:line="108" w:lineRule="exact"/>
        <w:rPr>
          <w:sz w:val="20"/>
          <w:szCs w:val="20"/>
          <w:color w:val="auto"/>
        </w:rPr>
      </w:pPr>
    </w:p>
    <w:p>
      <w:pPr>
        <w:jc w:val="center"/>
        <w:ind w:left="5840"/>
        <w:spacing w:after="0"/>
        <w:rPr>
          <w:sz w:val="20"/>
          <w:szCs w:val="20"/>
          <w:color w:val="auto"/>
        </w:rPr>
      </w:pPr>
      <w:r>
        <w:rPr>
          <w:rFonts w:ascii="Arial" w:cs="Arial" w:eastAsia="Arial" w:hAnsi="Arial"/>
          <w:sz w:val="20"/>
          <w:szCs w:val="20"/>
          <w:b w:val="1"/>
          <w:bCs w:val="1"/>
          <w:color w:val="auto"/>
        </w:rPr>
        <w:t>VERSION</w:t>
      </w:r>
    </w:p>
    <w:p>
      <w:pPr>
        <w:spacing w:after="0" w:line="270" w:lineRule="exact"/>
        <w:rPr>
          <w:sz w:val="20"/>
          <w:szCs w:val="20"/>
          <w:color w:val="auto"/>
        </w:rPr>
      </w:pPr>
    </w:p>
    <w:p>
      <w:pPr>
        <w:ind w:left="7860"/>
        <w:spacing w:after="0"/>
        <w:rPr>
          <w:sz w:val="20"/>
          <w:szCs w:val="20"/>
          <w:color w:val="auto"/>
        </w:rPr>
      </w:pPr>
      <w:r>
        <w:rPr>
          <w:rFonts w:ascii="Arial" w:cs="Arial" w:eastAsia="Arial" w:hAnsi="Arial"/>
          <w:sz w:val="20"/>
          <w:szCs w:val="20"/>
          <w:b w:val="1"/>
          <w:bCs w:val="1"/>
          <w:u w:val="single" w:color="auto"/>
          <w:color w:val="auto"/>
        </w:rPr>
        <w:t>CONFIDENTIAL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CONFIDENTIAL SETTLEMENT AGREEMENT AND RELEASE</w:t>
      </w:r>
    </w:p>
    <w:p>
      <w:pPr>
        <w:spacing w:after="0" w:line="200" w:lineRule="exact"/>
        <w:rPr>
          <w:sz w:val="20"/>
          <w:szCs w:val="20"/>
          <w:color w:val="auto"/>
        </w:rPr>
      </w:pPr>
    </w:p>
    <w:p>
      <w:pPr>
        <w:spacing w:after="0" w:line="244" w:lineRule="exact"/>
        <w:rPr>
          <w:sz w:val="20"/>
          <w:szCs w:val="20"/>
          <w:color w:val="auto"/>
        </w:rPr>
      </w:pPr>
    </w:p>
    <w:p>
      <w:pPr>
        <w:ind w:right="80"/>
        <w:spacing w:after="0" w:line="248" w:lineRule="auto"/>
        <w:rPr>
          <w:sz w:val="20"/>
          <w:szCs w:val="20"/>
          <w:color w:val="auto"/>
        </w:rPr>
      </w:pPr>
      <w:r>
        <w:rPr>
          <w:rFonts w:ascii="Arial" w:cs="Arial" w:eastAsia="Arial" w:hAnsi="Arial"/>
          <w:sz w:val="23"/>
          <w:szCs w:val="23"/>
          <w:color w:val="auto"/>
        </w:rPr>
        <w:t>This CONFIDENTIAL SETTLEMENT AGREEMENT and RELEASE (this “Agreement”) is made and entered into as of October 21, 2012 (the “Effective Date”) by and between VOOM HD Holdings LLC f/k/a Rainbow HD Holdings LLC (“Rainbow”) and CSC Holdings, LLC (“Cablevision”), on the one hand, and DISH Network L.L.C. f/k/a EchoStar Satellite L.L.C. (“DISH”), on the other hand, and solely for the purposes set forth in Section 3(a) below, DISH Media Holdings Corporation f/k/a EchoStar Media Holdings Corporation (“DISH Media”), and solely for the purposes set forth in Sections 1(c) and 3(c) below, MSG Holdings, L.P. (“MSG Holdings”) and The Madison Square Garden Company (“MSG”), and solely for the purposes set forth in Section 2 below, EchoStar Corporation (“EchoStar Corporation”). Rainbow, DISH, DISH Media, MSG Holdings, MSG, Cablevision and EchoStar Corporation shall each be referred to as a “Party” and collectively as the “Parties.”</w:t>
      </w:r>
    </w:p>
    <w:p>
      <w:pPr>
        <w:spacing w:after="0" w:line="289" w:lineRule="exact"/>
        <w:rPr>
          <w:sz w:val="20"/>
          <w:szCs w:val="20"/>
          <w:color w:val="auto"/>
        </w:rPr>
      </w:pPr>
    </w:p>
    <w:p>
      <w:pPr>
        <w:jc w:val="both"/>
        <w:ind w:right="340" w:firstLine="648"/>
        <w:spacing w:after="0" w:line="27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Rainbow and DISH and/or certain of their respective affiliates entered into a series of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relating to certain programming channels collectively known as VOOM (the “Joint Venture”), which was documented pursuant to, among other agreements, an Investment Agreement dated April 28, 2005; an EchoStar Satellite L.L.C.</w:t>
      </w:r>
    </w:p>
    <w:p>
      <w:pPr>
        <w:ind w:right="880"/>
        <w:spacing w:after="0" w:line="257" w:lineRule="auto"/>
        <w:rPr>
          <w:sz w:val="20"/>
          <w:szCs w:val="20"/>
          <w:color w:val="auto"/>
        </w:rPr>
      </w:pPr>
      <w:r>
        <w:rPr>
          <w:rFonts w:ascii="Arial" w:cs="Arial" w:eastAsia="Arial" w:hAnsi="Arial"/>
          <w:sz w:val="23"/>
          <w:szCs w:val="23"/>
          <w:color w:val="auto"/>
        </w:rPr>
        <w:t>Affiliation Agreement, dated November 17, 2005 (the “VOOM Affiliation Agreement”); and a Limited Liability Company Agreement dated November 17, 2005.</w:t>
      </w:r>
    </w:p>
    <w:p>
      <w:pPr>
        <w:spacing w:after="0" w:line="272" w:lineRule="exact"/>
        <w:rPr>
          <w:sz w:val="20"/>
          <w:szCs w:val="20"/>
          <w:color w:val="auto"/>
        </w:rPr>
      </w:pPr>
    </w:p>
    <w:p>
      <w:pPr>
        <w:ind w:right="200" w:firstLine="648"/>
        <w:spacing w:after="0" w:line="263" w:lineRule="auto"/>
        <w:rPr>
          <w:sz w:val="20"/>
          <w:szCs w:val="20"/>
          <w:color w:val="auto"/>
        </w:rPr>
      </w:pPr>
      <w:r>
        <w:rPr>
          <w:rFonts w:ascii="Arial" w:cs="Arial" w:eastAsia="Arial" w:hAnsi="Arial"/>
          <w:sz w:val="23"/>
          <w:szCs w:val="23"/>
          <w:b w:val="1"/>
          <w:bCs w:val="1"/>
          <w:color w:val="auto"/>
        </w:rPr>
        <w:t>WHEREAS</w:t>
      </w:r>
      <w:r>
        <w:rPr>
          <w:rFonts w:ascii="Arial" w:cs="Arial" w:eastAsia="Arial" w:hAnsi="Arial"/>
          <w:sz w:val="23"/>
          <w:szCs w:val="23"/>
          <w:color w:val="auto"/>
        </w:rPr>
        <w:t>, certain of the Parties are currently engaged in litigation concerning the Joint Venture in a case</w:t>
      </w:r>
      <w:r>
        <w:rPr>
          <w:rFonts w:ascii="Arial" w:cs="Arial" w:eastAsia="Arial" w:hAnsi="Arial"/>
          <w:sz w:val="23"/>
          <w:szCs w:val="23"/>
          <w:b w:val="1"/>
          <w:bCs w:val="1"/>
          <w:color w:val="auto"/>
        </w:rPr>
        <w:t xml:space="preserve"> </w:t>
      </w:r>
      <w:r>
        <w:rPr>
          <w:rFonts w:ascii="Arial" w:cs="Arial" w:eastAsia="Arial" w:hAnsi="Arial"/>
          <w:sz w:val="23"/>
          <w:szCs w:val="23"/>
          <w:color w:val="auto"/>
        </w:rPr>
        <w:t xml:space="preserve">pending before Justice Richard B. Lowe III in the Supreme Court of New York, Commercial Division, and captioned as </w:t>
      </w:r>
      <w:r>
        <w:rPr>
          <w:rFonts w:ascii="Arial" w:cs="Arial" w:eastAsia="Arial" w:hAnsi="Arial"/>
          <w:sz w:val="23"/>
          <w:szCs w:val="23"/>
          <w:i w:val="1"/>
          <w:iCs w:val="1"/>
          <w:color w:val="auto"/>
        </w:rPr>
        <w:t>VOOM HD Holdings LLC v. EchoStar Satellite L.L.C</w:t>
      </w:r>
      <w:r>
        <w:rPr>
          <w:rFonts w:ascii="Arial" w:cs="Arial" w:eastAsia="Arial" w:hAnsi="Arial"/>
          <w:sz w:val="23"/>
          <w:szCs w:val="23"/>
          <w:color w:val="auto"/>
        </w:rPr>
        <w:t>. (Index No. 600292/2008) (the “Lawsuit”).</w:t>
      </w:r>
    </w:p>
    <w:p>
      <w:pPr>
        <w:spacing w:after="0" w:line="265" w:lineRule="exact"/>
        <w:rPr>
          <w:sz w:val="20"/>
          <w:szCs w:val="20"/>
          <w:color w:val="auto"/>
        </w:rPr>
      </w:pPr>
    </w:p>
    <w:p>
      <w:pPr>
        <w:ind w:right="200" w:firstLine="648"/>
        <w:spacing w:after="0" w:line="281" w:lineRule="auto"/>
        <w:rPr>
          <w:sz w:val="20"/>
          <w:szCs w:val="20"/>
          <w:color w:val="auto"/>
        </w:rPr>
      </w:pPr>
      <w:r>
        <w:rPr>
          <w:rFonts w:ascii="Arial" w:cs="Arial" w:eastAsia="Arial" w:hAnsi="Arial"/>
          <w:sz w:val="23"/>
          <w:szCs w:val="23"/>
          <w:b w:val="1"/>
          <w:bCs w:val="1"/>
          <w:color w:val="auto"/>
        </w:rPr>
        <w:t>WHEREAS</w:t>
      </w:r>
      <w:r>
        <w:rPr>
          <w:rFonts w:ascii="Arial" w:cs="Arial" w:eastAsia="Arial" w:hAnsi="Arial"/>
          <w:sz w:val="23"/>
          <w:szCs w:val="23"/>
          <w:color w:val="auto"/>
        </w:rPr>
        <w:t>, in the Lawsuit, Rainbow alleges that DISH breached the VOOM Affiliation Agreement; and DISH</w:t>
      </w:r>
      <w:r>
        <w:rPr>
          <w:rFonts w:ascii="Arial" w:cs="Arial" w:eastAsia="Arial" w:hAnsi="Arial"/>
          <w:sz w:val="23"/>
          <w:szCs w:val="23"/>
          <w:b w:val="1"/>
          <w:bCs w:val="1"/>
          <w:color w:val="auto"/>
        </w:rPr>
        <w:t xml:space="preserve"> </w:t>
      </w:r>
      <w:r>
        <w:rPr>
          <w:rFonts w:ascii="Arial" w:cs="Arial" w:eastAsia="Arial" w:hAnsi="Arial"/>
          <w:sz w:val="23"/>
          <w:szCs w:val="23"/>
          <w:color w:val="auto"/>
        </w:rPr>
        <w:t>has asserted counterclaims against Rainbow.</w:t>
      </w:r>
    </w:p>
    <w:p>
      <w:pPr>
        <w:spacing w:after="0" w:line="245" w:lineRule="exact"/>
        <w:rPr>
          <w:sz w:val="20"/>
          <w:szCs w:val="20"/>
          <w:color w:val="auto"/>
        </w:rPr>
      </w:pPr>
    </w:p>
    <w:p>
      <w:pPr>
        <w:ind w:right="60" w:firstLine="648"/>
        <w:spacing w:after="0" w:line="281" w:lineRule="auto"/>
        <w:rPr>
          <w:sz w:val="20"/>
          <w:szCs w:val="20"/>
          <w:color w:val="auto"/>
        </w:rPr>
      </w:pPr>
      <w:r>
        <w:rPr>
          <w:rFonts w:ascii="Arial" w:cs="Arial" w:eastAsia="Arial" w:hAnsi="Arial"/>
          <w:sz w:val="23"/>
          <w:szCs w:val="23"/>
          <w:b w:val="1"/>
          <w:bCs w:val="1"/>
          <w:color w:val="auto"/>
        </w:rPr>
        <w:t>WHEREAS</w:t>
      </w:r>
      <w:r>
        <w:rPr>
          <w:rFonts w:ascii="Arial" w:cs="Arial" w:eastAsia="Arial" w:hAnsi="Arial"/>
          <w:sz w:val="23"/>
          <w:szCs w:val="23"/>
          <w:color w:val="auto"/>
        </w:rPr>
        <w:t>, certain of the Parties now desire to settle the Lawsuit in accordance with the terms and conditions of</w:t>
      </w:r>
      <w:r>
        <w:rPr>
          <w:rFonts w:ascii="Arial" w:cs="Arial" w:eastAsia="Arial" w:hAnsi="Arial"/>
          <w:sz w:val="23"/>
          <w:szCs w:val="23"/>
          <w:b w:val="1"/>
          <w:bCs w:val="1"/>
          <w:color w:val="auto"/>
        </w:rPr>
        <w:t xml:space="preserve"> </w:t>
      </w:r>
      <w:r>
        <w:rPr>
          <w:rFonts w:ascii="Arial" w:cs="Arial" w:eastAsia="Arial" w:hAnsi="Arial"/>
          <w:sz w:val="23"/>
          <w:szCs w:val="23"/>
          <w:color w:val="auto"/>
        </w:rPr>
        <w:t>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0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420"/>
          </w:cols>
          <w:pgMar w:left="240" w:top="125" w:right="239" w:bottom="1440" w:gutter="0" w:footer="0" w:header="0"/>
        </w:sectPr>
      </w:pPr>
    </w:p>
    <w:bookmarkStart w:id="49" w:name="page50"/>
    <w:bookmarkEnd w:id="49"/>
    <w:p>
      <w:pPr>
        <w:ind w:right="40" w:firstLine="648"/>
        <w:spacing w:after="0" w:line="263" w:lineRule="auto"/>
        <w:rPr>
          <w:sz w:val="20"/>
          <w:szCs w:val="20"/>
          <w:color w:val="auto"/>
        </w:rPr>
      </w:pPr>
      <w:r>
        <w:rPr>
          <w:rFonts w:ascii="Arial" w:cs="Arial" w:eastAsia="Arial" w:hAnsi="Arial"/>
          <w:sz w:val="23"/>
          <w:szCs w:val="23"/>
          <w:b w:val="1"/>
          <w:bCs w:val="1"/>
          <w:color w:val="auto"/>
        </w:rPr>
        <w:t>NOW, THEREFORE</w:t>
      </w:r>
      <w:r>
        <w:rPr>
          <w:rFonts w:ascii="Arial" w:cs="Arial" w:eastAsia="Arial" w:hAnsi="Arial"/>
          <w:sz w:val="23"/>
          <w:szCs w:val="23"/>
          <w:color w:val="auto"/>
        </w:rPr>
        <w:t>, in consideration of the foregoing recitals and the mutual covenants, agreements and</w:t>
      </w:r>
      <w:r>
        <w:rPr>
          <w:rFonts w:ascii="Arial" w:cs="Arial" w:eastAsia="Arial" w:hAnsi="Arial"/>
          <w:sz w:val="23"/>
          <w:szCs w:val="23"/>
          <w:b w:val="1"/>
          <w:bCs w:val="1"/>
          <w:color w:val="auto"/>
        </w:rPr>
        <w:t xml:space="preserve"> </w:t>
      </w:r>
      <w:r>
        <w:rPr>
          <w:rFonts w:ascii="Arial" w:cs="Arial" w:eastAsia="Arial" w:hAnsi="Arial"/>
          <w:sz w:val="23"/>
          <w:szCs w:val="23"/>
          <w:color w:val="auto"/>
        </w:rPr>
        <w:t>representations set forth herein, and for other good and valuable consideration, the receipt of and sufficiency of which are hereby acknowledged, the Parties hereby agree as follows:</w:t>
      </w:r>
    </w:p>
    <w:p>
      <w:pPr>
        <w:spacing w:after="0" w:line="265"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Payment and Dismissal of Lawsuit</w:t>
      </w:r>
      <w:r>
        <w:rPr>
          <w:rFonts w:ascii="Arial" w:cs="Arial" w:eastAsia="Arial" w:hAnsi="Arial"/>
          <w:sz w:val="23"/>
          <w:szCs w:val="23"/>
          <w:b w:val="1"/>
          <w:bCs w:val="1"/>
          <w:color w:val="auto"/>
        </w:rPr>
        <w:t>.</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In full and final settlement of the Lawsuit:</w:t>
      </w:r>
    </w:p>
    <w:p>
      <w:pPr>
        <w:spacing w:after="0" w:line="330" w:lineRule="exact"/>
        <w:rPr>
          <w:sz w:val="20"/>
          <w:szCs w:val="20"/>
          <w:color w:val="auto"/>
        </w:rPr>
      </w:pPr>
    </w:p>
    <w:p>
      <w:pPr>
        <w:ind w:left="980" w:hanging="324"/>
        <w:spacing w:after="0" w:line="261"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DISH agrees to pay Seven Hundred Million U.S. Dollars ($700,000,000) by electronic funds transfer to an account designated by Rainbow according to instructions provided in Exhibit A (the “Payment”), a portion of which ($80,000,000) is in consideration for the agreement of DTV Norwich, LLC (“DTV”) to transfer to DISH certain MVDDS spectrum licenses pursuant to the terms set forth in that certain License Purchase Agreement of even date herewith by and between DTV and DISH (the “License Purchase Agreement”). For the avoidance of doubt, the consideration for the transfer of such MVDDS spectrum licenses is included in the Payment, and no additional consideration is independently owing under the License Purchase Agreement. DISH shall make the Payment no later than two (2) business days after the Effective Date. The date the Payment is received shall be referred to herein as the “Settlement Date.”</w:t>
      </w:r>
    </w:p>
    <w:p>
      <w:pPr>
        <w:spacing w:after="0" w:line="279" w:lineRule="exact"/>
        <w:rPr>
          <w:rFonts w:ascii="Arial" w:cs="Arial" w:eastAsia="Arial" w:hAnsi="Arial"/>
          <w:sz w:val="22"/>
          <w:szCs w:val="22"/>
          <w:color w:val="auto"/>
        </w:rPr>
      </w:pPr>
    </w:p>
    <w:p>
      <w:pPr>
        <w:ind w:left="980" w:right="220" w:hanging="324"/>
        <w:spacing w:after="0" w:line="252" w:lineRule="auto"/>
        <w:tabs>
          <w:tab w:leader="none" w:pos="980" w:val="left"/>
        </w:tabs>
        <w:numPr>
          <w:ilvl w:val="0"/>
          <w:numId w:val="23"/>
        </w:numPr>
        <w:rPr>
          <w:rFonts w:ascii="Arial" w:cs="Arial" w:eastAsia="Arial" w:hAnsi="Arial"/>
          <w:sz w:val="23"/>
          <w:szCs w:val="23"/>
          <w:color w:val="auto"/>
        </w:rPr>
      </w:pPr>
      <w:r>
        <w:rPr>
          <w:rFonts w:ascii="Arial" w:cs="Arial" w:eastAsia="Arial" w:hAnsi="Arial"/>
          <w:sz w:val="23"/>
          <w:szCs w:val="23"/>
          <w:color w:val="auto"/>
        </w:rPr>
        <w:t>On the first business day after the Effective Date, Rainbow and DISH will jointly request the Court to “so order” the terms of Sections 1(a), 1(b) and 1(d) herein and enter such terms into the record. As promptly as practicable after the Settlement Date, but in any event within two (2) business days after the Settlement Date, Rainbow and DISH shall file a joint stipulation to dismiss the Lawsuit with prejudice, and shall take all other actions reasonably necessary to secure such dismissal.</w:t>
      </w:r>
    </w:p>
    <w:p>
      <w:pPr>
        <w:spacing w:after="0" w:line="286" w:lineRule="exact"/>
        <w:rPr>
          <w:rFonts w:ascii="Arial" w:cs="Arial" w:eastAsia="Arial" w:hAnsi="Arial"/>
          <w:sz w:val="23"/>
          <w:szCs w:val="23"/>
          <w:color w:val="auto"/>
        </w:rPr>
      </w:pPr>
    </w:p>
    <w:p>
      <w:pPr>
        <w:ind w:left="980" w:right="20" w:hanging="324"/>
        <w:spacing w:after="0" w:line="255" w:lineRule="auto"/>
        <w:tabs>
          <w:tab w:leader="none" w:pos="980" w:val="left"/>
        </w:tabs>
        <w:numPr>
          <w:ilvl w:val="0"/>
          <w:numId w:val="23"/>
        </w:numPr>
        <w:rPr>
          <w:rFonts w:ascii="Arial" w:cs="Arial" w:eastAsia="Arial" w:hAnsi="Arial"/>
          <w:sz w:val="23"/>
          <w:szCs w:val="23"/>
          <w:color w:val="auto"/>
        </w:rPr>
      </w:pPr>
      <w:r>
        <w:rPr>
          <w:rFonts w:ascii="Arial" w:cs="Arial" w:eastAsia="Arial" w:hAnsi="Arial"/>
          <w:sz w:val="23"/>
          <w:szCs w:val="23"/>
          <w:color w:val="auto"/>
        </w:rPr>
        <w:t>Simultaneously with the execution of this Agreement, DISH and certain subsidiaries of each of AMC Networks Inc. (“AMC Networks”) and MSG shall execute an affiliation agreement for the carriage by DISH of certain programming channels owned and operated by AMC Networks and MSG (the “AMC/MSG Affiliation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19" w:lineRule="exact"/>
        <w:rPr>
          <w:sz w:val="20"/>
          <w:szCs w:val="20"/>
          <w:color w:val="auto"/>
        </w:rPr>
      </w:pPr>
    </w:p>
    <w:p>
      <w:pPr>
        <w:ind w:right="30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420"/>
          </w:cols>
          <w:pgMar w:left="240" w:top="513" w:right="239" w:bottom="1440" w:gutter="0" w:footer="0" w:header="0"/>
        </w:sectPr>
      </w:pPr>
    </w:p>
    <w:bookmarkStart w:id="50" w:name="page51"/>
    <w:bookmarkEnd w:id="50"/>
    <w:p>
      <w:pPr>
        <w:ind w:left="980" w:hanging="324"/>
        <w:spacing w:after="0" w:line="262" w:lineRule="auto"/>
        <w:tabs>
          <w:tab w:leader="none" w:pos="9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Simultaneously with the execution of this Agreement, DISH shall cause DISH Media to convey its 20 percent limited liability interest in Rainbow to Rainbow Programming Holdings, LLC (“Rainbow Programming”) pursuant to that certain Interest Transfer Agreement of even date herewith by and between DISH Media, Rainbow Programming, Rainbow Media Holdings, LLC, and for the limited purposes named therein, Rainbow, Rainbow Media Enterprises, Inc. and DISH (the “Interest Transfer Agreement”), and upon such transfer, DISH Media shall no longer have any rights in (including any right to the Payment), claims against or obligations or liabilities with respect to Rainbow or its income, gains, losses, deductions or credits, other than any specific obligations or liabilities set forth in this Agreement.</w:t>
      </w:r>
    </w:p>
    <w:p>
      <w:pPr>
        <w:spacing w:after="0" w:line="269" w:lineRule="exact"/>
        <w:rPr>
          <w:rFonts w:ascii="Arial" w:cs="Arial" w:eastAsia="Arial" w:hAnsi="Arial"/>
          <w:sz w:val="22"/>
          <w:szCs w:val="22"/>
          <w:color w:val="auto"/>
        </w:rPr>
      </w:pPr>
    </w:p>
    <w:p>
      <w:pPr>
        <w:ind w:left="420" w:hanging="412"/>
        <w:spacing w:after="0"/>
        <w:tabs>
          <w:tab w:leader="none" w:pos="420" w:val="left"/>
        </w:tabs>
        <w:numPr>
          <w:ilvl w:val="0"/>
          <w:numId w:val="25"/>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Mutual Releases</w:t>
      </w:r>
    </w:p>
    <w:p>
      <w:pPr>
        <w:spacing w:after="0" w:line="336"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color w:val="auto"/>
        </w:rPr>
        <w:t>Effective upon the Settlement Date, each of DISH and EchoStar Corporation, for themselves and on behalf of their respective predecessors, successors, heirs, and assigns, and all of their respective Affiliates (as defined below), and each of these entities’ respective past, present and future directors, officers, shareholders, agents, employees, attorneys, consultants and representatives (collectively, the “DISH Releasors”), and each of Rainbow and Cablevision, for themselves and on behalf of their respective predecessors, successors, heirs and assigns, and all of their respective Affiliates, and each of these entities’ respective past present and future directors, officers, shareholders, agents, employees, attorneys, consultants and representatives (the “Rainbow Releasors,” and together with the DISH Releasors, the “Releasing Parties”) hereby completely and forever release, discharge and acquit each other, from any and all manner of causes of action, suits, debts, liabilities, judgments, executions, dues, damages, penalties, obligations, accounts, reckonings, bonds, bills, specialties, covenants, contracts, agreements, promises, and any and all claims and demands of every conceivable kind, whether now known or unknown, whether in law or in equity, whether liquidated or unliquidated, which any of the Releasing Parties ever had, now has, or may ever claim to have relating to, arising out of, or in connection with the Joint Venture and/or the Lawsuit. Notwithstanding the foregoing, each of the Releasing Parties retains and does not release or waive any claims that may arise under the License Purchase Agreement (or any Ancillary Agreement, as defined therein), the AMC/MSG Affiliation Agreement, or the Interest Transfer Agreement (the “Transaction Agreements”), each as described in Section 1 above. As used herein, “Affiliates” shall mean: (i) with respect to Rainbow, AMC Networks and its controlled subsidiaries; (ii) with respect to Cablevision, Cablevision Systems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9" w:lineRule="exact"/>
        <w:rPr>
          <w:sz w:val="20"/>
          <w:szCs w:val="20"/>
          <w:color w:val="auto"/>
        </w:rPr>
      </w:pPr>
    </w:p>
    <w:p>
      <w:pPr>
        <w:ind w:right="28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400"/>
          </w:cols>
          <w:pgMar w:left="240" w:top="519" w:right="259" w:bottom="1440" w:gutter="0" w:footer="0" w:header="0"/>
        </w:sectPr>
      </w:pPr>
    </w:p>
    <w:bookmarkStart w:id="51" w:name="page52"/>
    <w:bookmarkEnd w:id="51"/>
    <w:p>
      <w:pPr>
        <w:ind w:right="120"/>
        <w:spacing w:after="0" w:line="299" w:lineRule="auto"/>
        <w:rPr>
          <w:sz w:val="20"/>
          <w:szCs w:val="20"/>
          <w:color w:val="auto"/>
        </w:rPr>
      </w:pPr>
      <w:r>
        <w:rPr>
          <w:rFonts w:ascii="Arial" w:cs="Arial" w:eastAsia="Arial" w:hAnsi="Arial"/>
          <w:sz w:val="22"/>
          <w:szCs w:val="22"/>
          <w:color w:val="auto"/>
        </w:rPr>
        <w:t>and its controlled subsidiaries; (iii) with respect to DISH, DISH Network Corporation and its controlled subsidiaries and (iv) with respect to EchoStar Corporation, EchoStar Corporation and its controlled subsidiaries.</w:t>
      </w:r>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23"/>
          <w:szCs w:val="23"/>
          <w:color w:val="auto"/>
        </w:rPr>
        <w:t>In entering into this Agreement, the Releasing Parties acknowledge that they may hereafter discover facts different from, or in addition to, those which they now know or believe to be true with respect to the releases herein made, and agree that every release herein made is now and will remain effective notwithstanding the existence or the discovery of such additional facts.</w:t>
      </w:r>
    </w:p>
    <w:p>
      <w:pPr>
        <w:spacing w:after="0" w:line="275"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Further Undertakings</w:t>
      </w:r>
    </w:p>
    <w:p>
      <w:pPr>
        <w:spacing w:after="0" w:line="335" w:lineRule="exact"/>
        <w:rPr>
          <w:rFonts w:ascii="Arial" w:cs="Arial" w:eastAsia="Arial" w:hAnsi="Arial"/>
          <w:sz w:val="23"/>
          <w:szCs w:val="23"/>
          <w:b w:val="1"/>
          <w:bCs w:val="1"/>
          <w:color w:val="auto"/>
        </w:rPr>
      </w:pPr>
    </w:p>
    <w:p>
      <w:pPr>
        <w:ind w:left="660" w:right="460" w:hanging="328"/>
        <w:spacing w:after="0" w:line="260" w:lineRule="auto"/>
        <w:tabs>
          <w:tab w:leader="none" w:pos="660" w:val="left"/>
        </w:tabs>
        <w:numPr>
          <w:ilvl w:val="1"/>
          <w:numId w:val="26"/>
        </w:numPr>
        <w:rPr>
          <w:rFonts w:ascii="Arial" w:cs="Arial" w:eastAsia="Arial" w:hAnsi="Arial"/>
          <w:sz w:val="23"/>
          <w:szCs w:val="23"/>
          <w:color w:val="auto"/>
        </w:rPr>
      </w:pPr>
      <w:r>
        <w:rPr>
          <w:rFonts w:ascii="Arial" w:cs="Arial" w:eastAsia="Arial" w:hAnsi="Arial"/>
          <w:sz w:val="23"/>
          <w:szCs w:val="23"/>
          <w:color w:val="auto"/>
        </w:rPr>
        <w:t>DISH Media consents, in its capacity as a member of Rainbow, to the execution, delivery and performance by Rainbow of this Agreement and the Transaction Agreements to which Rainbow will be a party and the consummation by Rainbow of the transactions contemplated hereby and thereby.</w:t>
      </w:r>
    </w:p>
    <w:p>
      <w:pPr>
        <w:spacing w:after="0" w:line="274" w:lineRule="exact"/>
        <w:rPr>
          <w:rFonts w:ascii="Arial" w:cs="Arial" w:eastAsia="Arial" w:hAnsi="Arial"/>
          <w:sz w:val="23"/>
          <w:szCs w:val="23"/>
          <w:color w:val="auto"/>
        </w:rPr>
      </w:pPr>
    </w:p>
    <w:p>
      <w:pPr>
        <w:ind w:left="660" w:hanging="328"/>
        <w:spacing w:after="0"/>
        <w:tabs>
          <w:tab w:leader="none" w:pos="660" w:val="left"/>
        </w:tabs>
        <w:numPr>
          <w:ilvl w:val="1"/>
          <w:numId w:val="26"/>
        </w:numPr>
        <w:rPr>
          <w:rFonts w:ascii="Arial" w:cs="Arial" w:eastAsia="Arial" w:hAnsi="Arial"/>
          <w:sz w:val="23"/>
          <w:szCs w:val="23"/>
          <w:color w:val="auto"/>
        </w:rPr>
      </w:pPr>
      <w:r>
        <w:rPr>
          <w:rFonts w:ascii="Arial" w:cs="Arial" w:eastAsia="Arial" w:hAnsi="Arial"/>
          <w:sz w:val="23"/>
          <w:szCs w:val="23"/>
          <w:color w:val="auto"/>
        </w:rPr>
        <w:t>***</w:t>
      </w:r>
    </w:p>
    <w:p>
      <w:pPr>
        <w:spacing w:after="0" w:line="329" w:lineRule="exact"/>
        <w:rPr>
          <w:rFonts w:ascii="Arial" w:cs="Arial" w:eastAsia="Arial" w:hAnsi="Arial"/>
          <w:sz w:val="23"/>
          <w:szCs w:val="23"/>
          <w:color w:val="auto"/>
        </w:rPr>
      </w:pPr>
    </w:p>
    <w:p>
      <w:pPr>
        <w:ind w:left="660" w:right="20" w:hanging="328"/>
        <w:spacing w:after="0" w:line="260" w:lineRule="auto"/>
        <w:tabs>
          <w:tab w:leader="none" w:pos="6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DISH agrees that, as of the Effective Date, it shall immediately withdraw its pending FCC program access action, </w:t>
      </w:r>
      <w:r>
        <w:rPr>
          <w:rFonts w:ascii="Arial" w:cs="Arial" w:eastAsia="Arial" w:hAnsi="Arial"/>
          <w:sz w:val="22"/>
          <w:szCs w:val="22"/>
          <w:i w:val="1"/>
          <w:iCs w:val="1"/>
          <w:color w:val="auto"/>
        </w:rPr>
        <w:t>DISH Network L.L.C. v. Madison Square Garden, Inc., and Madison Square Garden, L.P</w:t>
      </w:r>
      <w:r>
        <w:rPr>
          <w:rFonts w:ascii="Arial" w:cs="Arial" w:eastAsia="Arial" w:hAnsi="Arial"/>
          <w:sz w:val="22"/>
          <w:szCs w:val="22"/>
          <w:color w:val="auto"/>
        </w:rPr>
        <w:t>. (File No. CSR 8367-P)</w:t>
      </w:r>
      <w:r>
        <w:rPr>
          <w:rFonts w:ascii="Arial" w:cs="Arial" w:eastAsia="Arial" w:hAnsi="Arial"/>
          <w:sz w:val="22"/>
          <w:szCs w:val="22"/>
          <w:i w:val="1"/>
          <w:iCs w:val="1"/>
          <w:color w:val="auto"/>
        </w:rPr>
        <w:t xml:space="preserve"> </w:t>
      </w:r>
      <w:r>
        <w:rPr>
          <w:rFonts w:ascii="Arial" w:cs="Arial" w:eastAsia="Arial" w:hAnsi="Arial"/>
          <w:sz w:val="22"/>
          <w:szCs w:val="22"/>
          <w:color w:val="auto"/>
        </w:rPr>
        <w:t>(the “FCC Action”) against Madison Square Garden, L.P. (currently known as MSG Holdings, L.P. and defined above as “MSG Holdings”) and Madison Square Garden, Inc. (currently known as The Madison Square Garden Company and defined above as “MSG”) (collectively with the controlled subsidiaries of MSG, the “MSG Parties”) with prejudice. The DISH Releasors, on the one hand, and, effective on the Settlement Date, the MSG Parties, on the other hand, hereby completely and forever release, discharge and acquit each other and each other’s respective successors and assigns from any and all manner of causes of action, suits, debts, liabilities, judgments, executions, dues, damages, penalties, obligations, accounts, reckonings, bonds, bills, specialties, covenants, contracts, agreements, promises, and any and all claims and demands of every conceivable kind whether now known or unknown, whether in law or in equity, whether liquidated or unliquidated arising out of or related to the issues in the FCC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9" w:lineRule="exact"/>
        <w:rPr>
          <w:sz w:val="20"/>
          <w:szCs w:val="20"/>
          <w:color w:val="auto"/>
        </w:rPr>
      </w:pPr>
    </w:p>
    <w:p>
      <w:pPr>
        <w:ind w:right="28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400"/>
          </w:cols>
          <w:pgMar w:left="240" w:top="519" w:right="259" w:bottom="1440" w:gutter="0" w:footer="0" w:header="0"/>
        </w:sectPr>
      </w:pPr>
    </w:p>
    <w:bookmarkStart w:id="52" w:name="page53"/>
    <w:bookmarkEnd w:id="52"/>
    <w:p>
      <w:pPr>
        <w:ind w:left="420" w:hanging="412"/>
        <w:spacing w:after="0"/>
        <w:tabs>
          <w:tab w:leader="none" w:pos="420" w:val="left"/>
        </w:tabs>
        <w:numPr>
          <w:ilvl w:val="0"/>
          <w:numId w:val="27"/>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Confidentiality</w:t>
      </w:r>
    </w:p>
    <w:p>
      <w:pPr>
        <w:spacing w:after="0" w:line="336"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The Releasing Parties agree to keep this Agreement and its terms and conditions strictly confidential and shall not disclose this Agreement, or its terms and conditions to any person or entity in any manner whatsoever for any reason, except that the Releasing Parties shall be entitled to disclose this information (a) to their respective directors, officers, employees, financial advisors, tax consultants, legal counsel, and accountants, provided that each such recipient shall be advised of its confidentiality and shall agree to be bound by this provision of this Agreement; (b) to a court, arbitrator or mediator in order to enforce its terms; and/or (c) as may be required by applicable law (including securities laws), regulation, or stock exchange rules and regulations, including in response to a regulator’s request, valid subpoena, court order, or other compulsory legal process. Without limiting the foregoing, nothing herein shall prohibit, however, the Releasing Parties from disclosing the fact that they have settled the Lawsuit or the terms of the settlement as described in Section 1 above. The Parties shall consult with each other before issuing, and provide each other the opportunity to review and promptly comment upon, any press release or other public statement with respect to the terms of this Agreement, including any Form 8-K filing, and shall not issue any such press release or make any such public statement or filing prior to such consultation.</w:t>
      </w:r>
    </w:p>
    <w:p>
      <w:pPr>
        <w:spacing w:after="0" w:line="287" w:lineRule="exact"/>
        <w:rPr>
          <w:sz w:val="20"/>
          <w:szCs w:val="20"/>
          <w:color w:val="auto"/>
        </w:rPr>
      </w:pPr>
    </w:p>
    <w:p>
      <w:pPr>
        <w:spacing w:after="0" w:line="248" w:lineRule="auto"/>
        <w:rPr>
          <w:sz w:val="20"/>
          <w:szCs w:val="20"/>
          <w:color w:val="auto"/>
        </w:rPr>
      </w:pPr>
      <w:r>
        <w:rPr>
          <w:rFonts w:ascii="Arial" w:cs="Arial" w:eastAsia="Arial" w:hAnsi="Arial"/>
          <w:sz w:val="23"/>
          <w:szCs w:val="23"/>
          <w:color w:val="auto"/>
        </w:rPr>
        <w:t>Upon receipt of any order, subpoena or other compulsory legal process demanding production or disclosure of this Agreement or any of its terms, or when they believe that disclosure is required by law, Rainbow, Cablevision, DISH, DISH Media, MSG Holdings, MSG and EchoStar Corporation each agree that they will promptly notify the other Parties in writing of the anticipated disclosure and the identity of the individual or entity requesting the disclosure or the source of the disclosure obligation, no later than ten (10) business days prior to the date the disclosure is to be made, or sufficiently in advance as is reasonably practicable under the circumstances; provided, however, that no such notice shall be required for any disclosure that is (a) substantially similar to a disclosure for which notification has previously been provided in accordance with this Section 4 or (b) permitted under the second sentence of the immediately preceding paragraph.</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19" w:lineRule="exact"/>
        <w:rPr>
          <w:sz w:val="20"/>
          <w:szCs w:val="20"/>
          <w:color w:val="auto"/>
        </w:rPr>
      </w:pPr>
    </w:p>
    <w:p>
      <w:pPr>
        <w:ind w:right="22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340"/>
          </w:cols>
          <w:pgMar w:left="240" w:top="513" w:right="319" w:bottom="1440" w:gutter="0" w:footer="0" w:header="0"/>
        </w:sectPr>
      </w:pPr>
    </w:p>
    <w:bookmarkStart w:id="53" w:name="page54"/>
    <w:bookmarkEnd w:id="53"/>
    <w:p>
      <w:pPr>
        <w:ind w:left="420" w:hanging="412"/>
        <w:spacing w:after="0"/>
        <w:tabs>
          <w:tab w:leader="none" w:pos="420" w:val="left"/>
        </w:tabs>
        <w:numPr>
          <w:ilvl w:val="0"/>
          <w:numId w:val="28"/>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Representations and Warranties</w:t>
      </w:r>
    </w:p>
    <w:p>
      <w:pPr>
        <w:spacing w:after="0" w:line="336" w:lineRule="exact"/>
        <w:rPr>
          <w:sz w:val="20"/>
          <w:szCs w:val="20"/>
          <w:color w:val="auto"/>
        </w:rPr>
      </w:pPr>
    </w:p>
    <w:p>
      <w:pPr>
        <w:spacing w:after="0"/>
        <w:rPr>
          <w:sz w:val="20"/>
          <w:szCs w:val="20"/>
          <w:color w:val="auto"/>
        </w:rPr>
      </w:pPr>
      <w:r>
        <w:rPr>
          <w:rFonts w:ascii="Arial" w:cs="Arial" w:eastAsia="Arial" w:hAnsi="Arial"/>
          <w:sz w:val="23"/>
          <w:szCs w:val="23"/>
          <w:color w:val="auto"/>
        </w:rPr>
        <w:t>Each of the Parties expressly represents, warrants and agrees as follows:</w:t>
      </w:r>
    </w:p>
    <w:p>
      <w:pPr>
        <w:spacing w:after="0" w:line="330" w:lineRule="exact"/>
        <w:rPr>
          <w:sz w:val="20"/>
          <w:szCs w:val="20"/>
          <w:color w:val="auto"/>
        </w:rPr>
      </w:pPr>
    </w:p>
    <w:p>
      <w:pPr>
        <w:ind w:left="1400" w:right="80" w:hanging="663"/>
        <w:spacing w:after="0" w:line="255" w:lineRule="auto"/>
        <w:tabs>
          <w:tab w:leader="none" w:pos="1382" w:val="left"/>
        </w:tabs>
        <w:numPr>
          <w:ilvl w:val="1"/>
          <w:numId w:val="29"/>
        </w:numPr>
        <w:rPr>
          <w:rFonts w:ascii="Arial" w:cs="Arial" w:eastAsia="Arial" w:hAnsi="Arial"/>
          <w:sz w:val="23"/>
          <w:szCs w:val="23"/>
          <w:color w:val="auto"/>
        </w:rPr>
      </w:pPr>
      <w:r>
        <w:rPr>
          <w:rFonts w:ascii="Arial" w:cs="Arial" w:eastAsia="Arial" w:hAnsi="Arial"/>
          <w:sz w:val="23"/>
          <w:szCs w:val="23"/>
          <w:color w:val="auto"/>
        </w:rPr>
        <w:t>it is a corporation or a limited liability company or a limited partnership validly existing and in good standing, and that it has all the requisite corporate power and authority to execute and deliver this Agreement and to perform its obligations hereunder, both on its own behalf and on behalf of its Releasing Parties;</w:t>
      </w:r>
    </w:p>
    <w:p>
      <w:pPr>
        <w:spacing w:after="0" w:line="280" w:lineRule="exact"/>
        <w:rPr>
          <w:rFonts w:ascii="Arial" w:cs="Arial" w:eastAsia="Arial" w:hAnsi="Arial"/>
          <w:sz w:val="23"/>
          <w:szCs w:val="23"/>
          <w:color w:val="auto"/>
        </w:rPr>
      </w:pPr>
    </w:p>
    <w:p>
      <w:pPr>
        <w:jc w:val="both"/>
        <w:ind w:left="1400" w:right="40" w:hanging="663"/>
        <w:spacing w:after="0" w:line="260" w:lineRule="auto"/>
        <w:tabs>
          <w:tab w:leader="none" w:pos="1382" w:val="left"/>
        </w:tabs>
        <w:numPr>
          <w:ilvl w:val="1"/>
          <w:numId w:val="29"/>
        </w:numPr>
        <w:rPr>
          <w:rFonts w:ascii="Arial" w:cs="Arial" w:eastAsia="Arial" w:hAnsi="Arial"/>
          <w:sz w:val="23"/>
          <w:szCs w:val="23"/>
          <w:color w:val="auto"/>
        </w:rPr>
      </w:pPr>
      <w:r>
        <w:rPr>
          <w:rFonts w:ascii="Arial" w:cs="Arial" w:eastAsia="Arial" w:hAnsi="Arial"/>
          <w:sz w:val="23"/>
          <w:szCs w:val="23"/>
          <w:color w:val="auto"/>
        </w:rPr>
        <w:t>the execution, delivery and performance of this Agreement will not result in any violation or be in conflict with its charter or by-laws or any agreement, order, judgment, decree, statute, rule or regulation applicable to it;</w:t>
      </w:r>
    </w:p>
    <w:p>
      <w:pPr>
        <w:spacing w:after="0" w:line="274" w:lineRule="exact"/>
        <w:rPr>
          <w:rFonts w:ascii="Arial" w:cs="Arial" w:eastAsia="Arial" w:hAnsi="Arial"/>
          <w:sz w:val="23"/>
          <w:szCs w:val="23"/>
          <w:color w:val="auto"/>
        </w:rPr>
      </w:pPr>
    </w:p>
    <w:p>
      <w:pPr>
        <w:ind w:left="1400" w:hanging="663"/>
        <w:spacing w:after="0" w:line="299" w:lineRule="auto"/>
        <w:tabs>
          <w:tab w:leader="none" w:pos="1382"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there has been and will be no assignment, sale, transfer or hypothecation, by operation of law or otherwise, of any claim, right, cause of action, demand, obligation, liability or interest released herein;</w:t>
      </w:r>
    </w:p>
    <w:p>
      <w:pPr>
        <w:spacing w:after="0" w:line="234" w:lineRule="exact"/>
        <w:rPr>
          <w:rFonts w:ascii="Arial" w:cs="Arial" w:eastAsia="Arial" w:hAnsi="Arial"/>
          <w:sz w:val="22"/>
          <w:szCs w:val="22"/>
          <w:color w:val="auto"/>
        </w:rPr>
      </w:pPr>
    </w:p>
    <w:p>
      <w:pPr>
        <w:ind w:left="1380" w:hanging="643"/>
        <w:spacing w:after="0"/>
        <w:tabs>
          <w:tab w:leader="none" w:pos="1380" w:val="left"/>
        </w:tabs>
        <w:numPr>
          <w:ilvl w:val="1"/>
          <w:numId w:val="29"/>
        </w:numPr>
        <w:rPr>
          <w:rFonts w:ascii="Arial" w:cs="Arial" w:eastAsia="Arial" w:hAnsi="Arial"/>
          <w:sz w:val="23"/>
          <w:szCs w:val="23"/>
          <w:color w:val="auto"/>
        </w:rPr>
      </w:pPr>
      <w:r>
        <w:rPr>
          <w:rFonts w:ascii="Arial" w:cs="Arial" w:eastAsia="Arial" w:hAnsi="Arial"/>
          <w:sz w:val="23"/>
          <w:szCs w:val="23"/>
          <w:color w:val="auto"/>
        </w:rPr>
        <w:t>it has thoroughly read and understood this Agreement in its entirety;</w:t>
      </w:r>
    </w:p>
    <w:p>
      <w:pPr>
        <w:spacing w:after="0" w:line="329" w:lineRule="exact"/>
        <w:rPr>
          <w:rFonts w:ascii="Arial" w:cs="Arial" w:eastAsia="Arial" w:hAnsi="Arial"/>
          <w:sz w:val="23"/>
          <w:szCs w:val="23"/>
          <w:color w:val="auto"/>
        </w:rPr>
      </w:pPr>
    </w:p>
    <w:p>
      <w:pPr>
        <w:jc w:val="both"/>
        <w:ind w:left="1400" w:right="40" w:hanging="663"/>
        <w:spacing w:after="0" w:line="260" w:lineRule="auto"/>
        <w:tabs>
          <w:tab w:leader="none" w:pos="1382" w:val="left"/>
        </w:tabs>
        <w:numPr>
          <w:ilvl w:val="1"/>
          <w:numId w:val="29"/>
        </w:numPr>
        <w:rPr>
          <w:rFonts w:ascii="Arial" w:cs="Arial" w:eastAsia="Arial" w:hAnsi="Arial"/>
          <w:sz w:val="23"/>
          <w:szCs w:val="23"/>
          <w:color w:val="auto"/>
        </w:rPr>
      </w:pPr>
      <w:r>
        <w:rPr>
          <w:rFonts w:ascii="Arial" w:cs="Arial" w:eastAsia="Arial" w:hAnsi="Arial"/>
          <w:sz w:val="23"/>
          <w:szCs w:val="23"/>
          <w:color w:val="auto"/>
        </w:rPr>
        <w:t>it is executing this Agreement freely and voluntarily without duress or influence by any other Party or any third person, and is doing so after receiving advice from its respective counsel and with full understanding of its consequences;</w:t>
      </w:r>
    </w:p>
    <w:p>
      <w:pPr>
        <w:spacing w:after="0" w:line="274" w:lineRule="exact"/>
        <w:rPr>
          <w:rFonts w:ascii="Arial" w:cs="Arial" w:eastAsia="Arial" w:hAnsi="Arial"/>
          <w:sz w:val="23"/>
          <w:szCs w:val="23"/>
          <w:color w:val="auto"/>
        </w:rPr>
      </w:pPr>
    </w:p>
    <w:p>
      <w:pPr>
        <w:ind w:left="1400" w:right="60" w:hanging="663"/>
        <w:spacing w:after="0" w:line="276" w:lineRule="auto"/>
        <w:tabs>
          <w:tab w:leader="none" w:pos="1382" w:val="left"/>
        </w:tabs>
        <w:numPr>
          <w:ilvl w:val="1"/>
          <w:numId w:val="29"/>
        </w:numPr>
        <w:rPr>
          <w:rFonts w:ascii="Arial" w:cs="Arial" w:eastAsia="Arial" w:hAnsi="Arial"/>
          <w:sz w:val="23"/>
          <w:szCs w:val="23"/>
          <w:color w:val="auto"/>
        </w:rPr>
      </w:pPr>
      <w:r>
        <w:rPr>
          <w:rFonts w:ascii="Arial" w:cs="Arial" w:eastAsia="Arial" w:hAnsi="Arial"/>
          <w:sz w:val="23"/>
          <w:szCs w:val="23"/>
          <w:color w:val="auto"/>
        </w:rPr>
        <w:t>it has made such investigation of the facts pertaining to the Lawsuit, the settlement of the Lawsuit and this Agreement and of all the matters pertaining to it as such Party deems necessary; and</w:t>
      </w:r>
    </w:p>
    <w:p>
      <w:pPr>
        <w:spacing w:after="0" w:line="256" w:lineRule="exact"/>
        <w:rPr>
          <w:rFonts w:ascii="Arial" w:cs="Arial" w:eastAsia="Arial" w:hAnsi="Arial"/>
          <w:sz w:val="23"/>
          <w:szCs w:val="23"/>
          <w:color w:val="auto"/>
        </w:rPr>
      </w:pPr>
    </w:p>
    <w:p>
      <w:pPr>
        <w:ind w:left="1380" w:hanging="643"/>
        <w:spacing w:after="0"/>
        <w:tabs>
          <w:tab w:leader="none" w:pos="1380" w:val="left"/>
        </w:tabs>
        <w:numPr>
          <w:ilvl w:val="1"/>
          <w:numId w:val="29"/>
        </w:numPr>
        <w:rPr>
          <w:rFonts w:ascii="Arial" w:cs="Arial" w:eastAsia="Arial" w:hAnsi="Arial"/>
          <w:sz w:val="23"/>
          <w:szCs w:val="23"/>
          <w:color w:val="auto"/>
        </w:rPr>
      </w:pPr>
      <w:r>
        <w:rPr>
          <w:rFonts w:ascii="Arial" w:cs="Arial" w:eastAsia="Arial" w:hAnsi="Arial"/>
          <w:sz w:val="23"/>
          <w:szCs w:val="23"/>
          <w:color w:val="auto"/>
        </w:rPr>
        <w:t>this Agreement is valid and binding on its Releasing Parties.</w:t>
      </w:r>
    </w:p>
    <w:p>
      <w:pPr>
        <w:spacing w:after="0" w:line="323" w:lineRule="exact"/>
        <w:rPr>
          <w:rFonts w:ascii="Arial" w:cs="Arial" w:eastAsia="Arial" w:hAnsi="Arial"/>
          <w:sz w:val="23"/>
          <w:szCs w:val="23"/>
          <w:color w:val="auto"/>
        </w:rPr>
      </w:pPr>
    </w:p>
    <w:p>
      <w:pPr>
        <w:ind w:left="420" w:hanging="412"/>
        <w:spacing w:after="0"/>
        <w:tabs>
          <w:tab w:leader="none" w:pos="420" w:val="left"/>
        </w:tabs>
        <w:numPr>
          <w:ilvl w:val="0"/>
          <w:numId w:val="30"/>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Entire Agreement</w:t>
      </w:r>
    </w:p>
    <w:p>
      <w:pPr>
        <w:spacing w:after="0" w:line="336" w:lineRule="exact"/>
        <w:rPr>
          <w:sz w:val="20"/>
          <w:szCs w:val="20"/>
          <w:color w:val="auto"/>
        </w:rPr>
      </w:pPr>
    </w:p>
    <w:p>
      <w:pPr>
        <w:spacing w:after="0" w:line="270" w:lineRule="auto"/>
        <w:rPr>
          <w:sz w:val="20"/>
          <w:szCs w:val="20"/>
          <w:color w:val="auto"/>
        </w:rPr>
      </w:pPr>
      <w:r>
        <w:rPr>
          <w:rFonts w:ascii="Arial" w:cs="Arial" w:eastAsia="Arial" w:hAnsi="Arial"/>
          <w:sz w:val="22"/>
          <w:szCs w:val="22"/>
          <w:color w:val="auto"/>
        </w:rPr>
        <w:t>This Agreement and the Transaction Agreements represent the full and complete agreement of the Parties with respect to the subject matter hereof, and supersede any prior agreements relating thereto, whether oral or written. There are no representations, warranties, promises or other statements, express or implied, written or oral, upon which the Parties have relied, except as expressly set forth in this Agreement and the Transaction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19" w:lineRule="exact"/>
        <w:rPr>
          <w:sz w:val="20"/>
          <w:szCs w:val="20"/>
          <w:color w:val="auto"/>
        </w:rPr>
      </w:pPr>
    </w:p>
    <w:p>
      <w:pPr>
        <w:ind w:right="26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380"/>
          </w:cols>
          <w:pgMar w:left="240" w:top="513" w:right="279" w:bottom="1440" w:gutter="0" w:footer="0" w:header="0"/>
        </w:sectPr>
      </w:pPr>
    </w:p>
    <w:bookmarkStart w:id="54" w:name="page55"/>
    <w:bookmarkEnd w:id="54"/>
    <w:p>
      <w:pPr>
        <w:ind w:left="420" w:hanging="412"/>
        <w:spacing w:after="0"/>
        <w:tabs>
          <w:tab w:leader="none" w:pos="420" w:val="left"/>
        </w:tabs>
        <w:numPr>
          <w:ilvl w:val="0"/>
          <w:numId w:val="31"/>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No Admission of Liability</w:t>
      </w:r>
    </w:p>
    <w:p>
      <w:pPr>
        <w:spacing w:after="0" w:line="336" w:lineRule="exact"/>
        <w:rPr>
          <w:sz w:val="20"/>
          <w:szCs w:val="20"/>
          <w:color w:val="auto"/>
        </w:rPr>
      </w:pPr>
    </w:p>
    <w:p>
      <w:pPr>
        <w:ind w:right="120"/>
        <w:spacing w:after="0" w:line="255" w:lineRule="auto"/>
        <w:rPr>
          <w:sz w:val="20"/>
          <w:szCs w:val="20"/>
          <w:color w:val="auto"/>
        </w:rPr>
      </w:pPr>
      <w:r>
        <w:rPr>
          <w:rFonts w:ascii="Arial" w:cs="Arial" w:eastAsia="Arial" w:hAnsi="Arial"/>
          <w:sz w:val="23"/>
          <w:szCs w:val="23"/>
          <w:color w:val="auto"/>
        </w:rPr>
        <w:t>Nothing contained in this Agreement shall constitute, or be construed as, an admission of liability or wrongdoing by any Party, and neither this Agreement nor the terms or contents thereof shall be admissible in any court, administrative proceeding, arbitration, or other dispute resolution proceeding except to the extent necessary to enforce the rights and/or obligations arising under this Agreement.</w:t>
      </w:r>
    </w:p>
    <w:p>
      <w:pPr>
        <w:spacing w:after="0" w:line="275"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Applicable Law and Venue</w:t>
      </w:r>
    </w:p>
    <w:p>
      <w:pPr>
        <w:spacing w:after="0" w:line="336" w:lineRule="exact"/>
        <w:rPr>
          <w:sz w:val="20"/>
          <w:szCs w:val="20"/>
          <w:color w:val="auto"/>
        </w:rPr>
      </w:pPr>
    </w:p>
    <w:p>
      <w:pPr>
        <w:ind w:right="20"/>
        <w:spacing w:after="0" w:line="255" w:lineRule="auto"/>
        <w:rPr>
          <w:sz w:val="20"/>
          <w:szCs w:val="20"/>
          <w:color w:val="auto"/>
        </w:rPr>
      </w:pPr>
      <w:r>
        <w:rPr>
          <w:rFonts w:ascii="Arial" w:cs="Arial" w:eastAsia="Arial" w:hAnsi="Arial"/>
          <w:sz w:val="23"/>
          <w:szCs w:val="23"/>
          <w:color w:val="auto"/>
        </w:rPr>
        <w:t>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(other than Section 5-1401 of the New York General Obligations Law).</w:t>
      </w:r>
    </w:p>
    <w:p>
      <w:pPr>
        <w:spacing w:after="0" w:line="281"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Each of the Parties irrevocably agrees that any legal action or proceeding arising out of or relating to this Agreement brought by another Party or its successors or assigns shall be brought and determined in any federal court sitting in the Borough of Manhattan in The City of New York (or, if and only if such court lacks subject matter jurisdiction or such court determines that, notwithstanding the parties’ submission to personal jurisdiction, it lacks personal jurisdiction, then in any New York State court of competent jurisdiction sitting in the Borough of Manhattan in The City of New York), and each of the Parties hereby irrevocably submits to the sole and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19" w:lineRule="exact"/>
        <w:rPr>
          <w:sz w:val="20"/>
          <w:szCs w:val="20"/>
          <w:color w:val="auto"/>
        </w:rPr>
      </w:pPr>
    </w:p>
    <w:p>
      <w:pPr>
        <w:ind w:right="28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400"/>
          </w:cols>
          <w:pgMar w:left="240" w:top="513" w:right="259" w:bottom="1440" w:gutter="0" w:footer="0" w:header="0"/>
        </w:sectPr>
      </w:pPr>
    </w:p>
    <w:bookmarkStart w:id="55" w:name="page56"/>
    <w:bookmarkEnd w:id="55"/>
    <w:p>
      <w:pPr>
        <w:ind w:right="20"/>
        <w:spacing w:after="0" w:line="270" w:lineRule="auto"/>
        <w:rPr>
          <w:sz w:val="20"/>
          <w:szCs w:val="20"/>
          <w:color w:val="auto"/>
        </w:rPr>
      </w:pPr>
      <w:r>
        <w:rPr>
          <w:rFonts w:ascii="Arial" w:cs="Arial" w:eastAsia="Arial" w:hAnsi="Arial"/>
          <w:sz w:val="22"/>
          <w:szCs w:val="22"/>
          <w:color w:val="auto"/>
        </w:rPr>
        <w:t>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260"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Construction</w:t>
      </w:r>
    </w:p>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22"/>
          <w:szCs w:val="22"/>
          <w:color w:val="auto"/>
        </w:rPr>
        <w:t>The Parties acknowledge that they have contributed substantially and materially to the preparation of this Agreement, and the Parties agree that this Agreement and its terms shall not be construed in favor of or against any Party by virtue of the fact that this Agreement may have been drafted or prepared by counsel for one of the Parties.</w:t>
      </w:r>
    </w:p>
    <w:p>
      <w:pPr>
        <w:spacing w:after="0" w:line="253"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Severability</w:t>
      </w:r>
    </w:p>
    <w:p>
      <w:pPr>
        <w:spacing w:after="0" w:line="336" w:lineRule="exact"/>
        <w:rPr>
          <w:sz w:val="20"/>
          <w:szCs w:val="20"/>
          <w:color w:val="auto"/>
        </w:rPr>
      </w:pPr>
    </w:p>
    <w:p>
      <w:pPr>
        <w:ind w:right="180"/>
        <w:spacing w:after="0" w:line="252" w:lineRule="auto"/>
        <w:rPr>
          <w:sz w:val="20"/>
          <w:szCs w:val="20"/>
          <w:color w:val="auto"/>
        </w:rPr>
      </w:pPr>
      <w:r>
        <w:rPr>
          <w:rFonts w:ascii="Arial" w:cs="Arial" w:eastAsia="Arial" w:hAnsi="Arial"/>
          <w:sz w:val="23"/>
          <w:szCs w:val="23"/>
          <w:color w:val="auto"/>
        </w:rPr>
        <w:t>If any provision of this Agreement is held invalid, illegal or unenforceable in any respect, such invalidity, illegality or unenforceability shall not affect any other provision hereof, which shall continue in full force and effect without being impaired or invalidated in any way, and, such invalid, illegal or unenforceable provision shall be restated by a court of competent jurisdiction to reflect as nearly as possible the original intentions of the Parties in accordance with applicable law.</w:t>
      </w:r>
    </w:p>
    <w:p>
      <w:pPr>
        <w:spacing w:after="0" w:line="28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Waiver</w:t>
      </w:r>
    </w:p>
    <w:p>
      <w:pPr>
        <w:spacing w:after="0" w:line="336" w:lineRule="exact"/>
        <w:rPr>
          <w:sz w:val="20"/>
          <w:szCs w:val="20"/>
          <w:color w:val="auto"/>
        </w:rPr>
      </w:pPr>
    </w:p>
    <w:p>
      <w:pPr>
        <w:ind w:right="500"/>
        <w:spacing w:after="0" w:line="255" w:lineRule="auto"/>
        <w:rPr>
          <w:sz w:val="20"/>
          <w:szCs w:val="20"/>
          <w:color w:val="auto"/>
        </w:rPr>
      </w:pPr>
      <w:r>
        <w:rPr>
          <w:rFonts w:ascii="Arial" w:cs="Arial" w:eastAsia="Arial" w:hAnsi="Arial"/>
          <w:sz w:val="23"/>
          <w:szCs w:val="23"/>
          <w:color w:val="auto"/>
        </w:rPr>
        <w:t>The waiver of a breach of this Agreement shall not be construed as a waiver of any subsequent breach. No delay or omission by either Party in exercising any right or power occurring upon any non-compliance or default by the other Party with respect to any of the terms and provisions of this Agreement shall impair any such right or power, or be construed to be a waiver thereof.</w:t>
      </w:r>
    </w:p>
    <w:p>
      <w:pPr>
        <w:spacing w:after="0" w:line="27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Costs and Expenses</w:t>
      </w:r>
    </w:p>
    <w:p>
      <w:pPr>
        <w:spacing w:after="0" w:line="336" w:lineRule="exact"/>
        <w:rPr>
          <w:sz w:val="20"/>
          <w:szCs w:val="20"/>
          <w:color w:val="auto"/>
        </w:rPr>
      </w:pPr>
    </w:p>
    <w:p>
      <w:pPr>
        <w:ind w:right="120"/>
        <w:spacing w:after="0" w:line="252" w:lineRule="auto"/>
        <w:rPr>
          <w:sz w:val="20"/>
          <w:szCs w:val="20"/>
          <w:color w:val="auto"/>
        </w:rPr>
      </w:pPr>
      <w:r>
        <w:rPr>
          <w:rFonts w:ascii="Arial" w:cs="Arial" w:eastAsia="Arial" w:hAnsi="Arial"/>
          <w:sz w:val="23"/>
          <w:szCs w:val="23"/>
          <w:color w:val="auto"/>
        </w:rPr>
        <w:t xml:space="preserve">Except as otherwise provided in the Transaction Agreements, the Parties understand and agree that each Party shall bear, and be responsible for the payment of, its own costs, expenses and attorneys’ fees incurred in connection with the Lawsuit, the FCC Action </w:t>
      </w:r>
      <w:r>
        <w:rPr>
          <w:rFonts w:ascii="Arial" w:cs="Arial" w:eastAsia="Arial" w:hAnsi="Arial"/>
          <w:sz w:val="21"/>
          <w:szCs w:val="21"/>
          <w:color w:val="auto"/>
        </w:rPr>
        <w:t>and/or the negotiation</w:t>
      </w:r>
      <w:r>
        <w:rPr>
          <w:rFonts w:ascii="Arial" w:cs="Arial" w:eastAsia="Arial" w:hAnsi="Arial"/>
          <w:sz w:val="23"/>
          <w:szCs w:val="23"/>
          <w:color w:val="auto"/>
        </w:rPr>
        <w:t>, preparation, execution and implementation of this Agreement; provided, however, that in the event of an action to enforce this Agreement, the prevailing party shall be entitled to its reasonable attorneys’ fees and costs.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19" w:lineRule="exact"/>
        <w:rPr>
          <w:sz w:val="20"/>
          <w:szCs w:val="20"/>
          <w:color w:val="auto"/>
        </w:rPr>
      </w:pPr>
    </w:p>
    <w:p>
      <w:pPr>
        <w:ind w:right="30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420"/>
          </w:cols>
          <w:pgMar w:left="240" w:top="519" w:right="239" w:bottom="1440" w:gutter="0" w:footer="0" w:header="0"/>
        </w:sectPr>
      </w:pPr>
    </w:p>
    <w:bookmarkStart w:id="56" w:name="page57"/>
    <w:bookmarkEnd w:id="56"/>
    <w:p>
      <w:pPr>
        <w:ind w:left="540" w:hanging="532"/>
        <w:spacing w:after="0"/>
        <w:tabs>
          <w:tab w:leader="none" w:pos="540" w:val="left"/>
        </w:tabs>
        <w:numPr>
          <w:ilvl w:val="0"/>
          <w:numId w:val="37"/>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Amendment</w:t>
      </w:r>
    </w:p>
    <w:p>
      <w:pPr>
        <w:spacing w:after="0" w:line="336" w:lineRule="exact"/>
        <w:rPr>
          <w:sz w:val="20"/>
          <w:szCs w:val="20"/>
          <w:color w:val="auto"/>
        </w:rPr>
      </w:pPr>
    </w:p>
    <w:p>
      <w:pPr>
        <w:spacing w:after="0" w:line="276" w:lineRule="auto"/>
        <w:rPr>
          <w:sz w:val="20"/>
          <w:szCs w:val="20"/>
          <w:color w:val="auto"/>
        </w:rPr>
      </w:pPr>
      <w:r>
        <w:rPr>
          <w:rFonts w:ascii="Arial" w:cs="Arial" w:eastAsia="Arial" w:hAnsi="Arial"/>
          <w:sz w:val="23"/>
          <w:szCs w:val="23"/>
          <w:color w:val="auto"/>
        </w:rPr>
        <w:t>The Parties agree that this Agreement shall not be amended or modified unless that amendment or modification is made in writing and executed by each Party.</w:t>
      </w:r>
    </w:p>
    <w:p>
      <w:pPr>
        <w:spacing w:after="0" w:line="250"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Notices</w:t>
      </w:r>
    </w:p>
    <w:p>
      <w:pPr>
        <w:spacing w:after="0" w:line="336" w:lineRule="exact"/>
        <w:rPr>
          <w:sz w:val="20"/>
          <w:szCs w:val="20"/>
          <w:color w:val="auto"/>
        </w:rPr>
      </w:pPr>
    </w:p>
    <w:p>
      <w:pPr>
        <w:ind w:right="120"/>
        <w:spacing w:after="0" w:line="260" w:lineRule="auto"/>
        <w:rPr>
          <w:sz w:val="20"/>
          <w:szCs w:val="20"/>
          <w:color w:val="auto"/>
        </w:rPr>
      </w:pPr>
      <w:r>
        <w:rPr>
          <w:rFonts w:ascii="Arial" w:cs="Arial" w:eastAsia="Arial" w:hAnsi="Arial"/>
          <w:sz w:val="23"/>
          <w:szCs w:val="23"/>
          <w:color w:val="auto"/>
        </w:rPr>
        <w:t>All notices, requests or other communications in relation to this Agreement shall be in writing and sent by (a) certified mail; or (b) Federal Express (or other similar overnight courier service) to the following addresses. A notice shall be deemed to have been delivered on the date it was received.</w:t>
      </w: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Rainbow</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auto"/>
        </w:rPr>
        <w:t>Rainbow Media Holdings, LLC</w:t>
      </w:r>
    </w:p>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rPr>
        <w:t>11 Penn Plaza</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New York, NY 10001</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Attention: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Cablevision</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auto"/>
        </w:rPr>
        <w:t>CSC Holdings, LLC</w:t>
      </w:r>
    </w:p>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rPr>
        <w:t>1111 Stewart Avenue</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Bethpage, NY 11714</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Attention: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MSG Holdings and MSG</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auto"/>
        </w:rPr>
        <w:t>The Madison Square Garden Company</w:t>
      </w:r>
    </w:p>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rPr>
        <w:t>MSG Holdings, L.P.</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2 Pennsylvania Plaza</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New York, NY 10121</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Attention: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DISH and DISH Media</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auto"/>
        </w:rPr>
        <w:t>DISH Network L.L.C.</w:t>
      </w:r>
    </w:p>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rPr>
        <w:t>9601 S. Meridian Blvd.</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Englewood, CO 80112</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Attention: Office of the General Counsel</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9</w:t>
      </w:r>
    </w:p>
    <w:p>
      <w:pPr>
        <w:spacing w:after="0" w:line="19" w:lineRule="exact"/>
        <w:rPr>
          <w:sz w:val="20"/>
          <w:szCs w:val="20"/>
          <w:color w:val="auto"/>
        </w:rPr>
      </w:pPr>
    </w:p>
    <w:p>
      <w:pPr>
        <w:ind w:right="10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220"/>
          </w:cols>
          <w:pgMar w:left="240" w:top="513" w:right="439" w:bottom="1440" w:gutter="0" w:footer="0" w:header="0"/>
        </w:sectPr>
      </w:pPr>
    </w:p>
    <w:bookmarkStart w:id="57" w:name="page58"/>
    <w:bookmarkEnd w:id="57"/>
    <w:p>
      <w:pPr>
        <w:spacing w:after="0"/>
        <w:rPr>
          <w:sz w:val="20"/>
          <w:szCs w:val="20"/>
          <w:color w:val="auto"/>
        </w:rPr>
      </w:pPr>
      <w:r>
        <w:rPr>
          <w:rFonts w:ascii="Arial" w:cs="Arial" w:eastAsia="Arial" w:hAnsi="Arial"/>
          <w:sz w:val="23"/>
          <w:szCs w:val="23"/>
          <w:u w:val="single" w:color="auto"/>
          <w:color w:val="auto"/>
        </w:rPr>
        <w:t>EchoStar Corporation</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auto"/>
        </w:rPr>
        <w:t>EchoStar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rPr>
        <w:t>100 Inverness Terrace East</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Englewood, CO 80112</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Attn: General Counsel</w:t>
      </w:r>
    </w:p>
    <w:p>
      <w:pPr>
        <w:spacing w:after="0" w:line="142"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Execution in Counterparts</w:t>
      </w:r>
    </w:p>
    <w:p>
      <w:pPr>
        <w:spacing w:after="0" w:line="336" w:lineRule="exact"/>
        <w:rPr>
          <w:sz w:val="20"/>
          <w:szCs w:val="20"/>
          <w:color w:val="auto"/>
        </w:rPr>
      </w:pPr>
    </w:p>
    <w:p>
      <w:pPr>
        <w:ind w:right="260"/>
        <w:spacing w:after="0" w:line="299" w:lineRule="auto"/>
        <w:rPr>
          <w:sz w:val="20"/>
          <w:szCs w:val="20"/>
          <w:color w:val="auto"/>
        </w:rPr>
      </w:pPr>
      <w:r>
        <w:rPr>
          <w:rFonts w:ascii="Arial" w:cs="Arial" w:eastAsia="Arial" w:hAnsi="Arial"/>
          <w:sz w:val="22"/>
          <w:szCs w:val="22"/>
          <w:color w:val="auto"/>
        </w:rPr>
        <w:t>This Agreement may be executed in one or more counterparts, each of which when so executed and delivered shall be deemed an original and all of which together shall constitute one and the same agreement.</w:t>
      </w:r>
    </w:p>
    <w:p>
      <w:pPr>
        <w:spacing w:after="0" w:line="228"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23"/>
          <w:szCs w:val="23"/>
          <w:b w:val="1"/>
          <w:bCs w:val="1"/>
          <w:color w:val="auto"/>
        </w:rPr>
      </w:pPr>
      <w:r>
        <w:rPr>
          <w:rFonts w:ascii="Arial" w:cs="Arial" w:eastAsia="Arial" w:hAnsi="Arial"/>
          <w:sz w:val="23"/>
          <w:szCs w:val="23"/>
          <w:b w:val="1"/>
          <w:bCs w:val="1"/>
          <w:u w:val="single" w:color="auto"/>
          <w:color w:val="auto"/>
        </w:rPr>
        <w:t>Captions</w:t>
      </w:r>
    </w:p>
    <w:p>
      <w:pPr>
        <w:spacing w:after="0" w:line="33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Section and subsection titles and captions contained in this Agreement are inserted solely as a matter of convenience and for reference, and in no way define, limit, extend or describe the scope or substance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3"/>
          <w:szCs w:val="23"/>
          <w:color w:val="auto"/>
        </w:rPr>
        <w:t>[The remainder of this page has intentionally been left blank.]</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w:t>
      </w:r>
    </w:p>
    <w:p>
      <w:pPr>
        <w:spacing w:after="0" w:line="19" w:lineRule="exact"/>
        <w:rPr>
          <w:sz w:val="20"/>
          <w:szCs w:val="20"/>
          <w:color w:val="auto"/>
        </w:rPr>
      </w:pPr>
    </w:p>
    <w:p>
      <w:pPr>
        <w:ind w:right="20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320"/>
          </w:cols>
          <w:pgMar w:left="240" w:top="519" w:right="339" w:bottom="1440" w:gutter="0" w:footer="0" w:header="0"/>
        </w:sectPr>
      </w:pPr>
    </w:p>
    <w:bookmarkStart w:id="58" w:name="page59"/>
    <w:bookmarkEnd w:id="58"/>
    <w:p>
      <w:pPr>
        <w:spacing w:after="0" w:line="281" w:lineRule="auto"/>
        <w:rPr>
          <w:sz w:val="20"/>
          <w:szCs w:val="20"/>
          <w:color w:val="auto"/>
        </w:rPr>
      </w:pPr>
      <w:r>
        <w:rPr>
          <w:rFonts w:ascii="Arial" w:cs="Arial" w:eastAsia="Arial" w:hAnsi="Arial"/>
          <w:sz w:val="23"/>
          <w:szCs w:val="23"/>
          <w:b w:val="1"/>
          <w:bCs w:val="1"/>
          <w:color w:val="auto"/>
        </w:rPr>
        <w:t>IN WITNESS WHEREOF</w:t>
      </w:r>
      <w:r>
        <w:rPr>
          <w:rFonts w:ascii="Arial" w:cs="Arial" w:eastAsia="Arial" w:hAnsi="Arial"/>
          <w:sz w:val="23"/>
          <w:szCs w:val="23"/>
          <w:color w:val="auto"/>
        </w:rPr>
        <w:t>, the Parties, expressly intending to be legally bound hereby, have executed this Agreement</w:t>
      </w:r>
      <w:r>
        <w:rPr>
          <w:rFonts w:ascii="Arial" w:cs="Arial" w:eastAsia="Arial" w:hAnsi="Arial"/>
          <w:sz w:val="23"/>
          <w:szCs w:val="23"/>
          <w:b w:val="1"/>
          <w:bCs w:val="1"/>
          <w:color w:val="auto"/>
        </w:rPr>
        <w:t xml:space="preserve"> </w:t>
      </w:r>
      <w:r>
        <w:rPr>
          <w:rFonts w:ascii="Arial" w:cs="Arial" w:eastAsia="Arial" w:hAnsi="Arial"/>
          <w:sz w:val="23"/>
          <w:szCs w:val="23"/>
          <w:color w:val="auto"/>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23"/>
          <w:szCs w:val="23"/>
          <w:color w:val="auto"/>
        </w:rPr>
        <w:t>VOOM HD Holdings, LLC</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Joshua Sapan</w:t>
      </w:r>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19"/>
          <w:szCs w:val="19"/>
          <w:color w:val="auto"/>
        </w:rPr>
        <w:t>Joshua Sapan</w:t>
      </w:r>
    </w:p>
    <w:p>
      <w:pPr>
        <w:spacing w:after="0" w:line="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3"/>
          <w:szCs w:val="23"/>
          <w:color w:val="auto"/>
        </w:rPr>
        <w:t>Title:</w:t>
        <w:tab/>
        <w:t>CEO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CSC Holdings LLC</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1"/>
          <w:szCs w:val="21"/>
          <w:u w:val="single" w:color="auto"/>
          <w:color w:val="auto"/>
        </w:rPr>
        <w:t>/s</w:t>
      </w:r>
      <w:r>
        <w:rPr>
          <w:rFonts w:ascii="Arial" w:cs="Arial" w:eastAsia="Arial" w:hAnsi="Arial"/>
          <w:sz w:val="23"/>
          <w:szCs w:val="23"/>
          <w:u w:val="single" w:color="auto"/>
          <w:color w:val="auto"/>
        </w:rPr>
        <w:t>/ Gregg G. Seibert</w:t>
      </w:r>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20"/>
          <w:szCs w:val="20"/>
          <w:color w:val="auto"/>
        </w:rPr>
        <w:t>Gregg G. Seibert</w:t>
      </w:r>
    </w:p>
    <w:p>
      <w:pPr>
        <w:spacing w:after="0" w:line="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3"/>
          <w:szCs w:val="23"/>
          <w:color w:val="auto"/>
        </w:rPr>
        <w:t>Title:</w:t>
        <w:tab/>
        <w:t>EVP and CFO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1"/>
          <w:szCs w:val="21"/>
          <w:u w:val="single" w:color="auto"/>
          <w:color w:val="auto"/>
        </w:rPr>
        <w:t>/s</w:t>
      </w:r>
      <w:r>
        <w:rPr>
          <w:rFonts w:ascii="Arial" w:cs="Arial" w:eastAsia="Arial" w:hAnsi="Arial"/>
          <w:sz w:val="23"/>
          <w:szCs w:val="23"/>
          <w:u w:val="single" w:color="auto"/>
          <w:color w:val="auto"/>
        </w:rPr>
        <w:t>/ David Ellen</w:t>
      </w:r>
    </w:p>
    <w:p>
      <w:pPr>
        <w:spacing w:after="0" w:line="2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22"/>
          <w:szCs w:val="22"/>
          <w:color w:val="auto"/>
        </w:rPr>
        <w:t>David Ellen</w:t>
      </w:r>
    </w:p>
    <w:p>
      <w:pPr>
        <w:spacing w:after="0" w:line="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1"/>
          <w:szCs w:val="21"/>
          <w:color w:val="auto"/>
        </w:rPr>
        <w:t>EVP and GC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DISH Network L.L.C.</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1"/>
          <w:szCs w:val="21"/>
          <w:u w:val="single" w:color="auto"/>
          <w:color w:val="auto"/>
        </w:rPr>
        <w:t>/s</w:t>
      </w:r>
      <w:r>
        <w:rPr>
          <w:rFonts w:ascii="Arial" w:cs="Arial" w:eastAsia="Arial" w:hAnsi="Arial"/>
          <w:sz w:val="23"/>
          <w:szCs w:val="23"/>
          <w:u w:val="single" w:color="auto"/>
          <w:color w:val="auto"/>
        </w:rPr>
        <w:t>/ Stanton Dodge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Name: Stanton Dodge</w:t>
      </w:r>
    </w:p>
    <w:p>
      <w:pPr>
        <w:spacing w:after="0" w:line="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3"/>
          <w:szCs w:val="23"/>
          <w:color w:val="auto"/>
        </w:rPr>
        <w:t>Title:</w:t>
        <w:tab/>
        <w:t>EVP and GC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DISH Media Holdings Corporation</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Stanton Dodge</w:t>
      </w:r>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20"/>
          <w:szCs w:val="20"/>
          <w:color w:val="auto"/>
        </w:rPr>
        <w:t>Stanton Dodge</w:t>
      </w:r>
    </w:p>
    <w:p>
      <w:pPr>
        <w:spacing w:after="0" w:line="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1"/>
          <w:szCs w:val="21"/>
          <w:color w:val="auto"/>
        </w:rPr>
        <w:t>EVP and GC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MSG Holdings, L.P.</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Hank Ratner</w:t>
      </w:r>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21"/>
          <w:szCs w:val="21"/>
          <w:color w:val="auto"/>
        </w:rPr>
        <w:t>Hank Ratner</w:t>
      </w:r>
    </w:p>
    <w:p>
      <w:pPr>
        <w:spacing w:after="0" w:line="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3"/>
          <w:szCs w:val="23"/>
          <w:color w:val="auto"/>
        </w:rPr>
        <w:t>Title:</w:t>
        <w:tab/>
        <w:t>President and CEO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The Madison Square Garden Company</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Hank Ratner</w:t>
      </w:r>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21"/>
          <w:szCs w:val="21"/>
          <w:color w:val="auto"/>
        </w:rPr>
        <w:t>Hank Ratner</w:t>
      </w:r>
    </w:p>
    <w:p>
      <w:pPr>
        <w:spacing w:after="0" w:line="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0"/>
          <w:szCs w:val="20"/>
          <w:color w:val="auto"/>
        </w:rPr>
        <w:t>President and CEO</w:t>
      </w:r>
    </w:p>
    <w:p>
      <w:pPr>
        <w:spacing w:after="0" w:line="200" w:lineRule="exact"/>
        <w:rPr>
          <w:sz w:val="20"/>
          <w:szCs w:val="20"/>
          <w:color w:val="auto"/>
        </w:rPr>
      </w:pPr>
    </w:p>
    <w:p>
      <w:pPr>
        <w:spacing w:after="0" w:line="332" w:lineRule="exact"/>
        <w:rPr>
          <w:sz w:val="20"/>
          <w:szCs w:val="20"/>
          <w:color w:val="auto"/>
        </w:rPr>
      </w:pPr>
    </w:p>
    <w:p>
      <w:pPr>
        <w:ind w:right="8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200"/>
          </w:cols>
          <w:pgMar w:left="240" w:top="1134" w:right="459" w:bottom="1440" w:gutter="0" w:footer="0" w:header="0"/>
        </w:sectPr>
      </w:pPr>
    </w:p>
    <w:bookmarkStart w:id="59" w:name="page60"/>
    <w:bookmarkEnd w:id="59"/>
    <w:p>
      <w:pPr>
        <w:ind w:left="660"/>
        <w:spacing w:after="0"/>
        <w:rPr>
          <w:sz w:val="20"/>
          <w:szCs w:val="20"/>
          <w:color w:val="auto"/>
        </w:rPr>
      </w:pPr>
      <w:r>
        <w:rPr>
          <w:rFonts w:ascii="Arial" w:cs="Arial" w:eastAsia="Arial" w:hAnsi="Arial"/>
          <w:sz w:val="23"/>
          <w:szCs w:val="23"/>
          <w:color w:val="auto"/>
        </w:rPr>
        <w:t>EchoStar Corporation</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 xml:space="preserve">By: </w:t>
      </w:r>
      <w:r>
        <w:rPr>
          <w:rFonts w:ascii="Arial" w:cs="Arial" w:eastAsia="Arial" w:hAnsi="Arial"/>
          <w:sz w:val="23"/>
          <w:szCs w:val="23"/>
          <w:u w:val="single" w:color="auto"/>
          <w:color w:val="auto"/>
        </w:rPr>
        <w:t>/s/ Dean A. Manson</w:t>
      </w:r>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3"/>
          <w:szCs w:val="23"/>
          <w:color w:val="auto"/>
        </w:rPr>
        <w:t>Name:</w:t>
      </w:r>
      <w:r>
        <w:rPr>
          <w:sz w:val="20"/>
          <w:szCs w:val="20"/>
          <w:color w:val="auto"/>
        </w:rPr>
        <w:tab/>
      </w:r>
      <w:r>
        <w:rPr>
          <w:rFonts w:ascii="Arial" w:cs="Arial" w:eastAsia="Arial" w:hAnsi="Arial"/>
          <w:sz w:val="21"/>
          <w:szCs w:val="21"/>
          <w:color w:val="auto"/>
        </w:rPr>
        <w:t>Dean A. Manson</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3"/>
          <w:szCs w:val="23"/>
          <w:color w:val="auto"/>
        </w:rPr>
        <w:t>Title: EVP, GC and Secy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120"/>
          </w:cols>
          <w:pgMar w:left="240" w:top="627" w:right="539" w:bottom="1440" w:gutter="0" w:footer="0" w:header="0"/>
        </w:sectPr>
      </w:pPr>
    </w:p>
    <w:bookmarkStart w:id="60" w:name="page61"/>
    <w:bookmarkEnd w:id="60"/>
    <w:p>
      <w:pPr>
        <w:jc w:val="center"/>
        <w:ind w:right="-299"/>
        <w:spacing w:after="0"/>
        <w:rPr>
          <w:sz w:val="20"/>
          <w:szCs w:val="20"/>
          <w:color w:val="auto"/>
        </w:rPr>
      </w:pPr>
      <w:r>
        <w:rPr>
          <w:rFonts w:ascii="Arial" w:cs="Arial" w:eastAsia="Arial" w:hAnsi="Arial"/>
          <w:sz w:val="23"/>
          <w:szCs w:val="23"/>
          <w:b w:val="1"/>
          <w:bCs w:val="1"/>
          <w:color w:val="auto"/>
        </w:rPr>
        <w:t>EXHIBIT A</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Certain confidential portions of this exhibit were omitted by means of redacting a portion of the text. Copies of the exhibit containing the redacted</w:t>
      </w:r>
      <w:r>
        <w:rPr>
          <w:rFonts w:ascii="Arial" w:cs="Arial" w:eastAsia="Arial" w:hAnsi="Arial"/>
          <w:sz w:val="22"/>
          <w:szCs w:val="22"/>
          <w:color w:val="auto"/>
        </w:rPr>
        <w:t xml:space="preserve"> </w:t>
      </w:r>
      <w:r>
        <w:rPr>
          <w:rFonts w:ascii="Arial" w:cs="Arial" w:eastAsia="Arial" w:hAnsi="Arial"/>
          <w:sz w:val="18"/>
          <w:szCs w:val="18"/>
          <w:color w:val="auto"/>
        </w:rPr>
        <w:t>portions have been filed separately with the Securities and Exchange Commission in accordance with a request for confidential treatment pursuant to Rule 24b-2 under the Securities Exchange Act of 1934, as amended.</w:t>
      </w:r>
    </w:p>
    <w:p>
      <w:pPr>
        <w:sectPr>
          <w:pgSz w:w="11900" w:h="16838" w:orient="portrait"/>
          <w:cols w:equalWidth="0" w:num="1">
            <w:col w:w="11120"/>
          </w:cols>
          <w:pgMar w:left="240" w:top="351" w:right="5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2" w:lineRule="exact"/>
        <w:rPr>
          <w:rFonts w:ascii="Arial" w:cs="Arial" w:eastAsia="Arial" w:hAnsi="Arial"/>
          <w:sz w:val="17"/>
          <w:szCs w:val="17"/>
          <w:color w:val="auto"/>
        </w:rPr>
      </w:pPr>
    </w:p>
    <w:p>
      <w:pPr>
        <w:ind w:right="140" w:firstLine="8"/>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820" w:right="260" w:hanging="164"/>
        <w:spacing w:after="0" w:line="264" w:lineRule="auto"/>
        <w:tabs>
          <w:tab w:leader="none" w:pos="843"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860" w:hanging="204"/>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Omitted pursuant to SEC Release No. 34-54942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0" w:right="160" w:hanging="164"/>
        <w:spacing w:after="0" w:line="342" w:lineRule="auto"/>
        <w:tabs>
          <w:tab w:leader="none" w:pos="843"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left="820" w:right="60" w:hanging="164"/>
        <w:spacing w:after="0" w:line="264" w:lineRule="auto"/>
        <w:tabs>
          <w:tab w:leader="none" w:pos="8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58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20" w:hanging="164"/>
        <w:spacing w:after="0" w:line="308" w:lineRule="auto"/>
        <w:tabs>
          <w:tab w:leader="none" w:pos="843"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820" w:right="200" w:hanging="164"/>
        <w:spacing w:after="0" w:line="277" w:lineRule="auto"/>
        <w:tabs>
          <w:tab w:leader="none" w:pos="8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November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2" w:lineRule="exact"/>
        <w:rPr>
          <w:rFonts w:ascii="Arial" w:cs="Arial" w:eastAsia="Arial" w:hAnsi="Arial"/>
          <w:sz w:val="17"/>
          <w:szCs w:val="17"/>
          <w:color w:val="auto"/>
        </w:rPr>
      </w:pPr>
    </w:p>
    <w:p>
      <w:pPr>
        <w:ind w:right="140"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820" w:right="260" w:hanging="164"/>
        <w:spacing w:after="0" w:line="264" w:lineRule="auto"/>
        <w:tabs>
          <w:tab w:leader="none" w:pos="84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860" w:hanging="204"/>
        <w:spacing w:after="0"/>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Omitted pursuant to SEC Release No. 34-54942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0" w:right="160" w:hanging="164"/>
        <w:spacing w:after="0" w:line="342" w:lineRule="auto"/>
        <w:tabs>
          <w:tab w:leader="none" w:pos="84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left="820" w:right="60" w:hanging="164"/>
        <w:spacing w:after="0" w:line="264" w:lineRule="auto"/>
        <w:tabs>
          <w:tab w:leader="none" w:pos="85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58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each Registrant’s board of directors (or persons performing the equivalent functions):</w:t>
      </w:r>
    </w:p>
    <w:p>
      <w:pPr>
        <w:spacing w:after="0" w:line="38" w:lineRule="exact"/>
        <w:rPr>
          <w:rFonts w:ascii="Arial" w:cs="Arial" w:eastAsia="Arial" w:hAnsi="Arial"/>
          <w:sz w:val="17"/>
          <w:szCs w:val="17"/>
          <w:color w:val="auto"/>
        </w:rPr>
      </w:pPr>
    </w:p>
    <w:p>
      <w:pPr>
        <w:ind w:left="820" w:right="320" w:hanging="164"/>
        <w:spacing w:after="0" w:line="308" w:lineRule="auto"/>
        <w:tabs>
          <w:tab w:leader="none" w:pos="843"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820" w:right="200" w:hanging="164"/>
        <w:spacing w:after="0" w:line="277" w:lineRule="auto"/>
        <w:tabs>
          <w:tab w:leader="none" w:pos="85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November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September 30, 2012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133" w:lineRule="exact"/>
        <w:rPr>
          <w:sz w:val="20"/>
          <w:szCs w:val="20"/>
          <w:color w:val="auto"/>
        </w:rPr>
      </w:pPr>
    </w:p>
    <w:p>
      <w:pPr>
        <w:ind w:left="40"/>
        <w:spacing w:after="0"/>
        <w:tabs>
          <w:tab w:leader="none" w:pos="114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114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18"/>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2"/>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decimal"/>
      <w:start w:val="32"/>
    </w:lvl>
  </w:abstractNum>
  <w:abstractNum w:abstractNumId="19">
    <w:nsid w:val="7C3DBD3D"/>
    <w:multiLevelType w:val="hybridMultilevel"/>
    <w:lvl w:ilvl="0">
      <w:lvlJc w:val="left"/>
      <w:lvlText w:val="*"/>
      <w:numFmt w:val="bullet"/>
      <w:start w:val="1"/>
    </w:lvl>
    <w:lvl w:ilvl="1">
      <w:lvlJc w:val="left"/>
      <w:lvlText w:val="**"/>
      <w:numFmt w:val="bullet"/>
      <w:start w:val="1"/>
    </w:lvl>
  </w:abstractNum>
  <w:abstractNum w:abstractNumId="20">
    <w:nsid w:val="737B8DDC"/>
    <w:multiLevelType w:val="hybridMultilevel"/>
    <w:lvl w:ilvl="0">
      <w:lvlJc w:val="left"/>
      <w:lvlText w:val="**"/>
      <w:numFmt w:val="bullet"/>
      <w:start w:val="1"/>
    </w:lvl>
    <w:lvl w:ilvl="1">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1"/>
    </w:lvl>
    <w:lvl w:ilvl="1">
      <w:lvlJc w:val="left"/>
      <w:lvlText w:val="(%2)"/>
      <w:numFmt w:val="lowerLetter"/>
      <w:start w:val="4"/>
    </w:lvl>
  </w:abstractNum>
  <w:abstractNum w:abstractNumId="24">
    <w:nsid w:val="3006C83E"/>
    <w:multiLevelType w:val="hybridMultilevel"/>
    <w:lvl w:ilvl="0">
      <w:lvlJc w:val="left"/>
      <w:lvlText w:val="%1."/>
      <w:numFmt w:val="decimal"/>
      <w:start w:val="2"/>
    </w:lvl>
    <w:lvl w:ilvl="1">
      <w:lvlJc w:val="left"/>
      <w:lvlText w:val="%2"/>
      <w:numFmt w:val="lowerLetter"/>
      <w:start w:val="1"/>
    </w:lvl>
  </w:abstractNum>
  <w:abstractNum w:abstractNumId="25">
    <w:nsid w:val="614FD4A1"/>
    <w:multiLevelType w:val="hybridMultilevel"/>
    <w:lvl w:ilvl="0">
      <w:lvlJc w:val="left"/>
      <w:lvlText w:val="%1."/>
      <w:numFmt w:val="decimal"/>
      <w:start w:val="3"/>
    </w:lvl>
    <w:lvl w:ilvl="1">
      <w:lvlJc w:val="left"/>
      <w:lvlText w:val="(%2)"/>
      <w:numFmt w:val="lowerLetter"/>
      <w:start w:val="1"/>
    </w:lvl>
  </w:abstractNum>
  <w:abstractNum w:abstractNumId="26">
    <w:nsid w:val="419AC241"/>
    <w:multiLevelType w:val="hybridMultilevel"/>
    <w:lvl w:ilvl="0">
      <w:lvlJc w:val="left"/>
      <w:lvlText w:val="%1."/>
      <w:numFmt w:val="decimal"/>
      <w:start w:val="4"/>
    </w:lvl>
  </w:abstractNum>
  <w:abstractNum w:abstractNumId="27">
    <w:nsid w:val="5577F8E1"/>
    <w:multiLevelType w:val="hybridMultilevel"/>
    <w:lvl w:ilvl="0">
      <w:lvlJc w:val="left"/>
      <w:lvlText w:val="%1."/>
      <w:numFmt w:val="decimal"/>
      <w:start w:val="5"/>
    </w:lvl>
  </w:abstractNum>
  <w:abstractNum w:abstractNumId="28">
    <w:nsid w:val="440BADFC"/>
    <w:multiLevelType w:val="hybridMultilevel"/>
    <w:lvl w:ilvl="0">
      <w:lvlJc w:val="left"/>
      <w:lvlText w:val="%1"/>
      <w:numFmt w:val="decimal"/>
      <w:start w:val="1"/>
    </w:lvl>
    <w:lvl w:ilvl="1">
      <w:lvlJc w:val="left"/>
      <w:lvlText w:val="%2."/>
      <w:numFmt w:val="lowerRoman"/>
      <w:start w:val="1"/>
    </w:lvl>
  </w:abstractNum>
  <w:abstractNum w:abstractNumId="29">
    <w:nsid w:val="5072367"/>
    <w:multiLevelType w:val="hybridMultilevel"/>
    <w:lvl w:ilvl="0">
      <w:lvlJc w:val="left"/>
      <w:lvlText w:val="%1."/>
      <w:numFmt w:val="decimal"/>
      <w:start w:val="6"/>
    </w:lvl>
    <w:lvl w:ilvl="1">
      <w:lvlJc w:val="left"/>
      <w:lvlText w:val="%2"/>
      <w:numFmt w:val="lowerRoman"/>
      <w:start w:val="1"/>
    </w:lvl>
  </w:abstractNum>
  <w:abstractNum w:abstractNumId="30">
    <w:nsid w:val="3804823E"/>
    <w:multiLevelType w:val="hybridMultilevel"/>
    <w:lvl w:ilvl="0">
      <w:lvlJc w:val="left"/>
      <w:lvlText w:val="%1."/>
      <w:numFmt w:val="decimal"/>
      <w:start w:val="7"/>
    </w:lvl>
  </w:abstractNum>
  <w:abstractNum w:abstractNumId="31">
    <w:nsid w:val="77465F01"/>
    <w:multiLevelType w:val="hybridMultilevel"/>
    <w:lvl w:ilvl="0">
      <w:lvlJc w:val="left"/>
      <w:lvlText w:val="%1."/>
      <w:numFmt w:val="decimal"/>
      <w:start w:val="8"/>
    </w:lvl>
  </w:abstractNum>
  <w:abstractNum w:abstractNumId="32">
    <w:nsid w:val="7724C67E"/>
    <w:multiLevelType w:val="hybridMultilevel"/>
    <w:lvl w:ilvl="0">
      <w:lvlJc w:val="left"/>
      <w:lvlText w:val="%1."/>
      <w:numFmt w:val="decimal"/>
      <w:start w:val="9"/>
    </w:lvl>
  </w:abstractNum>
  <w:abstractNum w:abstractNumId="33">
    <w:nsid w:val="5C482A97"/>
    <w:multiLevelType w:val="hybridMultilevel"/>
    <w:lvl w:ilvl="0">
      <w:lvlJc w:val="left"/>
      <w:lvlText w:val="%1."/>
      <w:numFmt w:val="decimal"/>
      <w:start w:val="10"/>
    </w:lvl>
  </w:abstractNum>
  <w:abstractNum w:abstractNumId="34">
    <w:nsid w:val="2463B9EA"/>
    <w:multiLevelType w:val="hybridMultilevel"/>
    <w:lvl w:ilvl="0">
      <w:lvlJc w:val="left"/>
      <w:lvlText w:val="%1."/>
      <w:numFmt w:val="decimal"/>
      <w:start w:val="11"/>
    </w:lvl>
  </w:abstractNum>
  <w:abstractNum w:abstractNumId="35">
    <w:nsid w:val="5E884ADC"/>
    <w:multiLevelType w:val="hybridMultilevel"/>
    <w:lvl w:ilvl="0">
      <w:lvlJc w:val="left"/>
      <w:lvlText w:val="%1."/>
      <w:numFmt w:val="decimal"/>
      <w:start w:val="12"/>
    </w:lvl>
  </w:abstractNum>
  <w:abstractNum w:abstractNumId="36">
    <w:nsid w:val="51EAD36B"/>
    <w:multiLevelType w:val="hybridMultilevel"/>
    <w:lvl w:ilvl="0">
      <w:lvlJc w:val="left"/>
      <w:lvlText w:val="%1."/>
      <w:numFmt w:val="decimal"/>
      <w:start w:val="13"/>
    </w:lvl>
  </w:abstractNum>
  <w:abstractNum w:abstractNumId="37">
    <w:nsid w:val="2D517796"/>
    <w:multiLevelType w:val="hybridMultilevel"/>
    <w:lvl w:ilvl="0">
      <w:lvlJc w:val="left"/>
      <w:lvlText w:val="%1."/>
      <w:numFmt w:val="decimal"/>
      <w:start w:val="14"/>
    </w:lvl>
  </w:abstractNum>
  <w:abstractNum w:abstractNumId="38">
    <w:nsid w:val="580BD78F"/>
    <w:multiLevelType w:val="hybridMultilevel"/>
    <w:lvl w:ilvl="0">
      <w:lvlJc w:val="left"/>
      <w:lvlText w:val="%1."/>
      <w:numFmt w:val="decimal"/>
      <w:start w:val="15"/>
    </w:lvl>
  </w:abstractNum>
  <w:abstractNum w:abstractNumId="39">
    <w:nsid w:val="153EA438"/>
    <w:multiLevelType w:val="hybridMultilevel"/>
    <w:lvl w:ilvl="0">
      <w:lvlJc w:val="left"/>
      <w:lvlText w:val="%1."/>
      <w:numFmt w:val="decimal"/>
      <w:start w:val="16"/>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2019-12-09T20:18:03Z</dcterms:created>
  <dcterms:modified xsi:type="dcterms:W3CDTF">2019-12-09T20:18:03Z</dcterms:modified>
</cp:coreProperties>
</file>