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hanging="180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hanging="180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AMC Networks Inc.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7"/>
        <w:gridCol w:w="473"/>
        <w:gridCol w:w="473"/>
        <w:gridCol w:w="473"/>
        <w:gridCol w:w="473"/>
        <w:gridCol w:w="496"/>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324-8500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common stock outstanding as of October 31, 2025:</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32,042,361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11,484,408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AMC NETWORKS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50" w:type="dxa"/>
        <w:jc w:val="left"/>
        <w:tblInd w:w="0" w:type="dxa"/>
        <w:tblLayout w:type="fixed"/>
        <w:tblCellMar>
          <w:top w:w="28" w:type="dxa"/>
          <w:left w:w="28" w:type="dxa"/>
          <w:bottom w:w="28" w:type="dxa"/>
          <w:right w:w="28" w:type="dxa"/>
        </w:tblCellMar>
      </w:tblPr>
      <w:tblGrid>
        <w:gridCol w:w="2892"/>
        <w:gridCol w:w="2536"/>
        <w:gridCol w:w="2551"/>
        <w:gridCol w:w="167"/>
        <w:gridCol w:w="167"/>
        <w:gridCol w:w="237"/>
      </w:tblGrid>
      <w:tr>
        <w:trPr/>
        <w:tc>
          <w:tcPr>
            <w:tcW w:w="289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3">
              <w:r>
                <w:rPr>
                  <w:rStyle w:val="InternetLink"/>
                  <w:rFonts w:ascii="Times New Roman;serif" w:hAnsi="Times New Roman;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6">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f6060a6879452bbb26bdf706416a82_19">
              <w:r>
                <w:rPr>
                  <w:rStyle w:val="InternetLink"/>
                  <w:rFonts w:ascii="Times New Roman;serif" w:hAnsi="Times New Roman;serif"/>
                  <w:b w:val="false"/>
                  <w:color w:val="0000FF"/>
                  <w:sz w:val="20"/>
                  <w:u w:val="single"/>
                </w:rPr>
                <w:t>Condensed 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9">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f6060a6879452bbb26bdf706416a82_22">
              <w:r>
                <w:rPr>
                  <w:rStyle w:val="InternetLink"/>
                  <w:rFonts w:ascii="Times New Roman;serif" w:hAnsi="Times New Roman;serif"/>
                  <w:b w:val="false"/>
                  <w:color w:val="000080"/>
                  <w:sz w:val="20"/>
                  <w:u w:val="single"/>
                </w:rPr>
                <w:t>Condensed Consolidated Statements of Comprehensive Incom</w:t>
              </w:r>
            </w:hyperlink>
            <w:hyperlink w:anchor="i37f6060a6879452bbb26bdf706416a82_22">
              <w:r>
                <w:rPr>
                  <w:rStyle w:val="InternetLink"/>
                  <w:rFonts w:ascii="Times New Roman;serif" w:hAnsi="Times New Roman;serif"/>
                  <w:b w:val="false"/>
                  <w:color w:val="000080"/>
                  <w:sz w:val="20"/>
                  <w:u w:val="single"/>
                </w:rPr>
                <w:t>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22">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f6060a6879452bbb26bdf706416a82_25">
              <w:r>
                <w:rPr>
                  <w:rStyle w:val="InternetLink"/>
                  <w:rFonts w:ascii="Times New Roman;serif" w:hAnsi="Times New Roman;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25">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f6060a6879452bbb26bdf706416a82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31">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34">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1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18">
              <w:r>
                <w:rPr>
                  <w:rStyle w:val="InternetLink"/>
                  <w:rFonts w:ascii="Times New Roman;serif" w:hAnsi="Times New Roman;serif"/>
                  <w:b w:val="false"/>
                  <w:color w:val="0000FF"/>
                  <w:sz w:val="20"/>
                  <w:u w:val="single"/>
                </w:rPr>
                <w:t>28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51">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51">
              <w:r>
                <w:rPr>
                  <w:rStyle w:val="InternetLink"/>
                  <w:rFonts w:ascii="Times New Roman;serif" w:hAnsi="Times New Roman;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54">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54">
              <w:r>
                <w:rPr>
                  <w:rStyle w:val="InternetLink"/>
                  <w:rFonts w:ascii="Times New Roman;serif" w:hAnsi="Times New Roman;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57">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60">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60">
              <w:r>
                <w:rPr>
                  <w:rStyle w:val="InternetLink"/>
                  <w:rFonts w:ascii="Times New Roman;serif" w:hAnsi="Times New Roman;serif"/>
                  <w:b w:val="false"/>
                  <w:color w:val="0000FF"/>
                  <w:sz w:val="20"/>
                  <w:u w:val="single"/>
                </w:rPr>
                <w:t>45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 Risk Factors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60">
              <w:r>
                <w:rPr>
                  <w:rStyle w:val="InternetLink"/>
                  <w:rFonts w:ascii="Times New Roman;serif" w:hAnsi="Times New Roman;serif"/>
                  <w:b w:val="false"/>
                  <w:color w:val="0000FF"/>
                  <w:sz w:val="20"/>
                  <w:u w:val="single"/>
                </w:rPr>
                <w:t>45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66">
              <w:r>
                <w:rPr>
                  <w:rStyle w:val="InternetLink"/>
                  <w:rFonts w:ascii="Times New Roman;serif" w:hAnsi="Times New Roman;serif"/>
                  <w:b w:val="false"/>
                  <w:color w:val="000080"/>
                  <w:sz w:val="20"/>
                  <w:u w:val="single"/>
                </w:rPr>
                <w:t>Item 2. Unregistered Sales of Equity Securities</w:t>
              </w:r>
            </w:hyperlink>
            <w:hyperlink w:anchor="i37f6060a6879452bbb26bdf706416a82_166">
              <w:r>
                <w:rPr>
                  <w:rStyle w:val="InternetLink"/>
                  <w:rFonts w:ascii="Times New Roman;serif" w:hAnsi="Times New Roman;serif"/>
                  <w:b w:val="false"/>
                  <w:color w:val="000080"/>
                  <w:sz w:val="20"/>
                  <w:u w:val="single"/>
                </w:rPr>
                <w:t xml:space="preserve"> and Use</w:t>
              </w:r>
            </w:hyperlink>
            <w:hyperlink w:anchor="i37f6060a6879452bbb26bdf706416a82_166">
              <w:r>
                <w:rPr>
                  <w:rStyle w:val="InternetLink"/>
                  <w:rFonts w:ascii="Times New Roman;serif" w:hAnsi="Times New Roman;serif"/>
                  <w:b w:val="false"/>
                  <w:color w:val="000080"/>
                  <w:sz w:val="20"/>
                  <w:u w:val="single"/>
                </w:rPr>
                <w:t xml:space="preserv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66">
              <w:r>
                <w:rPr>
                  <w:rStyle w:val="InternetLink"/>
                  <w:rFonts w:ascii="Times New Roman;serif" w:hAnsi="Times New Roman;serif"/>
                  <w:b w:val="false"/>
                  <w:color w:val="0000FF"/>
                  <w:sz w:val="20"/>
                  <w:u w:val="single"/>
                </w:rPr>
                <w:t>45</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72">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72">
              <w:r>
                <w:rPr>
                  <w:rStyle w:val="InternetLink"/>
                  <w:rFonts w:ascii="Times New Roman;serif" w:hAnsi="Times New Roman;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f6060a6879452bbb26bdf706416a82_175">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f6060a6879452bbb26bdf706416a82_175">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2"/>
        <w:gridCol w:w="2113"/>
        <w:gridCol w:w="2124"/>
        <w:gridCol w:w="235"/>
        <w:gridCol w:w="1046"/>
        <w:gridCol w:w="130"/>
        <w:gridCol w:w="109"/>
        <w:gridCol w:w="109"/>
        <w:gridCol w:w="109"/>
        <w:gridCol w:w="228"/>
        <w:gridCol w:w="1016"/>
        <w:gridCol w:w="184"/>
      </w:tblGrid>
      <w:tr>
        <w:trPr/>
        <w:tc>
          <w:tcPr>
            <w:tcW w:w="280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trade (less allowance for doubtful accounts of $9,987 and $9,468)</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$414,817 and $458,396</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1,731,418 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4,209,394 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4,362,221 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program rights obligations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portion of lease obligations </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715,760 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702,668 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obligations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1,911,213 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2,328,719 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obligations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3,065,749 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3,422,080 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360,000 shares authorized: 66,730 and 66,730 shares issued and 31,971 and 32,636 shares outstanding,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$0.01 par value, 90,000 shares authorized: 11,484 shares issued and outstanding </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45,000 shares authorized: none issued</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earnings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2,231,593 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2,092,229 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Treasury stock, at cost (34,759 and 34,094 shares Class A Common Stock, respectively)</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(1,399,122)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(1,408,307)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AMC Networks stockholders' equity</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1,052,856 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1,083,256 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884,260 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4,209,394 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4,362,221 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3"/>
        <w:gridCol w:w="1251"/>
        <w:gridCol w:w="1231"/>
        <w:gridCol w:w="225"/>
        <w:gridCol w:w="882"/>
        <w:gridCol w:w="116"/>
        <w:gridCol w:w="116"/>
        <w:gridCol w:w="116"/>
        <w:gridCol w:w="116"/>
        <w:gridCol w:w="225"/>
        <w:gridCol w:w="882"/>
        <w:gridCol w:w="116"/>
        <w:gridCol w:w="109"/>
        <w:gridCol w:w="109"/>
        <w:gridCol w:w="109"/>
        <w:gridCol w:w="211"/>
        <w:gridCol w:w="976"/>
        <w:gridCol w:w="109"/>
        <w:gridCol w:w="109"/>
        <w:gridCol w:w="109"/>
        <w:gridCol w:w="109"/>
        <w:gridCol w:w="211"/>
        <w:gridCol w:w="976"/>
        <w:gridCol w:w="159"/>
      </w:tblGrid>
      <w:tr>
        <w:trPr/>
        <w:tc>
          <w:tcPr>
            <w:tcW w:w="16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Technical and operating (excluding 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AMC Networks' stockholders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AMC Networks' stockholders:</w:t>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92"/>
        <w:gridCol w:w="1387"/>
        <w:gridCol w:w="1394"/>
        <w:gridCol w:w="240"/>
        <w:gridCol w:w="821"/>
        <w:gridCol w:w="124"/>
        <w:gridCol w:w="124"/>
        <w:gridCol w:w="124"/>
        <w:gridCol w:w="124"/>
        <w:gridCol w:w="240"/>
        <w:gridCol w:w="821"/>
        <w:gridCol w:w="124"/>
        <w:gridCol w:w="109"/>
        <w:gridCol w:w="109"/>
        <w:gridCol w:w="109"/>
        <w:gridCol w:w="227"/>
        <w:gridCol w:w="891"/>
        <w:gridCol w:w="117"/>
        <w:gridCol w:w="117"/>
        <w:gridCol w:w="117"/>
        <w:gridCol w:w="117"/>
        <w:gridCol w:w="227"/>
        <w:gridCol w:w="777"/>
        <w:gridCol w:w="173"/>
      </w:tblGrid>
      <w:tr>
        <w:trPr/>
        <w:tc>
          <w:tcPr>
            <w:tcW w:w="159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AMC Networks' stockholders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(217,929)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438,924 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2,231,593 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(1,399,122)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(219,321)</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1,052,856 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30,400 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1,083,256 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(248,120)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2,376,908 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(229,154)</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1,117,049 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31,225 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1,148,274 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(266,969)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member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438,924 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2,231,593 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(1,399,122)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(219,321)</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1,052,856 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30,400 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1,083,256 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(232,831)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redemption fair value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2,376,908 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(229,154)</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1,117,049 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1,148,274 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NETWORKS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173" w:type="dxa"/>
        <w:jc w:val="center"/>
        <w:tblInd w:w="0" w:type="dxa"/>
        <w:tblLayout w:type="fixed"/>
        <w:tblCellMar>
          <w:top w:w="28" w:type="dxa"/>
          <w:left w:w="28" w:type="dxa"/>
          <w:bottom w:w="28" w:type="dxa"/>
          <w:right w:w="28" w:type="dxa"/>
        </w:tblCellMar>
      </w:tblPr>
      <w:tblGrid>
        <w:gridCol w:w="2289"/>
        <w:gridCol w:w="2018"/>
        <w:gridCol w:w="2022"/>
        <w:gridCol w:w="225"/>
        <w:gridCol w:w="883"/>
        <w:gridCol w:w="116"/>
        <w:gridCol w:w="116"/>
        <w:gridCol w:w="116"/>
        <w:gridCol w:w="116"/>
        <w:gridCol w:w="225"/>
        <w:gridCol w:w="883"/>
        <w:gridCol w:w="164"/>
      </w:tblGrid>
      <w:tr>
        <w:trPr/>
        <w:tc>
          <w:tcPr>
            <w:tcW w:w="228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from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impairment and other charges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 related to equity classified awards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and other related charges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program rights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carriage fees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transaction gain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discounts on indebtedness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 (including amounts due from related parties,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and obligations,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liabilities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10.50% Senior Secured Notes due 2032,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10.25% Senior Secured Notes due 2029,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4.25% Convertible Senior Notes due 2029,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Tender and redemption of 4.75% Senior Notes due 2025</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Term Loan A Facility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Tender and repurchase of 4.25% Senior Notes due 2029</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repurchases of restricted stock units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from operations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716,838 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816,377 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 Description of Business and Basis of Presentation</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Business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Domestic Operations:</w:t>
      </w:r>
      <w:r>
        <w:rPr>
          <w:color w:val="000000"/>
        </w:rPr>
        <w:t xml:space="preserve"> </w:t>
      </w:r>
      <w:r>
        <w:rPr>
          <w:rFonts w:ascii="Times New Roman;serif" w:hAnsi="Times New Roman;serif"/>
          <w:b w:val="false"/>
          <w:color w:val="000000"/>
          <w:sz w:val="20"/>
        </w:rPr>
        <w:t>Consists of our five national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International</w:t>
      </w:r>
      <w:r>
        <w:rPr>
          <w:rFonts w:ascii="Times New Roman;serif" w:hAnsi="Times New Roman;serif"/>
          <w:b w:val="false"/>
          <w:color w:val="000000"/>
          <w:sz w:val="20"/>
        </w:rPr>
        <w:t xml:space="preserve">: Consists of AMC Networks International ("AMCNI"), our international programming businesses consisting of a portfolio of channels distributed around the world. </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AMC Networks and its subsidiaries in which a controlling financial interest is maintained or variable interest entities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Unaudited Interim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2024 contained in the Company's Annual Report on Form 10-K (our "2024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interim periods are not necessarily indicative of the results that might be expected for future interim periods or for the full year ending December 31,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were made to the prior period amounts to conform to the current period presentation.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guidance to simplify the capitalization of costs to develop software for internal use by eliminating the consideration of software development project stages. Instead, costs will be capitalized when management has authorized and committed to funding the project and it is probable that the project will be completed and the software will be used to perform its intended function. The new guidance is effective January 1, 2028 and can be applied prospectively, retrospectively, or with a modified prospective approach. The Company does not expect the adoption of this standard will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July 2025, the FASB issued guidance that provides a practical expedient for estimating credit losses for current accounts receivable and current contract assets arising from transactions accounted for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the new standard, in lieu of developing forecasts of future economic conditions, entities can elect a practical expedient that assumes the current conditions as of the balance sheet date remain consistent for the remaining life of the asset. The new guidance is effective January 1, 2026 and is to be applied prospectively, with early adoption permitted. The Company does not expect the adoption of this standard will have a material impact on its consolidated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 and is currently assessing whether to apply the updates prospectively or retrospectively.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guidance that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Revenue Recognition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updated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Affiliate revenues:</w:t>
      </w:r>
      <w:r>
        <w:rPr>
          <w:color w:val="000000"/>
        </w:rPr>
        <w:t xml:space="preserve"> </w:t>
      </w:r>
      <w:r>
        <w:rPr>
          <w:rFonts w:ascii="Times New Roman;serif" w:hAnsi="Times New Roman;serif"/>
          <w:b w:val="false"/>
          <w:color w:val="000000"/>
          <w:sz w:val="20"/>
        </w:rPr>
        <w:t>Represents fees received from distributors for the rights to use the Company's programming under multi-year contracts, commonly referred to as "affiliation agreements." Affiliate revenues also include fees received from distributors who provide access to the Company's streaming services to end users through a video package that also includes access to the Company's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Streaming revenues:</w:t>
      </w:r>
      <w:r>
        <w:rPr>
          <w:color w:val="000000"/>
        </w:rPr>
        <w:t xml:space="preserve"> </w:t>
      </w:r>
      <w:r>
        <w:rPr>
          <w:rFonts w:ascii="Times New Roman;serif" w:hAnsi="Times New Roman;serif"/>
          <w:b w:val="false"/>
          <w:color w:val="000000"/>
          <w:sz w:val="20"/>
        </w:rPr>
        <w:t>Represents fees for the Company's streaming services earned from the Company's direct-to-consumer platforms as well as through streaming platform arrangements with companies that sell the Company's streaming services on the Company's behalf.</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Transaction Price Allocated to Future Performance Obligations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As of September 30, 2025, other than contracts for which the Company has applied the practical expedients, the aggregate amount of transaction price allocated to remaining performance obligations</w:t>
      </w:r>
      <w:r>
        <w:rPr>
          <w:color w:val="000000"/>
          <w:shd w:fill="FFFFFF" w:val="clear"/>
        </w:rPr>
        <w:t xml:space="preserve"> </w:t>
      </w:r>
      <w:r>
        <w:rPr>
          <w:rFonts w:ascii="Times New Roman;serif" w:hAnsi="Times New Roman;serif"/>
          <w:b w:val="false"/>
          <w:color w:val="000000"/>
          <w:sz w:val="20"/>
          <w:shd w:fill="FFFFFF" w:val="clear"/>
        </w:rPr>
        <w:t xml:space="preserve">was not material </w:t>
      </w:r>
      <w:r>
        <w:rPr>
          <w:rFonts w:ascii="Times New Roman;serif" w:hAnsi="Times New Roman;serif"/>
          <w:b w:val="false"/>
          <w:color w:val="000000"/>
          <w:sz w:val="20"/>
        </w:rPr>
        <w:t>to our consolidated revenues.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Contract Balances from Contracts with Customers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accounts receivable and contract liabilities from contracts with customers. </w:t>
      </w:r>
    </w:p>
    <w:tbl>
      <w:tblPr>
        <w:tblW w:w="10205" w:type="dxa"/>
        <w:jc w:val="left"/>
        <w:tblInd w:w="0" w:type="dxa"/>
        <w:tblLayout w:type="fixed"/>
        <w:tblCellMar>
          <w:top w:w="28" w:type="dxa"/>
          <w:left w:w="28" w:type="dxa"/>
          <w:bottom w:w="28" w:type="dxa"/>
          <w:right w:w="28" w:type="dxa"/>
        </w:tblCellMar>
      </w:tblPr>
      <w:tblGrid>
        <w:gridCol w:w="2300"/>
        <w:gridCol w:w="2029"/>
        <w:gridCol w:w="2034"/>
        <w:gridCol w:w="109"/>
        <w:gridCol w:w="109"/>
        <w:gridCol w:w="109"/>
        <w:gridCol w:w="294"/>
        <w:gridCol w:w="1154"/>
        <w:gridCol w:w="151"/>
        <w:gridCol w:w="109"/>
        <w:gridCol w:w="109"/>
        <w:gridCol w:w="109"/>
        <w:gridCol w:w="280"/>
        <w:gridCol w:w="1100"/>
        <w:gridCol w:w="209"/>
      </w:tblGrid>
      <w:tr>
        <w:trPr/>
        <w:tc>
          <w:tcPr>
            <w:tcW w:w="230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Contract liabilities, short-term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Revenue recognized for the nine months ended September 30, 2025 and 2024 relating to the contract liabilities at December 31, 2024 and 2023 was $39.6 million </w:t>
      </w:r>
      <w:r>
        <w:rPr>
          <w:rFonts w:ascii="Times New Roman;serif" w:hAnsi="Times New Roman;serif"/>
          <w:b w:val="false"/>
          <w:color w:val="000000"/>
          <w:sz w:val="20"/>
          <w:shd w:fill="FFFFFF" w:val="clear"/>
        </w:rPr>
        <w:t>and $46.5 million, respectively</w:t>
      </w:r>
      <w:r>
        <w:rPr>
          <w:rFonts w:ascii="Times New Roman;serif" w:hAnsi="Times New Roman;serif"/>
          <w:b w:val="false"/>
          <w:color w:val="000000"/>
          <w:sz w:val="20"/>
        </w:rPr>
        <w:t>.</w:t>
      </w:r>
    </w:p>
    <w:p>
      <w:pPr>
        <w:pStyle w:val="TextBody"/>
        <w:bidi w:val="0"/>
        <w:spacing w:lineRule="auto" w:line="276"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2024, we recognized revenues of $13.4 million for a one-time retroactive adjustment reported and paid by a third party, for which our performance obligation was satisfied in a prior period.</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the Company had not yet sold any customer receivables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Net Income per Share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per basic share is based upon net income attributable to AMC Networks' stockholders divided by the weighted average number of shares of Class A Common Stock and Class B Common Stock outstanding during the period. Net income per diluted share reflects the dilutive effects, if any, of AMC Networks' outstanding equity-based awards and the assumed conversion of the Company's 4.25% Convertible Senior Notes due 2029 (the "Convertible Notes") issued in June 2024. </w:t>
      </w:r>
    </w:p>
    <w:tbl>
      <w:tblPr>
        <w:tblW w:w="10205" w:type="dxa"/>
        <w:jc w:val="left"/>
        <w:tblInd w:w="0" w:type="dxa"/>
        <w:tblLayout w:type="fixed"/>
        <w:tblCellMar>
          <w:top w:w="28" w:type="dxa"/>
          <w:left w:w="28" w:type="dxa"/>
          <w:bottom w:w="28" w:type="dxa"/>
          <w:right w:w="28" w:type="dxa"/>
        </w:tblCellMar>
      </w:tblPr>
      <w:tblGrid>
        <w:gridCol w:w="1654"/>
        <w:gridCol w:w="1446"/>
        <w:gridCol w:w="1409"/>
        <w:gridCol w:w="232"/>
        <w:gridCol w:w="796"/>
        <w:gridCol w:w="120"/>
        <w:gridCol w:w="120"/>
        <w:gridCol w:w="120"/>
        <w:gridCol w:w="120"/>
        <w:gridCol w:w="232"/>
        <w:gridCol w:w="796"/>
        <w:gridCol w:w="120"/>
        <w:gridCol w:w="109"/>
        <w:gridCol w:w="109"/>
        <w:gridCol w:w="109"/>
        <w:gridCol w:w="223"/>
        <w:gridCol w:w="874"/>
        <w:gridCol w:w="115"/>
        <w:gridCol w:w="115"/>
        <w:gridCol w:w="115"/>
        <w:gridCol w:w="115"/>
        <w:gridCol w:w="223"/>
        <w:gridCol w:w="763"/>
        <w:gridCol w:w="170"/>
      </w:tblGrid>
      <w:tr>
        <w:trPr/>
        <w:tc>
          <w:tcPr>
            <w:tcW w:w="165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09" w:type="dxa"/>
            <w:gridSpan w:val="3"/>
            <w:vMerge w:val="continue"/>
            <w:tcBorders/>
            <w:tcMar>
              <w:top w:w="0" w:type="dxa"/>
              <w:left w:w="0" w:type="dxa"/>
              <w:bottom w:w="0" w:type="dxa"/>
              <w:right w:w="0" w:type="dxa"/>
            </w:tcMar>
            <w:vAlign w:val="center"/>
          </w:tcPr>
          <w:p>
            <w:pPr>
              <w:pStyle w:val="Normal"/>
              <w:bidi w:val="0"/>
              <w:jc w:val="left"/>
              <w:rPr/>
            </w:pPr>
            <w:r>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AMC Networks' stockholders used for basic net income per share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Convertible Notes interest expense, net of tax</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AMC Networks' stockholders used for diluted net income per share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dilution:</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AMC Networks' stockholders: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For the three and nine months ended September 30, 2025, </w:t>
      </w:r>
      <w:r>
        <w:rPr>
          <w:rFonts w:ascii="Times New Roman;serif" w:hAnsi="Times New Roman;serif"/>
          <w:b w:val="false"/>
          <w:color w:val="000000"/>
          <w:sz w:val="20"/>
          <w:shd w:fill="FFFFFF" w:val="clear"/>
        </w:rPr>
        <w:t>no</w:t>
      </w:r>
      <w:r>
        <w:rPr>
          <w:color w:val="000000"/>
        </w:rPr>
        <w:t xml:space="preserve"> </w:t>
      </w:r>
      <w:r>
        <w:rPr>
          <w:rFonts w:ascii="Times New Roman;serif" w:hAnsi="Times New Roman;serif"/>
          <w:b w:val="false"/>
          <w:color w:val="000000"/>
          <w:sz w:val="20"/>
        </w:rPr>
        <w:t>restricted stock units ("RSUs") have been excluded from the diluted weighted average common shares outstanding due to their impact being antidilutive.</w:t>
      </w:r>
    </w:p>
    <w:p>
      <w:pPr>
        <w:pStyle w:val="TextBody"/>
        <w:bidi w:val="0"/>
        <w:spacing w:lineRule="auto" w:line="268" w:before="120" w:after="120"/>
        <w:ind w:left="0" w:right="0" w:firstLine="360"/>
        <w:jc w:val="both"/>
        <w:rPr/>
      </w:pPr>
      <w:r>
        <w:rPr>
          <w:rFonts w:ascii="Times New Roman;serif" w:hAnsi="Times New Roman;serif"/>
          <w:b w:val="false"/>
          <w:color w:val="000000"/>
          <w:sz w:val="20"/>
        </w:rPr>
        <w:t xml:space="preserve">For the three and nine months ended September 30, 2024, </w:t>
      </w:r>
      <w:r>
        <w:rPr>
          <w:rFonts w:ascii="Times New Roman;serif" w:hAnsi="Times New Roman;serif"/>
          <w:b w:val="false"/>
          <w:color w:val="000000"/>
          <w:sz w:val="20"/>
          <w:shd w:fill="FFFFFF" w:val="clear"/>
        </w:rPr>
        <w:t>2.8 million</w:t>
      </w:r>
      <w:r>
        <w:rPr>
          <w:color w:val="000000"/>
        </w:rPr>
        <w:t xml:space="preserve"> </w:t>
      </w:r>
      <w:r>
        <w:rPr>
          <w:rFonts w:ascii="Times New Roman;serif" w:hAnsi="Times New Roman;serif"/>
          <w:b w:val="false"/>
          <w:color w:val="000000"/>
          <w:sz w:val="20"/>
        </w:rPr>
        <w:t xml:space="preserve">of RSUs have been excluded from the diluted weighted average common shares outstanding, as their impact would have been antidilutive. </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Company's Board of Directors previously authorized a program to repurchase up to </w:t>
      </w:r>
      <w:r>
        <w:rPr>
          <w:rFonts w:ascii="Times New Roman;serif" w:hAnsi="Times New Roman;serif"/>
          <w:b w:val="false"/>
          <w:color w:val="000000"/>
          <w:sz w:val="20"/>
          <w:shd w:fill="FFFFFF" w:val="clear"/>
        </w:rPr>
        <w:t>$1.5 billion</w:t>
      </w:r>
      <w:r>
        <w:rPr>
          <w:color w:val="000000"/>
        </w:rPr>
        <w:t xml:space="preserve"> </w:t>
      </w:r>
      <w:r>
        <w:rPr>
          <w:rFonts w:ascii="Times New Roman;serif" w:hAnsi="Times New Roman;serif"/>
          <w:b w:val="false"/>
          <w:color w:val="000000"/>
          <w:sz w:val="20"/>
        </w:rPr>
        <w:t xml:space="preserve">of its outstanding shares of Class A Common Stock (the "Stock Repurchase Program"). The Stock Repurchase Program has no pre-established termination date and may be suspended or discontinued at any time. During the second quarter of 2025, the Company repurchased 1.6 million shares of its Class A Common Stock at an average purchase price of $6.48 per share. As of September 30, 2025, the Company had </w:t>
      </w:r>
      <w:r>
        <w:rPr>
          <w:rFonts w:ascii="Times New Roman;serif" w:hAnsi="Times New Roman;serif"/>
          <w:b w:val="false"/>
          <w:color w:val="000000"/>
          <w:sz w:val="20"/>
          <w:shd w:fill="FFFFFF" w:val="clear"/>
        </w:rPr>
        <w:t>$124.9 million</w:t>
      </w:r>
      <w:r>
        <w:rPr>
          <w:color w:val="000000"/>
        </w:rPr>
        <w:t xml:space="preserve"> </w:t>
      </w:r>
      <w:r>
        <w:rPr>
          <w:rFonts w:ascii="Times New Roman;serif" w:hAnsi="Times New Roman;serif"/>
          <w:b w:val="false"/>
          <w:color w:val="000000"/>
          <w:sz w:val="20"/>
        </w:rPr>
        <w:t>of authorization remaining for repurchase under the Stock Repurchase Program.</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Restructuring and Other Related Charges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 xml:space="preserve">$4.5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three months ended September 30, 2025. During the third quarter of 2025, we expanded our restructuring plan related to the International segment and implemented a voluntary buyout program for employees in Argentina designed to achieve cost reductions and streamline operations in response to challenging industry conditions. Additionally, during the third quarter of 2025, we implemented organizational changes in our Domestic Operations segment designed to create an enhanced offering that is intended to maximize the potential of our We TV and ALLBLK brands. Additional restructuring charges were incurred in connection with the wind-down of a U.K. joint venture in our International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 xml:space="preserve">$12.8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he nine months ended September 30, 2025, primarily related to our multi-faceted restructuring plan in our International segment ("AMCNI Plan") designed to achieve cost reductions and streamline operations including channel re-branding and a reduction of workforce in Southern Europe, the wind-down of a U.K. joint venture, and a voluntary buyout program for employees in Argentina. The Company will incur additional restructuring charges in connection with the AMCNI Plan, which is expected to be substantially completed in the first half of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announced a voluntary buyout program for U.S. employees, which is expected to result in modifications to the organizational structure of the Company and reduced employee costs. The Company expects to recognize approximately $15.0 - $20.0 million of severance charges during the fourth quarter of 2025 in connection with the employees who participate in the program.</w:t>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Restructuring and other related charges were $3.5 million for t</w:t>
      </w:r>
      <w:r>
        <w:rPr>
          <w:rFonts w:ascii="Times New Roman;serif" w:hAnsi="Times New Roman;serif"/>
          <w:b w:val="false"/>
          <w:color w:val="000000"/>
          <w:sz w:val="20"/>
        </w:rPr>
        <w:t>he three months ended September 30, 2024, consisting</w:t>
      </w:r>
      <w:r>
        <w:rPr>
          <w:color w:val="000000"/>
          <w:shd w:fill="FFFFFF" w:val="clear"/>
        </w:rPr>
        <w:t xml:space="preserve"> </w:t>
      </w:r>
      <w:r>
        <w:rPr>
          <w:rFonts w:ascii="Times New Roman;serif" w:hAnsi="Times New Roman;serif"/>
          <w:b w:val="false"/>
          <w:color w:val="000000"/>
          <w:sz w:val="20"/>
          <w:shd w:fill="FFFFFF" w:val="clear"/>
        </w:rPr>
        <w:t xml:space="preserve">primarily of severance and employee-related costs, and </w:t>
      </w:r>
      <w:r>
        <w:rPr>
          <w:rFonts w:ascii="Times New Roman;serif" w:hAnsi="Times New Roman;serif"/>
          <w:b w:val="false"/>
          <w:color w:val="000000"/>
          <w:sz w:val="20"/>
        </w:rPr>
        <w:t xml:space="preserve">$6.4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he nine months ended September 30, 2024, consisting</w:t>
      </w:r>
      <w:r>
        <w:rPr>
          <w:color w:val="000000"/>
          <w:shd w:fill="FFFFFF" w:val="clear"/>
        </w:rPr>
        <w:t xml:space="preserve"> </w:t>
      </w:r>
      <w:r>
        <w:rPr>
          <w:rFonts w:ascii="Times New Roman;serif" w:hAnsi="Times New Roman;serif"/>
          <w:b w:val="false"/>
          <w:color w:val="000000"/>
          <w:sz w:val="20"/>
          <w:shd w:fill="FFFFFF" w:val="clear"/>
        </w:rPr>
        <w:t>primarily of severance and employee-related costs, as well as content impairments in connection wit</w:t>
      </w:r>
      <w:r>
        <w:rPr>
          <w:rFonts w:ascii="Times New Roman;serif" w:hAnsi="Times New Roman;serif"/>
          <w:b w:val="false"/>
          <w:color w:val="000000"/>
          <w:sz w:val="20"/>
        </w:rPr>
        <w:t xml:space="preserve">h We TV shifting to a reduced originals strategy. </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and other related charges (credits) recognized by operating segment:</w:t>
      </w:r>
    </w:p>
    <w:tbl>
      <w:tblPr>
        <w:tblW w:w="9771" w:type="dxa"/>
        <w:jc w:val="left"/>
        <w:tblInd w:w="0" w:type="dxa"/>
        <w:tblLayout w:type="fixed"/>
        <w:tblCellMar>
          <w:top w:w="28" w:type="dxa"/>
          <w:left w:w="28" w:type="dxa"/>
          <w:bottom w:w="28" w:type="dxa"/>
          <w:right w:w="28" w:type="dxa"/>
        </w:tblCellMar>
      </w:tblPr>
      <w:tblGrid>
        <w:gridCol w:w="1339"/>
        <w:gridCol w:w="1182"/>
        <w:gridCol w:w="1184"/>
        <w:gridCol w:w="277"/>
        <w:gridCol w:w="811"/>
        <w:gridCol w:w="143"/>
        <w:gridCol w:w="143"/>
        <w:gridCol w:w="143"/>
        <w:gridCol w:w="143"/>
        <w:gridCol w:w="277"/>
        <w:gridCol w:w="811"/>
        <w:gridCol w:w="143"/>
        <w:gridCol w:w="109"/>
        <w:gridCol w:w="109"/>
        <w:gridCol w:w="109"/>
        <w:gridCol w:w="256"/>
        <w:gridCol w:w="875"/>
        <w:gridCol w:w="132"/>
        <w:gridCol w:w="132"/>
        <w:gridCol w:w="132"/>
        <w:gridCol w:w="132"/>
        <w:gridCol w:w="256"/>
        <w:gridCol w:w="747"/>
        <w:gridCol w:w="186"/>
      </w:tblGrid>
      <w:tr>
        <w:trPr/>
        <w:tc>
          <w:tcPr>
            <w:tcW w:w="133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Operations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 Inter-segment eliminations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related charges</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accrued restructuring and other related costs:</w:t>
      </w:r>
    </w:p>
    <w:tbl>
      <w:tblPr>
        <w:tblW w:w="10205" w:type="dxa"/>
        <w:jc w:val="left"/>
        <w:tblInd w:w="0" w:type="dxa"/>
        <w:tblLayout w:type="fixed"/>
        <w:tblCellMar>
          <w:top w:w="28" w:type="dxa"/>
          <w:left w:w="28" w:type="dxa"/>
          <w:bottom w:w="28" w:type="dxa"/>
          <w:right w:w="28" w:type="dxa"/>
        </w:tblCellMar>
      </w:tblPr>
      <w:tblGrid>
        <w:gridCol w:w="1103"/>
        <w:gridCol w:w="918"/>
        <w:gridCol w:w="921"/>
        <w:gridCol w:w="616"/>
        <w:gridCol w:w="1799"/>
        <w:gridCol w:w="320"/>
        <w:gridCol w:w="109"/>
        <w:gridCol w:w="109"/>
        <w:gridCol w:w="109"/>
        <w:gridCol w:w="649"/>
        <w:gridCol w:w="1902"/>
        <w:gridCol w:w="337"/>
        <w:gridCol w:w="109"/>
        <w:gridCol w:w="109"/>
        <w:gridCol w:w="109"/>
        <w:gridCol w:w="211"/>
        <w:gridCol w:w="616"/>
        <w:gridCol w:w="159"/>
      </w:tblGrid>
      <w:tr>
        <w:trPr/>
        <w:tc>
          <w:tcPr>
            <w:tcW w:w="11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content impairment adjustments</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Accrued restructuring and other related costs of $4.2 million and $6.2 million are included in Accrued liabilities in the condensed consolidated balance sheets at September 30, 2025 and December 31, 2024, respectively.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Program Rights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Total </w:t>
            </w:r>
          </w:p>
        </w:tc>
      </w:tr>
      <w:tr>
        <w:trPr/>
        <w:tc>
          <w:tcPr>
            <w:tcW w:w="2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original program rights, net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886,852 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928,503 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Licensed program rights, net:</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601,285 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originals</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licensed program rights, net</w:t>
            </w:r>
          </w:p>
        </w:tc>
        <w:tc>
          <w:tcPr>
            <w:tcW w:w="2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 rights, net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41,724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1,699,562</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1,741,286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net (long-term)</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1,741,286</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Total </w:t>
            </w:r>
          </w:p>
        </w:tc>
      </w:tr>
      <w:tr>
        <w:trPr/>
        <w:tc>
          <w:tcPr>
            <w:tcW w:w="2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5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647,632 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original program rights, net</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65,129 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870,292 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935,421 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Licensed program rights, net:</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543,396 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originals</w:t>
            </w:r>
          </w:p>
        </w:tc>
        <w:tc>
          <w:tcPr>
            <w:tcW w:w="24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licensed program rights, net</w:t>
            </w:r>
          </w:p>
        </w:tc>
        <w:tc>
          <w:tcPr>
            <w:tcW w:w="24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780,959 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781,220 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 rights, net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65,390</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1,651,251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1,716,641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net (long-term)</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1,716,641</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program rights (including write-offs) included in Technical and operating expenses in the condensed consolidated statements of income, is as follows:</w:t>
      </w:r>
    </w:p>
    <w:tbl>
      <w:tblPr>
        <w:tblW w:w="10205" w:type="dxa"/>
        <w:jc w:val="left"/>
        <w:tblInd w:w="0" w:type="dxa"/>
        <w:tblLayout w:type="fixed"/>
        <w:tblCellMar>
          <w:top w:w="28" w:type="dxa"/>
          <w:left w:w="28" w:type="dxa"/>
          <w:bottom w:w="28" w:type="dxa"/>
          <w:right w:w="28" w:type="dxa"/>
        </w:tblCellMar>
      </w:tblPr>
      <w:tblGrid>
        <w:gridCol w:w="378"/>
        <w:gridCol w:w="322"/>
        <w:gridCol w:w="323"/>
        <w:gridCol w:w="293"/>
        <w:gridCol w:w="856"/>
        <w:gridCol w:w="153"/>
        <w:gridCol w:w="109"/>
        <w:gridCol w:w="109"/>
        <w:gridCol w:w="109"/>
        <w:gridCol w:w="239"/>
        <w:gridCol w:w="937"/>
        <w:gridCol w:w="123"/>
        <w:gridCol w:w="109"/>
        <w:gridCol w:w="109"/>
        <w:gridCol w:w="109"/>
        <w:gridCol w:w="211"/>
        <w:gridCol w:w="826"/>
        <w:gridCol w:w="109"/>
        <w:gridCol w:w="109"/>
        <w:gridCol w:w="109"/>
        <w:gridCol w:w="109"/>
        <w:gridCol w:w="263"/>
        <w:gridCol w:w="902"/>
        <w:gridCol w:w="137"/>
        <w:gridCol w:w="109"/>
        <w:gridCol w:w="109"/>
        <w:gridCol w:w="109"/>
        <w:gridCol w:w="239"/>
        <w:gridCol w:w="937"/>
        <w:gridCol w:w="123"/>
        <w:gridCol w:w="109"/>
        <w:gridCol w:w="109"/>
        <w:gridCol w:w="109"/>
        <w:gridCol w:w="211"/>
        <w:gridCol w:w="826"/>
        <w:gridCol w:w="162"/>
      </w:tblGrid>
      <w:tr>
        <w:trPr/>
        <w:tc>
          <w:tcPr>
            <w:tcW w:w="3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original program rights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268,767 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208,678 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23,241 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602,629 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625,870 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8"/>
        <w:gridCol w:w="322"/>
        <w:gridCol w:w="323"/>
        <w:gridCol w:w="263"/>
        <w:gridCol w:w="902"/>
        <w:gridCol w:w="137"/>
        <w:gridCol w:w="109"/>
        <w:gridCol w:w="109"/>
        <w:gridCol w:w="109"/>
        <w:gridCol w:w="239"/>
        <w:gridCol w:w="937"/>
        <w:gridCol w:w="123"/>
        <w:gridCol w:w="109"/>
        <w:gridCol w:w="109"/>
        <w:gridCol w:w="109"/>
        <w:gridCol w:w="211"/>
        <w:gridCol w:w="826"/>
        <w:gridCol w:w="109"/>
        <w:gridCol w:w="109"/>
        <w:gridCol w:w="109"/>
        <w:gridCol w:w="109"/>
        <w:gridCol w:w="263"/>
        <w:gridCol w:w="902"/>
        <w:gridCol w:w="137"/>
        <w:gridCol w:w="109"/>
        <w:gridCol w:w="109"/>
        <w:gridCol w:w="109"/>
        <w:gridCol w:w="239"/>
        <w:gridCol w:w="937"/>
        <w:gridCol w:w="123"/>
        <w:gridCol w:w="109"/>
        <w:gridCol w:w="109"/>
        <w:gridCol w:w="109"/>
        <w:gridCol w:w="211"/>
        <w:gridCol w:w="826"/>
        <w:gridCol w:w="162"/>
      </w:tblGrid>
      <w:tr>
        <w:trPr/>
        <w:tc>
          <w:tcPr>
            <w:tcW w:w="3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original program rights</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62,872 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278,831 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206,135 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64,852 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576,854 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641,706 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360"/>
        <w:jc w:val="both"/>
        <w:rPr/>
      </w:pPr>
      <w:r>
        <w:rPr>
          <w:rFonts w:ascii="Times New Roman;serif" w:hAnsi="Times New Roman;serif"/>
          <w:b w:val="false"/>
          <w:color w:val="000000"/>
          <w:sz w:val="20"/>
          <w:shd w:fill="FFFFFF" w:val="clear"/>
        </w:rPr>
        <w:t>There were</w:t>
      </w:r>
      <w:r>
        <w:rPr>
          <w:color w:val="000000"/>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significant program rights write-offs included in technical and operating expenses f</w:t>
      </w:r>
      <w:r>
        <w:rPr>
          <w:rFonts w:ascii="Times New Roman;serif" w:hAnsi="Times New Roman;serif"/>
          <w:b w:val="false"/>
          <w:color w:val="000000"/>
          <w:sz w:val="20"/>
        </w:rPr>
        <w:t>or the three and nine months ended September 30, 2025 or 2024.</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may qualify for tax incentives through eligible spend on productions. Receivables related to tax incentives earned on production spend as of September 30, 2025 consisted of $163.2 million recorded in Prepaid expenses and other current assets and $83.5 million recorded in Other assets. Receivables related to tax incentives earned on production spend as of December 31, 2024 consisted of $182.0 million recorded in Prepaid expenses and other current assets and $42.4 million recorded in Other assets.</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Investments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 holds several investments in and loans to non-consolidated entities that are included in Other assets in the condensed consolidated balance sheets. Equity method investments were</w:t>
      </w:r>
      <w:r>
        <w:rPr>
          <w:color w:val="000000"/>
          <w:shd w:fill="FFFFFF" w:val="clear"/>
        </w:rPr>
        <w:t xml:space="preserve"> </w:t>
      </w:r>
      <w:r>
        <w:rPr>
          <w:rFonts w:ascii="Times New Roman;serif" w:hAnsi="Times New Roman;serif"/>
          <w:b w:val="false"/>
          <w:color w:val="000000"/>
          <w:sz w:val="20"/>
        </w:rPr>
        <w:t>$88.8 million</w:t>
      </w:r>
      <w:r>
        <w:rPr>
          <w:color w:val="000000"/>
          <w:shd w:fill="FFFFFF" w:val="clear"/>
        </w:rPr>
        <w:t xml:space="preserve"> </w:t>
      </w:r>
      <w:r>
        <w:rPr>
          <w:rFonts w:ascii="Times New Roman;serif" w:hAnsi="Times New Roman;serif"/>
          <w:b w:val="false"/>
          <w:color w:val="000000"/>
          <w:sz w:val="20"/>
        </w:rPr>
        <w:t xml:space="preserve">and $81.8 million at September 30, 2025 and December 31, 2024, respectively. Investments in non-marketable equity securities were $44.6 million and </w:t>
      </w:r>
      <w:r>
        <w:rPr>
          <w:rFonts w:ascii="Times New Roman;serif" w:hAnsi="Times New Roman;serif"/>
          <w:b w:val="false"/>
          <w:color w:val="000000"/>
          <w:sz w:val="20"/>
          <w:shd w:fill="FFFFFF" w:val="clear"/>
        </w:rPr>
        <w:t>$43.9 million a</w:t>
      </w:r>
      <w:r>
        <w:rPr>
          <w:rFonts w:ascii="Times New Roman;serif" w:hAnsi="Times New Roman;serif"/>
          <w:b w:val="false"/>
          <w:color w:val="000000"/>
          <w:sz w:val="20"/>
        </w:rPr>
        <w:t xml:space="preserve">t September 30, 2025 and December 31, 2024, respectively.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Goodwill and Other Intangible Assets</w:t>
      </w:r>
    </w:p>
    <w:p>
      <w:pPr>
        <w:pStyle w:val="TextBody"/>
        <w:bidi w:val="0"/>
        <w:spacing w:lineRule="auto" w:line="288" w:before="12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by operating segment, is as follows:</w:t>
      </w:r>
    </w:p>
    <w:tbl>
      <w:tblPr>
        <w:tblW w:w="7116" w:type="dxa"/>
        <w:jc w:val="left"/>
        <w:tblInd w:w="0" w:type="dxa"/>
        <w:tblLayout w:type="fixed"/>
        <w:tblCellMar>
          <w:top w:w="28" w:type="dxa"/>
          <w:left w:w="28" w:type="dxa"/>
          <w:bottom w:w="28" w:type="dxa"/>
          <w:right w:w="28" w:type="dxa"/>
        </w:tblCellMar>
      </w:tblPr>
      <w:tblGrid>
        <w:gridCol w:w="872"/>
        <w:gridCol w:w="770"/>
        <w:gridCol w:w="773"/>
        <w:gridCol w:w="346"/>
        <w:gridCol w:w="1185"/>
        <w:gridCol w:w="179"/>
        <w:gridCol w:w="109"/>
        <w:gridCol w:w="109"/>
        <w:gridCol w:w="109"/>
        <w:gridCol w:w="211"/>
        <w:gridCol w:w="826"/>
        <w:gridCol w:w="10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accumulated impairment charges totaled $556.2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(491,853)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(590,112)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(590,112)</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ind w:left="0" w:right="0" w:firstLine="450"/>
        <w:jc w:val="both"/>
        <w:rPr/>
      </w:pPr>
      <w:r>
        <w:rPr/>
      </w:r>
    </w:p>
    <w:tbl>
      <w:tblPr>
        <w:tblW w:w="9747" w:type="dxa"/>
        <w:jc w:val="left"/>
        <w:tblInd w:w="0" w:type="dxa"/>
        <w:tblLayout w:type="fixed"/>
        <w:tblCellMar>
          <w:top w:w="28" w:type="dxa"/>
          <w:left w:w="28" w:type="dxa"/>
          <w:bottom w:w="28" w:type="dxa"/>
          <w:right w:w="28" w:type="dxa"/>
        </w:tblCellMar>
      </w:tblPr>
      <w:tblGrid>
        <w:gridCol w:w="1568"/>
        <w:gridCol w:w="1383"/>
        <w:gridCol w:w="1398"/>
        <w:gridCol w:w="211"/>
        <w:gridCol w:w="826"/>
        <w:gridCol w:w="109"/>
        <w:gridCol w:w="109"/>
        <w:gridCol w:w="109"/>
        <w:gridCol w:w="109"/>
        <w:gridCol w:w="378"/>
        <w:gridCol w:w="1616"/>
        <w:gridCol w:w="195"/>
        <w:gridCol w:w="109"/>
        <w:gridCol w:w="109"/>
        <w:gridCol w:w="109"/>
        <w:gridCol w:w="211"/>
        <w:gridCol w:w="826"/>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1736" w:type="dxa"/>
            <w:gridSpan w:val="8"/>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5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(456,052)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(548,503)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(548,503)</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Aggregate amortization expense for amortizable intangible assets for the three months ended September 30, 2025 and 2024 was $7.6 million</w:t>
      </w:r>
      <w:r>
        <w:rPr>
          <w:color w:val="000000"/>
          <w:shd w:fill="FFFFFF" w:val="clear"/>
        </w:rPr>
        <w:t xml:space="preserve"> </w:t>
      </w:r>
      <w:r>
        <w:rPr>
          <w:rFonts w:ascii="Times New Roman;serif" w:hAnsi="Times New Roman;serif"/>
          <w:b w:val="false"/>
          <w:color w:val="000000"/>
          <w:sz w:val="20"/>
        </w:rPr>
        <w:t>and $7.9 million, respectively, and for the nine months ended September 30, 2025 and 2024 was $23.4 million and $26.1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Note 8. Accrued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w:t>
      </w:r>
    </w:p>
    <w:tbl>
      <w:tblPr>
        <w:tblW w:w="5875" w:type="dxa"/>
        <w:jc w:val="left"/>
        <w:tblInd w:w="0" w:type="dxa"/>
        <w:tblLayout w:type="fixed"/>
        <w:tblCellMar>
          <w:top w:w="28" w:type="dxa"/>
          <w:left w:w="28" w:type="dxa"/>
          <w:bottom w:w="28" w:type="dxa"/>
          <w:right w:w="28" w:type="dxa"/>
        </w:tblCellMar>
      </w:tblPr>
      <w:tblGrid>
        <w:gridCol w:w="851"/>
        <w:gridCol w:w="751"/>
        <w:gridCol w:w="753"/>
        <w:gridCol w:w="295"/>
        <w:gridCol w:w="1157"/>
        <w:gridCol w:w="152"/>
        <w:gridCol w:w="109"/>
        <w:gridCol w:w="109"/>
        <w:gridCol w:w="109"/>
        <w:gridCol w:w="281"/>
        <w:gridCol w:w="1103"/>
        <w:gridCol w:w="205"/>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costs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Participations and residuals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281,641 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290,718 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9. Long-term Debt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consists of:</w:t>
      </w:r>
    </w:p>
    <w:tbl>
      <w:tblPr>
        <w:tblW w:w="8261" w:type="dxa"/>
        <w:jc w:val="left"/>
        <w:tblInd w:w="0" w:type="dxa"/>
        <w:tblLayout w:type="fixed"/>
        <w:tblCellMar>
          <w:top w:w="28" w:type="dxa"/>
          <w:left w:w="28" w:type="dxa"/>
          <w:bottom w:w="28" w:type="dxa"/>
          <w:right w:w="28" w:type="dxa"/>
        </w:tblCellMar>
      </w:tblPr>
      <w:tblGrid>
        <w:gridCol w:w="1713"/>
        <w:gridCol w:w="1511"/>
        <w:gridCol w:w="1516"/>
        <w:gridCol w:w="261"/>
        <w:gridCol w:w="1209"/>
        <w:gridCol w:w="135"/>
        <w:gridCol w:w="109"/>
        <w:gridCol w:w="109"/>
        <w:gridCol w:w="109"/>
        <w:gridCol w:w="250"/>
        <w:gridCol w:w="1157"/>
        <w:gridCol w:w="182"/>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Secured Credit Facility: </w:t>
            </w:r>
            <w:r>
              <w:rPr>
                <w:rFonts w:ascii="Times New Roman;serif" w:hAnsi="Times New Roman;serif"/>
                <w:b w:val="false"/>
                <w:color w:val="000000"/>
                <w:sz w:val="14"/>
              </w:rPr>
              <w:t>(a)</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10.25% Senior Secured Notes due January 2029</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Senior Notes due February 2029</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Convertible Senior Notes due February 2029</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10.50% Senior Secured Notes due July 2032</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1,946,706 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2,369,385 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long-term 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1,911,213 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2,328,719 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(a)Represents the aggregate principal amount of the debt, with the Term Loan A (extended) of $251.3 million and commitments under our undrawn $175.0 million revolving credit facility. Total undrawn revolver commitments are available to be drawn for general corporate purposes of the Company.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Senior Secured Credit Facility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voluntarily prepaid the remaining $90.0 million of borrowings under the Term Loan A Facility (non-extended), $20.0 million of which was paid in May 2025 and the remaining $70.0 million of which was paid in July 2025. In connection with the voluntary prepayments, the Company recorded a charge of $0.4 million to write-off a portion of the unamortized discount and deferred financing costs associated with the Term Loan A Facility (non-extended), which is included in Gain (loss) on extinguishment of debt, net in the condensed consolidated statements of income. During the nine months ended September 30, 2025, the Company made quarterly payments of the principal amount of the Term Loan A Facility (extended) totaling $24.4 million.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AMC Networks' credit agreement (as amended, the "Credit Agreement") generally requires AMC Networks Inc. and its restricted subsidiaries on a consolidated basis to comply with a maximum total net leverage ratio of 5.75:1.00 from April 9, 2024 through March 31, 2026, after which the maximum total net leverage ratio changes to 5.50:1.00. In addition, the Credit Agreement requires a minimum interest coverage ratio, which prior to Amendment No. 5 described below, was 2.00:1.00 for AMC Networks Inc. and its restricted subsidiaries on a consolidated basis. All borrowings under the Credit Agreement are subject to the satisfaction of customary conditions, including the absence of a default and accuracy of representations and warranties. AMC Networks was in compliance with all of its financial covenants under the Credit Agreement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entered into Amendment No. 5 (“Amendment No. 5”) to the Credit Agreement. The Company continues to maintain $175.0 million of commitments under the revolving credit facility. Pursuant to Amendment No. 5, the maturity date of $111.8 million of such commitments was extended to the earlier of (i) October 29, 2030 and (ii) the date that is 90 days prior to the maturity date of any capital markets indebtedness of AMC Networks Inc. with an aggregate outstanding principal amount exceeding $50.0 million. The remaining $63.2 million of commitments under the revolving credit facility retained their existing maturity date of April 9,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repurchased and permanently retired term loans held by certain lenders that consented to the maturity extension noted above, in an aggregate principal amount equal to $165.7 million, at a price equal to the principal amount thereof plus accrued and unpaid interest. The remaining $85.6 million principal amount retained their existing maturity date of April 9,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Amendment No. 5 also includes certain other modifications to covenants and other provisions of the Credit Agreement, including a reduction in the minimum interest coverage ratio from 2.00:1.00 to 1.50:1.00, with a step-up to 1.75:1.00 for fiscal quarters ending on or after December 31, 2028.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4.25% Senior Notes due 2029</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Utilizing proceeds from the July 3, 2025 offering of 2032 Secured Notes described below and cash-on-hand, the Company completed a cash tender offer on July 17, 2025 to purchase $600.0 million of its 4.25% Senior Notes due 2029 ("Senior Notes") at a discount of $111.0 million, and retired the notes tendered. The Company recorded a $105.8 million gain which reflects the discount, net of $5.2 million to write-off a portion of the unamortized discount and deferred financing costs associated with the Senior Notes, and is included in Gain (loss) on extinguishment of debt, net in the condensed consolidated statements of income.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second and third quarters of 2025, the Company repurchased $99.1 million and $9.2 million principal amount, respectively, of its Senior Notes through open market repurchases, at discounts of $26.7 million and $1.5 million, respectively, and retired the repurchased Senior Notes. The Company recorded gains of $25.8 million and $1.4 million, respectively, which reflects the discounts, net of $0.9 million and $0.1 million, respectively, to write-off a portion of the unamortized discount and deferred financing costs associated with the Senior Notes, and is included in Gain (loss) on extinguishment of debt, net in the condensed consolidated statements of income.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2032 Secured Notes Offering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 2025, AMC Networks completed an offering of $400.0 million aggregate principal amount of its 10.500% Senior Secured Notes due 2032 (the “2032 Secured Notes”). AMC Networks received net proceeds of $394.5 million, after deducting initial purchaser discounts. The 2032 Secured Notes are guaranteed by AMC Network Entertainment and AMC Networks' subsidiaries that guarantee the Credit Agreement (the "Guarantors").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2032 Secured Notes were issued pursuant to an Indenture, dated as of July 3, 2025 (the “2032 Secured Notes Indenture”), among AMC Networks, the Guarantors and U.S. Bank Trust Company, National Association, as Trustee.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2032 Secured Notes accrue interest at a rate of 10.500% per annum and mature on July 15, 2032. Interest is payable semiannually on January 15 and July 15 of each year, commencing on January 15, 2026. The 2032 Secured Notes are AMC Networks’ general senior secured obligations, secured on a first-priority basis by substantially all of AMC Networks’ and the Guarantors’ assets and property (the “Collateral”), subject to certain liens permitted under the 2032 Secured Notes Indenture, and will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2032 Secured Notes, in each case, to the extent of the value of the Collateral.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or after July 15, 2028, AMC Networks may redeem the 2032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July 15 of the years indicated below: </w:t>
      </w:r>
    </w:p>
    <w:tbl>
      <w:tblPr>
        <w:tblW w:w="3337" w:type="dxa"/>
        <w:jc w:val="center"/>
        <w:tblInd w:w="0" w:type="dxa"/>
        <w:tblLayout w:type="fixed"/>
        <w:tblCellMar>
          <w:top w:w="28" w:type="dxa"/>
          <w:left w:w="28" w:type="dxa"/>
          <w:bottom w:w="28" w:type="dxa"/>
          <w:right w:w="28" w:type="dxa"/>
        </w:tblCellMar>
      </w:tblPr>
      <w:tblGrid>
        <w:gridCol w:w="610"/>
        <w:gridCol w:w="537"/>
        <w:gridCol w:w="547"/>
        <w:gridCol w:w="109"/>
        <w:gridCol w:w="109"/>
        <w:gridCol w:w="109"/>
        <w:gridCol w:w="109"/>
        <w:gridCol w:w="109"/>
        <w:gridCol w:w="109"/>
        <w:gridCol w:w="289"/>
        <w:gridCol w:w="289"/>
        <w:gridCol w:w="411"/>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Percentage</w:t>
            </w:r>
          </w:p>
        </w:tc>
      </w:tr>
      <w:tr>
        <w:trPr/>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105.250%</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102.625%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100.000%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optional redemption of the 2032 Secured Notes described above, at any time prior to July 15, 2028, AMC Networks may redeem up to 40% of the aggregate principal amount of the 2032 Secured Notes at a redemption price equal to 110.500% of the principal amount thereof, plus accrued and unpaid interest and additional interest, if any, using the net proceeds of certain equity offerings. At any time prior to July 15, 2028, AMC Networks may also redeem up to 10% of the aggregate principal amount of the 2032 Secured Notes during any twelve month period at a redemption price equal to 103.000% of the aggregate principal amount thereof, plus accrued and unpaid interest thereon to, but excluding, the redemption date.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Finally, at any time prior to July 15, 2028, AMC Networks may redeem the 2032 Secured Notes, at its option in whole or in part, at any time and from time to time, at a redemption price equal to 100% of the principal amount thereof to be redeemed plus the “Applicable Premium” calculated as described in the 2032 Secured Notes Indenture at the Treasury rate + 50 basis points, and accrued and unpaid interest thereon, if any, to, but excluding, the redemption date.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Company's leases consist of non-cancelable agreements for office space, and to a lesser extent, equipment leases for satellite transponders, which</w:t>
      </w:r>
      <w:r>
        <w:rPr>
          <w:color w:val="000000"/>
          <w:shd w:fill="FFFFFF" w:val="clear"/>
        </w:rPr>
        <w:t xml:space="preserve"> </w:t>
      </w:r>
      <w:r>
        <w:rPr>
          <w:rFonts w:ascii="Times New Roman;serif" w:hAnsi="Times New Roman;serif"/>
          <w:b w:val="false"/>
          <w:color w:val="000000"/>
          <w:sz w:val="20"/>
          <w:shd w:fill="FFFFFF" w:val="clear"/>
        </w:rPr>
        <w:t>expire at various dates through 2033</w:t>
      </w:r>
      <w:r>
        <w:rPr>
          <w:rFonts w:ascii="Times New Roman;serif" w:hAnsi="Times New Roman;serif"/>
          <w:b w:val="false"/>
          <w:color w:val="000000"/>
          <w:sz w:val="20"/>
        </w:rPr>
        <w:t>.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rate implicit in our leases is not readily determinable, the Company uses its incremental borrowing rate based on the information available at the lease commencement date to determine the present value of the lease payments.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leases included in the condensed consolidated balance sheets:</w:t>
      </w:r>
    </w:p>
    <w:tbl>
      <w:tblPr>
        <w:tblW w:w="8678"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325"/>
        <w:gridCol w:w="1112"/>
        <w:gridCol w:w="168"/>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Fair Value Measurement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III - Instruments whose significant value drivers are unobservable.</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for each of these hierarchy levels, the Company's financial assets and liabilities that are measured at fair value on a recurring basis at September 30, 2025 and December 31, 2024:</w:t>
      </w:r>
    </w:p>
    <w:tbl>
      <w:tblPr>
        <w:tblW w:w="7999"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11"/>
        <w:gridCol w:w="826"/>
        <w:gridCol w:w="109"/>
        <w:gridCol w:w="109"/>
        <w:gridCol w:w="109"/>
        <w:gridCol w:w="109"/>
        <w:gridCol w:w="211"/>
        <w:gridCol w:w="406"/>
        <w:gridCol w:w="109"/>
        <w:gridCol w:w="109"/>
        <w:gridCol w:w="109"/>
        <w:gridCol w:w="109"/>
        <w:gridCol w:w="226"/>
        <w:gridCol w:w="436"/>
        <w:gridCol w:w="117"/>
        <w:gridCol w:w="109"/>
        <w:gridCol w:w="109"/>
        <w:gridCol w:w="109"/>
        <w:gridCol w:w="211"/>
        <w:gridCol w:w="82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(comprised of money market mutual funds) are classified within Level I of the fair value hierarchy because they are valued using quoted market prices.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measurements are also used in nonrecurring valuations performed in connection with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Credit Facility Debt and Senior Notes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6938" w:type="dxa"/>
        <w:jc w:val="left"/>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97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 Senior Secured Notes due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938" w:type="dxa"/>
        <w:jc w:val="center"/>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Derivative Financial Instruments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308"/>
        <w:gridCol w:w="1154"/>
        <w:gridCol w:w="1147"/>
        <w:gridCol w:w="1021"/>
        <w:gridCol w:w="1021"/>
        <w:gridCol w:w="1023"/>
        <w:gridCol w:w="109"/>
        <w:gridCol w:w="109"/>
        <w:gridCol w:w="109"/>
        <w:gridCol w:w="325"/>
        <w:gridCol w:w="951"/>
        <w:gridCol w:w="168"/>
        <w:gridCol w:w="109"/>
        <w:gridCol w:w="109"/>
        <w:gridCol w:w="109"/>
        <w:gridCol w:w="361"/>
        <w:gridCol w:w="800"/>
        <w:gridCol w:w="272"/>
      </w:tblGrid>
      <w:tr>
        <w:trPr/>
        <w:tc>
          <w:tcPr>
            <w:tcW w:w="130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642"/>
        <w:gridCol w:w="549"/>
        <w:gridCol w:w="514"/>
        <w:gridCol w:w="1134"/>
        <w:gridCol w:w="934"/>
        <w:gridCol w:w="937"/>
        <w:gridCol w:w="109"/>
        <w:gridCol w:w="109"/>
        <w:gridCol w:w="109"/>
        <w:gridCol w:w="251"/>
        <w:gridCol w:w="735"/>
        <w:gridCol w:w="129"/>
        <w:gridCol w:w="129"/>
        <w:gridCol w:w="129"/>
        <w:gridCol w:w="129"/>
        <w:gridCol w:w="251"/>
        <w:gridCol w:w="556"/>
        <w:gridCol w:w="129"/>
        <w:gridCol w:w="114"/>
        <w:gridCol w:w="114"/>
        <w:gridCol w:w="114"/>
        <w:gridCol w:w="245"/>
        <w:gridCol w:w="600"/>
        <w:gridCol w:w="127"/>
        <w:gridCol w:w="127"/>
        <w:gridCol w:w="127"/>
        <w:gridCol w:w="127"/>
        <w:gridCol w:w="245"/>
        <w:gridCol w:w="600"/>
        <w:gridCol w:w="190"/>
      </w:tblGrid>
      <w:tr>
        <w:trPr/>
        <w:tc>
          <w:tcPr>
            <w:tcW w:w="6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Earnings on Derivatives</w:t>
            </w:r>
          </w:p>
        </w:tc>
      </w:tr>
      <w:tr>
        <w:trPr/>
        <w:tc>
          <w:tcPr>
            <w:tcW w:w="1705" w:type="dxa"/>
            <w:gridSpan w:val="3"/>
            <w:vMerge w:val="continue"/>
            <w:tcBorders/>
            <w:tcMar>
              <w:top w:w="0" w:type="dxa"/>
              <w:left w:w="0" w:type="dxa"/>
              <w:bottom w:w="0" w:type="dxa"/>
              <w:right w:w="0" w:type="dxa"/>
            </w:tcMar>
            <w:vAlign w:val="center"/>
          </w:tcPr>
          <w:p>
            <w:pPr>
              <w:pStyle w:val="Normal"/>
              <w:bidi w:val="0"/>
              <w:jc w:val="left"/>
              <w:rPr/>
            </w:pPr>
            <w:r>
              <w:rPr/>
            </w:r>
          </w:p>
        </w:tc>
        <w:tc>
          <w:tcPr>
            <w:tcW w:w="3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705" w:type="dxa"/>
            <w:gridSpan w:val="3"/>
            <w:vMerge w:val="continue"/>
            <w:tcBorders/>
            <w:tcMar>
              <w:top w:w="0" w:type="dxa"/>
              <w:left w:w="0" w:type="dxa"/>
              <w:bottom w:w="0" w:type="dxa"/>
              <w:right w:w="0" w:type="dxa"/>
            </w:tcMar>
            <w:vAlign w:val="center"/>
          </w:tcPr>
          <w:p>
            <w:pPr>
              <w:pStyle w:val="Normal"/>
              <w:bidi w:val="0"/>
              <w:jc w:val="left"/>
              <w:rPr/>
            </w:pPr>
            <w:r>
              <w:rPr/>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signed into law which included a broad range of tax reform provisions impacting companies. The applicable impacts of the OBBBA are reflected in the Company’s operating results for the three and nine months ended September 30, 2025, including a $35.7 million deferred tax expense impact, mostly offset by a current tax benefit, resulting from the re-measurement of the Company's deferred tax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income tax expense was $42.8 million on income from operations before income taxes of $122.8 million, and $73.8 million on income from operations before income taxes of $228.7 million, respectively, representing an effective rate of 35% and 32%, respectively. Items resulting in variances from the federal statutory rate of 21% for the three and nine months ended September 30, 2025 primarily consisted of (i) state and local income tax expense, (ii) tax expense for an increase in the valuation allowance for foreign taxes, (iii) tax expense related to non-deductible compensation, (iv) tax expense, including interest, related to an increase in uncertain tax positions and (v) tax expense related to the OBBBA discrete impacts to deferred tax assets and liabilities, partially offset by (vi) a tax benefit from foreign operations.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2024, income tax expense was $19.9 million on income from operations before income taxes of $66.3 million, and $54.4 million on income from operations before income taxes of $126.0 million, respectively, representing an effective tax rate of 30% and 43%, respectively. The effective tax rate for the nine months ended September 30, 2024 was impacted by the $68.0 million nondeductible goodwill impairment charge at AMCNI. Inclusive of the nondeductible goodwill impairment charge, items resulting in variances from the federal statutory rate of 21% for the three and nine months ended September 30, 2024 primarily consisted of (i) state and local income tax expense, (ii) tax expense from foreign operations, (iii) tax expense for an increase in the valuation allowance for foreign taxes and (iv) tax expense related to non-deductible compensation.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had foreign tax credit carryforwards of approximately $53.2 million, expiring on various dates from 2025 through 2035. These carryforwards have been reduced to zero by a valuation allowance of $53.2 million as it is more likely than not that these carryforwards will not be realized.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Company’s cash and cash equivalents balance of $716.8 million included approximately $146.0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Pillar Two minimum tax requirement has not had, and is not expected to have, a material impact on the Company's results of operations or financial position for the year ending December 31, 2025.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As of September 30, 2025, the Company's contractual obligations not reflected on the Company's condensed consolidated balance sheets decreased</w:t>
      </w:r>
      <w:r>
        <w:rPr>
          <w:color w:val="000000"/>
        </w:rPr>
        <w:t xml:space="preserve"> </w:t>
      </w:r>
      <w:r>
        <w:rPr>
          <w:rFonts w:ascii="Times New Roman;serif" w:hAnsi="Times New Roman;serif"/>
          <w:b w:val="false"/>
          <w:color w:val="000000"/>
          <w:sz w:val="20"/>
        </w:rPr>
        <w:t>$44.6 million, as compared to December 31, 2024, to</w:t>
      </w:r>
      <w:r>
        <w:rPr>
          <w:color w:val="000000"/>
        </w:rPr>
        <w:t xml:space="preserve"> </w:t>
      </w:r>
      <w:r>
        <w:rPr>
          <w:rFonts w:ascii="Times New Roman;serif" w:hAnsi="Times New Roman;serif"/>
          <w:b w:val="false"/>
          <w:color w:val="000000"/>
          <w:sz w:val="20"/>
        </w:rPr>
        <w:t>$550.7 million. The decrease was primarily related to payments for program rights and third-party service contracts.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On November 5, 2025, the Company filed a motion for summary judgment seeking dismissal of all the claims in the MFN Litigation. The Plaintiffs’ opposition to the Company’s motion is due to be filed on November 26, 2025 and the Company’s reply is due to be filed on December 10, 2025. The parties are also completing limited remaining expert and fact discovery. As a result of a Court order extending the case deadlines, the trial for this matter, previously scheduled for March 26, 2026, has been rescheduled to April 21,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15. Equity Plans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2025, AMC Networks granted 275,522 RSUs to non-employee directors under the 2011 Stock Plan for Non-Employee Directors that vested on the date of grant.</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During the first quarter of 2025, AMC Networks granted </w:t>
      </w:r>
      <w:r>
        <w:rPr>
          <w:rFonts w:ascii="Times New Roman;serif" w:hAnsi="Times New Roman;serif"/>
          <w:b w:val="false"/>
          <w:color w:val="000000"/>
          <w:sz w:val="20"/>
        </w:rPr>
        <w:t>3,103,666</w:t>
      </w:r>
      <w:r>
        <w:rPr>
          <w:color w:val="000000"/>
          <w:shd w:fill="FFFFFF" w:val="clear"/>
        </w:rPr>
        <w:t xml:space="preserve"> </w:t>
      </w:r>
      <w:r>
        <w:rPr>
          <w:rFonts w:ascii="Times New Roman;serif" w:hAnsi="Times New Roman;serif"/>
          <w:b w:val="false"/>
          <w:color w:val="000000"/>
          <w:sz w:val="20"/>
          <w:shd w:fill="FFFFFF" w:val="clear"/>
        </w:rPr>
        <w:t xml:space="preserve">RSUs to certain executive officers and employees under the AMC Networks Inc. Amended and Restated 2016 Employee Stock Plan, which vest ratably over a three-year period.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No RSUs vested for employees during the three months ended September 30, 2025. During the nine months ended September 30, 2025, 1,397,031</w:t>
      </w:r>
      <w:r>
        <w:rPr>
          <w:color w:val="000000"/>
          <w:shd w:fill="FFFFFF" w:val="clear"/>
        </w:rPr>
        <w:t xml:space="preserve"> </w:t>
      </w:r>
      <w:r>
        <w:rPr>
          <w:rFonts w:ascii="Times New Roman;serif" w:hAnsi="Times New Roman;serif"/>
          <w:b w:val="false"/>
          <w:color w:val="000000"/>
          <w:sz w:val="20"/>
          <w:shd w:fill="FFFFFF" w:val="clear"/>
        </w:rPr>
        <w:t xml:space="preserve">RSUs </w:t>
      </w:r>
      <w:r>
        <w:rPr>
          <w:rFonts w:ascii="Times New Roman;serif" w:hAnsi="Times New Roman;serif"/>
          <w:b w:val="false"/>
          <w:color w:val="000000"/>
          <w:sz w:val="20"/>
        </w:rPr>
        <w:t>previously issued to employees of the Company vested. On the vesting dat</w:t>
      </w:r>
      <w:r>
        <w:rPr>
          <w:rFonts w:ascii="Times New Roman;serif" w:hAnsi="Times New Roman;serif"/>
          <w:b w:val="false"/>
          <w:color w:val="000000"/>
          <w:sz w:val="20"/>
          <w:shd w:fill="FFFFFF" w:val="clear"/>
        </w:rPr>
        <w:t xml:space="preserve">e, 566,095 RSUs </w:t>
      </w:r>
      <w:r>
        <w:rPr>
          <w:rFonts w:ascii="Times New Roman;serif" w:hAnsi="Times New Roman;serif"/>
          <w:b w:val="false"/>
          <w:color w:val="000000"/>
          <w:sz w:val="20"/>
        </w:rPr>
        <w:t>were surrendered to AMC Networks to cover the required statutory tax withholding obligations an</w:t>
      </w:r>
      <w:r>
        <w:rPr>
          <w:rFonts w:ascii="Times New Roman;serif" w:hAnsi="Times New Roman;serif"/>
          <w:b w:val="false"/>
          <w:color w:val="000000"/>
          <w:sz w:val="20"/>
          <w:shd w:fill="FFFFFF" w:val="clear"/>
        </w:rPr>
        <w:t>d 830,936</w:t>
      </w:r>
      <w:r>
        <w:rPr>
          <w:color w:val="000000"/>
        </w:rPr>
        <w:t xml:space="preserve"> </w:t>
      </w:r>
      <w:r>
        <w:rPr>
          <w:rFonts w:ascii="Times New Roman;serif" w:hAnsi="Times New Roman;serif"/>
          <w:b w:val="false"/>
          <w:color w:val="000000"/>
          <w:sz w:val="20"/>
        </w:rPr>
        <w:t>shares of AMC Networks' Class A Common Stock were issued. Units are surrendered to satisfy the employees' statutory minimu</w:t>
      </w:r>
      <w:r>
        <w:rPr>
          <w:rFonts w:ascii="Times New Roman;serif" w:hAnsi="Times New Roman;serif"/>
          <w:b w:val="false"/>
          <w:color w:val="000000"/>
          <w:sz w:val="20"/>
          <w:shd w:fill="FFFFFF" w:val="clear"/>
        </w:rPr>
        <w:t>m tax withholding obligations for the applicable income and other employment tax. The units surrendered during the</w:t>
      </w:r>
      <w:r>
        <w:rPr>
          <w:color w:val="000000"/>
        </w:rPr>
        <w:t xml:space="preserve"> </w:t>
      </w:r>
      <w:r>
        <w:rPr>
          <w:rFonts w:ascii="Times New Roman;serif" w:hAnsi="Times New Roman;serif"/>
          <w:b w:val="false"/>
          <w:color w:val="000000"/>
          <w:sz w:val="20"/>
        </w:rPr>
        <w:t>nine months ended September 30, 2025 h</w:t>
      </w:r>
      <w:r>
        <w:rPr>
          <w:rFonts w:ascii="Times New Roman;serif" w:hAnsi="Times New Roman;serif"/>
          <w:b w:val="false"/>
          <w:color w:val="000000"/>
          <w:sz w:val="20"/>
          <w:shd w:fill="FFFFFF" w:val="clear"/>
        </w:rPr>
        <w:t xml:space="preserve">ad an aggregate value of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which has been reflected as a financing activity in the condensed consolidated statements of cash flows for the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for the three months ended September 30, 2025 and 2024 was $6.0 million and $5.8 million, respectively, and for the nine months ended September 30, 2025 and 2024 was $19.8 million and $20.3 million, respectively. Share-based compensation expenses are recognized in the condensed consolidated statements of income as part of Selling, general and administrative expenses.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As of September 30, 2025, there was </w:t>
      </w:r>
      <w:r>
        <w:rPr>
          <w:rFonts w:ascii="Times New Roman;serif" w:hAnsi="Times New Roman;serif"/>
          <w:b w:val="false"/>
          <w:color w:val="000000"/>
          <w:sz w:val="20"/>
          <w:shd w:fill="FFFFFF" w:val="clear"/>
        </w:rPr>
        <w:t xml:space="preserve">$25.6 million </w:t>
      </w:r>
      <w:r>
        <w:rPr>
          <w:rFonts w:ascii="Times New Roman;serif" w:hAnsi="Times New Roman;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erif" w:hAnsi="Times New Roman;serif"/>
          <w:b w:val="false"/>
          <w:color w:val="000000"/>
          <w:sz w:val="20"/>
        </w:rPr>
        <w:t>2.0 years</w:t>
      </w:r>
      <w:r>
        <w:rPr>
          <w:rFonts w:ascii="Times New Roman;serif" w:hAnsi="Times New Roman;serif"/>
          <w:b w:val="false"/>
          <w:color w:val="000000"/>
          <w:sz w:val="20"/>
          <w:shd w:fill="FFFFFF" w:val="clear"/>
        </w:rPr>
        <w:t>.</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16. Redeemable Noncontrolling Interests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previous acquisitions of New Video Channel America L.L.C (owner of the cable channel BBCA) and RLJ Entertainment, the terms of the acquisition agreements provide the noncontrolling members with a right to put all of their noncontrolling interest to subsidiaries of the Company at a future time, within ninety days following October 31, 2025, or earlier upon a change of control, in the case of RLJ Entertainment. Since the exercise of these put rights is outside the Company's control, the noncontrolling interest in each entity is presented as a redeemable noncontrolling interest outside of stockholders' equity on the Company's condensed consolidated balance sheets.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2024, the Company acquired the remaining 50.1% of the BBC America joint-venture that it had not previously owned from BBC Studios for $42.0 million in cash. Since the Company retained the controlling financial interest, the transaction was accounted for as an equity transaction and therefore no gain or loss was recorded in the consolidated statements of income (loss). As a result, the carrying amount of the noncontrolling interest was reduced to zero, reflecting the Company's 100% ownership of the BBC America business, and the $90.9 million difference between this reduction and the $42.0 million purchase price was recognized in Paid-in capital on the condensed consolidated balance sheets. The amount recorded in Paid-in capital was partially offset by $21.5 million of deferred taxes reflecting the difference between the existing noncontrolling interest and the tax basis (amount paid) as of the acquisition date.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activity related to redeemable noncontrolling interests for the three and nine months ended September 30, 2025 and 2024: </w:t>
      </w:r>
    </w:p>
    <w:tbl>
      <w:tblPr>
        <w:tblW w:w="5084" w:type="dxa"/>
        <w:jc w:val="left"/>
        <w:tblInd w:w="0" w:type="dxa"/>
        <w:tblLayout w:type="fixed"/>
        <w:tblCellMar>
          <w:top w:w="28" w:type="dxa"/>
          <w:left w:w="28" w:type="dxa"/>
          <w:bottom w:w="28" w:type="dxa"/>
          <w:right w:w="28" w:type="dxa"/>
        </w:tblCellMar>
      </w:tblPr>
      <w:tblGrid>
        <w:gridCol w:w="628"/>
        <w:gridCol w:w="555"/>
        <w:gridCol w:w="556"/>
        <w:gridCol w:w="650"/>
        <w:gridCol w:w="2221"/>
        <w:gridCol w:w="474"/>
      </w:tblGrid>
      <w:tr>
        <w:trPr/>
        <w:tc>
          <w:tcPr>
            <w:tcW w:w="62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60,389 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1105"/>
        <w:gridCol w:w="976"/>
        <w:gridCol w:w="979"/>
        <w:gridCol w:w="592"/>
        <w:gridCol w:w="2320"/>
        <w:gridCol w:w="432"/>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2024</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180,065 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2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redemption fair value</w:t>
            </w:r>
          </w:p>
        </w:tc>
        <w:tc>
          <w:tcPr>
            <w:tcW w:w="2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185,182 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13" w:type="dxa"/>
        <w:jc w:val="left"/>
        <w:tblInd w:w="0" w:type="dxa"/>
        <w:tblLayout w:type="fixed"/>
        <w:tblCellMar>
          <w:top w:w="28" w:type="dxa"/>
          <w:left w:w="28" w:type="dxa"/>
          <w:bottom w:w="28" w:type="dxa"/>
          <w:right w:w="28" w:type="dxa"/>
        </w:tblCellMar>
      </w:tblPr>
      <w:tblGrid>
        <w:gridCol w:w="1105"/>
        <w:gridCol w:w="975"/>
        <w:gridCol w:w="979"/>
        <w:gridCol w:w="632"/>
        <w:gridCol w:w="2161"/>
        <w:gridCol w:w="461"/>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redemption fair value</w:t>
            </w:r>
          </w:p>
        </w:tc>
        <w:tc>
          <w:tcPr>
            <w:tcW w:w="2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60,389 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14" w:type="dxa"/>
        <w:jc w:val="left"/>
        <w:tblInd w:w="0" w:type="dxa"/>
        <w:tblLayout w:type="fixed"/>
        <w:tblCellMar>
          <w:top w:w="28" w:type="dxa"/>
          <w:left w:w="28" w:type="dxa"/>
          <w:bottom w:w="28" w:type="dxa"/>
          <w:right w:w="28" w:type="dxa"/>
        </w:tblCellMar>
      </w:tblPr>
      <w:tblGrid>
        <w:gridCol w:w="1105"/>
        <w:gridCol w:w="975"/>
        <w:gridCol w:w="979"/>
        <w:gridCol w:w="576"/>
        <w:gridCol w:w="2258"/>
        <w:gridCol w:w="421"/>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2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redemption fair value</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185,182 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0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17. Related Party Transactions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related parties enter into transactions with each other in the ordinary course of business. On September 2, 2025, the Company entered into a consulting agreement with MSG Networks Inc. (“MSG Networks”) to provide certain advisory services to MSG Networks. Revenues, net from related parties amounted to $1.2 million and $1.3 million for the three months ended September 30, 2025 and 2024, respectively, and $3.6 million and $3.9 million for the nine months ended September 30, 2025 and 2024, respectively. Amounts charged to the Company, included in Selling, general and administrative expenses, pursuant to transactions with its related parties amounted to $0.5 million and $0.2 million for the three months ended September 30, 2025 and 2024, respectively, and $1.4 million and $0.7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18. Cash Flows</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non-cash investing and financing activities and other supplemental data:</w:t>
      </w:r>
    </w:p>
    <w:tbl>
      <w:tblPr>
        <w:tblW w:w="6716" w:type="dxa"/>
        <w:jc w:val="left"/>
        <w:tblInd w:w="0" w:type="dxa"/>
        <w:tblLayout w:type="fixed"/>
        <w:tblCellMar>
          <w:top w:w="28" w:type="dxa"/>
          <w:left w:w="28" w:type="dxa"/>
          <w:bottom w:w="28" w:type="dxa"/>
          <w:right w:w="28" w:type="dxa"/>
        </w:tblCellMar>
      </w:tblPr>
      <w:tblGrid>
        <w:gridCol w:w="1398"/>
        <w:gridCol w:w="1234"/>
        <w:gridCol w:w="1237"/>
        <w:gridCol w:w="268"/>
        <w:gridCol w:w="782"/>
        <w:gridCol w:w="138"/>
        <w:gridCol w:w="138"/>
        <w:gridCol w:w="138"/>
        <w:gridCol w:w="138"/>
        <w:gridCol w:w="268"/>
        <w:gridCol w:w="782"/>
        <w:gridCol w:w="195"/>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Non-Cash Investing and Financing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additions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incurred but not yet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Data:</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19. Segment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operations into two operating segments: Domestic Operations and International. These operating segments represent strategic business units that are managed separately.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segment adjusted operating income to income from operations before income taxes,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70" w:type="dxa"/>
        <w:jc w:val="left"/>
        <w:tblInd w:w="0" w:type="dxa"/>
        <w:tblLayout w:type="fixed"/>
        <w:tblCellMar>
          <w:top w:w="28" w:type="dxa"/>
          <w:left w:w="28" w:type="dxa"/>
          <w:bottom w:w="28" w:type="dxa"/>
          <w:right w:w="28" w:type="dxa"/>
        </w:tblCellMar>
      </w:tblPr>
      <w:tblGrid>
        <w:gridCol w:w="1767"/>
        <w:gridCol w:w="1559"/>
        <w:gridCol w:w="1563"/>
        <w:gridCol w:w="315"/>
        <w:gridCol w:w="1233"/>
        <w:gridCol w:w="162"/>
        <w:gridCol w:w="109"/>
        <w:gridCol w:w="109"/>
        <w:gridCol w:w="109"/>
        <w:gridCol w:w="228"/>
        <w:gridCol w:w="779"/>
        <w:gridCol w:w="119"/>
        <w:gridCol w:w="109"/>
        <w:gridCol w:w="109"/>
        <w:gridCol w:w="109"/>
        <w:gridCol w:w="211"/>
        <w:gridCol w:w="82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485,723 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related charges </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00" w:type="dxa"/>
        <w:jc w:val="center"/>
        <w:tblInd w:w="0" w:type="dxa"/>
        <w:tblLayout w:type="fixed"/>
        <w:tblCellMar>
          <w:top w:w="28" w:type="dxa"/>
          <w:left w:w="28" w:type="dxa"/>
          <w:bottom w:w="28" w:type="dxa"/>
          <w:right w:w="28" w:type="dxa"/>
        </w:tblCellMar>
      </w:tblPr>
      <w:tblGrid>
        <w:gridCol w:w="1778"/>
        <w:gridCol w:w="1568"/>
        <w:gridCol w:w="1573"/>
        <w:gridCol w:w="315"/>
        <w:gridCol w:w="1233"/>
        <w:gridCol w:w="162"/>
        <w:gridCol w:w="109"/>
        <w:gridCol w:w="109"/>
        <w:gridCol w:w="109"/>
        <w:gridCol w:w="228"/>
        <w:gridCol w:w="779"/>
        <w:gridCol w:w="119"/>
        <w:gridCol w:w="109"/>
        <w:gridCol w:w="109"/>
        <w:gridCol w:w="109"/>
        <w:gridCol w:w="211"/>
        <w:gridCol w:w="82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TextBody"/>
        <w:bidi w:val="0"/>
        <w:spacing w:before="120" w:after="120"/>
        <w:ind w:left="0" w:right="0" w:firstLine="495"/>
        <w:jc w:val="both"/>
        <w:rPr/>
      </w:pPr>
      <w:r>
        <w:rPr/>
      </w:r>
    </w:p>
    <w:p>
      <w:pPr>
        <w:pStyle w:val="TextBody"/>
        <w:bidi w:val="0"/>
        <w:spacing w:before="120" w:after="60"/>
        <w:ind w:left="0" w:right="0" w:firstLine="450"/>
        <w:jc w:val="both"/>
        <w:rPr/>
      </w:pPr>
      <w:r>
        <w:rPr/>
      </w:r>
    </w:p>
    <w:p>
      <w:pPr>
        <w:pStyle w:val="TextBody"/>
        <w:bidi w:val="0"/>
        <w:spacing w:before="120" w:after="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69" w:type="dxa"/>
        <w:jc w:val="left"/>
        <w:tblInd w:w="0" w:type="dxa"/>
        <w:tblLayout w:type="fixed"/>
        <w:tblCellMar>
          <w:top w:w="28" w:type="dxa"/>
          <w:left w:w="28" w:type="dxa"/>
          <w:bottom w:w="28" w:type="dxa"/>
          <w:right w:w="28" w:type="dxa"/>
        </w:tblCellMar>
      </w:tblPr>
      <w:tblGrid>
        <w:gridCol w:w="1778"/>
        <w:gridCol w:w="1568"/>
        <w:gridCol w:w="1573"/>
        <w:gridCol w:w="278"/>
        <w:gridCol w:w="1288"/>
        <w:gridCol w:w="143"/>
        <w:gridCol w:w="109"/>
        <w:gridCol w:w="109"/>
        <w:gridCol w:w="109"/>
        <w:gridCol w:w="211"/>
        <w:gridCol w:w="826"/>
        <w:gridCol w:w="109"/>
        <w:gridCol w:w="109"/>
        <w:gridCol w:w="109"/>
        <w:gridCol w:w="109"/>
        <w:gridCol w:w="211"/>
        <w:gridCol w:w="97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1,496,653 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(c)</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related charges </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income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extinguishment of debt,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net</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69" w:type="dxa"/>
        <w:jc w:val="center"/>
        <w:tblInd w:w="0" w:type="dxa"/>
        <w:tblLayout w:type="fixed"/>
        <w:tblCellMar>
          <w:top w:w="28" w:type="dxa"/>
          <w:left w:w="28" w:type="dxa"/>
          <w:bottom w:w="28" w:type="dxa"/>
          <w:right w:w="28" w:type="dxa"/>
        </w:tblCellMar>
      </w:tblPr>
      <w:tblGrid>
        <w:gridCol w:w="1778"/>
        <w:gridCol w:w="1568"/>
        <w:gridCol w:w="1573"/>
        <w:gridCol w:w="278"/>
        <w:gridCol w:w="1288"/>
        <w:gridCol w:w="143"/>
        <w:gridCol w:w="109"/>
        <w:gridCol w:w="109"/>
        <w:gridCol w:w="109"/>
        <w:gridCol w:w="211"/>
        <w:gridCol w:w="826"/>
        <w:gridCol w:w="109"/>
        <w:gridCol w:w="109"/>
        <w:gridCol w:w="109"/>
        <w:gridCol w:w="109"/>
        <w:gridCol w:w="211"/>
        <w:gridCol w:w="97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1,585,735 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1,592,760 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(c)</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467,856 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extinguishment of debt, net</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revenues in the Domestic Operations segment include revenues related to the Company's streaming services of $173.9 million and $152.0 million for the three months ended September 30, 2025 and 2024, respectively, and $500.0 million and $447.3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AMC NETWORKS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total assets for each operating segment because these amounts are not regularly reviewed by the CODM nor are they used in assessing segment performance or deciding how to allocate resources to the segments.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revenues based on customer location:</w:t>
      </w:r>
    </w:p>
    <w:tbl>
      <w:tblPr>
        <w:tblW w:w="7382" w:type="dxa"/>
        <w:jc w:val="left"/>
        <w:tblInd w:w="0" w:type="dxa"/>
        <w:tblLayout w:type="fixed"/>
        <w:tblCellMar>
          <w:top w:w="28" w:type="dxa"/>
          <w:left w:w="28" w:type="dxa"/>
          <w:bottom w:w="28" w:type="dxa"/>
          <w:right w:w="28" w:type="dxa"/>
        </w:tblCellMar>
      </w:tblPr>
      <w:tblGrid>
        <w:gridCol w:w="433"/>
        <w:gridCol w:w="382"/>
        <w:gridCol w:w="384"/>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561,741 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customer within the Domestic Operations segment accounted for approximately 20% and 18% of consolidated revenues, net for the three and nine months ended September 30, 2025, respectively. For the three and nine months ended September 30, 2024, one customer within the Domestic Operations segment accounted for approximately 16% and 15%, respectively, of consolidated revenues, net.</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property and equipment based on asset location: </w:t>
      </w:r>
    </w:p>
    <w:tbl>
      <w:tblPr>
        <w:tblW w:w="6039" w:type="dxa"/>
        <w:jc w:val="left"/>
        <w:tblInd w:w="0" w:type="dxa"/>
        <w:tblLayout w:type="fixed"/>
        <w:tblCellMar>
          <w:top w:w="28" w:type="dxa"/>
          <w:left w:w="28" w:type="dxa"/>
          <w:bottom w:w="28" w:type="dxa"/>
          <w:right w:w="28" w:type="dxa"/>
        </w:tblCellMar>
      </w:tblPr>
      <w:tblGrid>
        <w:gridCol w:w="910"/>
        <w:gridCol w:w="803"/>
        <w:gridCol w:w="806"/>
        <w:gridCol w:w="295"/>
        <w:gridCol w:w="1157"/>
        <w:gridCol w:w="152"/>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our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demand, including changes in viewer consumption patterns, for our programming networks, our subscription streaming services, our programming (including our owned original programming and our film content) and our production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demand for advertising inventory and our ability to deliver guaranteed viewer ratings;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highly competitive nature of the cable, telecommunications, streaming and programming industries;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any of our key personnel or artistic talent;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strikes, including those related to the Writers, Directors, and Screen Actors guilds;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security of our program rights and other electronic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breaches or failures of our or our vendors’ information technology systems or products, including by cyber-attack, data leakage, unauthorized access or theft;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and renew distribution or affiliation agreements with distributors;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and business conditions and industry trends in the countries in which we operate, including fluctuations in inflation rates, recession risk, the impact of tariffs and changes in trade policies and the impact of the Government shutdown that began on October 1, 2025, and uncertainty regarding the foregoing;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 and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domestic and foreign laws or regulations under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existing and proposed federal, state and international laws and regulations relating to data protection, privacy and security, including the European Union's General Data Protection Regulation, the California Consumer Privacy Act and other similar comprehensive privacy and security laws that have been or may be enacted in other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substantial debt and high leverage;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access to, or inability to access, capital or credit markets, or significant increases in costs to borrow;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our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business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acquisitions and dispositions of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outcome of litigation, arbitration and other proceedings or investigations;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pending uncompleted transactions, if any, are completed on the terms and at the times set forth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financial community and rating agency perceptions of our business, operations, financial condition and the industry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charges related to our goodwill and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pandemics or other health emergencies on the economy and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events that are outside our control, such as political unrest in international markets, terrorist attacks, natural disasters, the impact of the Government shutdown that began on October 1, 2025, and other similar events; and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factors described under Item 1A, "Risk Factors" in our 2024 Annual Report on Form 10-K (the "2024 Form 10-K"), as filed with the Securities and Exchange Commission, and Part II, Item 1A, “Risk Factors,” in this Quarterly Report on Form 10-Q for the quarter ended September 30, 2025.</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disclaim any obligation to update or revise the forward-looking statements contained herein, except as otherwise required by applicable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Introduction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2024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Business Overview.</w:t>
      </w:r>
      <w:r>
        <w:rPr>
          <w:color w:val="000000"/>
        </w:rPr>
        <w:t xml:space="preserve"> </w:t>
      </w:r>
      <w:r>
        <w:rPr>
          <w:rFonts w:ascii="Times New Roman;serif" w:hAnsi="Times New Roman;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Consolidated Results of Operations.</w:t>
      </w:r>
      <w:r>
        <w:rPr>
          <w:color w:val="000000"/>
        </w:rPr>
        <w:t xml:space="preserve"> </w:t>
      </w:r>
      <w:r>
        <w:rPr>
          <w:rFonts w:ascii="Times New Roman;serif" w:hAnsi="Times New Roman;serif"/>
          <w:b w:val="false"/>
          <w:color w:val="000000"/>
          <w:sz w:val="20"/>
        </w:rPr>
        <w:t>This section provides an analysis of our results of operations for the three and nine months ended September 30, 2025 compared to the three and nine months ended September 30, 2024. Our discussion is presented on both a consolidated and segment basis.</w:t>
      </w:r>
      <w:r>
        <w:rPr>
          <w:color w:val="000000"/>
          <w:shd w:fill="FFFFFF" w:val="clear"/>
        </w:rPr>
        <w:t xml:space="preserve"> </w:t>
      </w:r>
      <w:r>
        <w:rPr>
          <w:rFonts w:ascii="Times New Roman;serif" w:hAnsi="Times New Roman;serif"/>
          <w:b w:val="false"/>
          <w:color w:val="000000"/>
          <w:sz w:val="20"/>
          <w:shd w:fill="FFFFFF" w:val="clear"/>
        </w:rPr>
        <w:t>Our two segments are: (i) Domestic Operations and (ii) International.</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This section provides a discussion of our financial condition as of September 30, 2025, as well as an analysis of our cash flows for the nine months ended September 30, 2025 and 2024. The discussion of our financial condition and liquidity also includes summaries of (i) our primary sources of liquidity and (ii) our contractual obligations that existed at September 30, 2025 as compared to December 31, 2024.</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Critical Accounting Policies and Estimates</w:t>
      </w:r>
      <w:r>
        <w:rPr>
          <w:rFonts w:ascii="Times New Roman;serif" w:hAnsi="Times New Roman;serif"/>
          <w:b w:val="false"/>
          <w:color w:val="000000"/>
          <w:sz w:val="20"/>
        </w:rPr>
        <w:t xml:space="preserve">. This section provides an update, if any, to our significant accounting policies or critical accounting estimates since December 31, 2024.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Financial Highlights</w:t>
      </w:r>
    </w:p>
    <w:p>
      <w:pPr>
        <w:pStyle w:val="TextBody"/>
        <w:bidi w:val="0"/>
        <w:spacing w:lineRule="auto" w:line="288" w:before="120" w:after="120"/>
        <w:ind w:left="0" w:right="0" w:firstLine="450"/>
        <w:jc w:val="both"/>
        <w:rPr/>
      </w:pPr>
      <w:r>
        <w:rPr>
          <w:rFonts w:ascii="Times New Roman;serif" w:hAnsi="Times New Roman;serif"/>
          <w:b w:val="false"/>
          <w:color w:val="000000"/>
          <w:sz w:val="20"/>
        </w:rPr>
        <w:t>The tables presented below set forth our consolidated revenues, net, operating income and adjusted operating income ("AOI")</w:t>
      </w:r>
      <w:r>
        <w:rPr>
          <w:rFonts w:ascii="Times New Roman;serif" w:hAnsi="Times New Roman;serif"/>
          <w:b w:val="false"/>
          <w:color w:val="000000"/>
          <w:sz w:val="13"/>
        </w:rPr>
        <w:t>1</w:t>
      </w:r>
      <w:r>
        <w:rPr>
          <w:rFonts w:ascii="Times New Roman;serif" w:hAnsi="Times New Roman;serif"/>
          <w:b w:val="false"/>
          <w:color w:val="000000"/>
          <w:sz w:val="20"/>
        </w:rPr>
        <w:t>, for the periods indicated.</w:t>
      </w:r>
    </w:p>
    <w:tbl>
      <w:tblPr>
        <w:tblW w:w="8659" w:type="dxa"/>
        <w:jc w:val="left"/>
        <w:tblInd w:w="0" w:type="dxa"/>
        <w:tblLayout w:type="fixed"/>
        <w:tblCellMar>
          <w:top w:w="28" w:type="dxa"/>
          <w:left w:w="28" w:type="dxa"/>
          <w:bottom w:w="28" w:type="dxa"/>
          <w:right w:w="28" w:type="dxa"/>
        </w:tblCellMar>
      </w:tblPr>
      <w:tblGrid>
        <w:gridCol w:w="883"/>
        <w:gridCol w:w="780"/>
        <w:gridCol w:w="782"/>
        <w:gridCol w:w="230"/>
        <w:gridCol w:w="919"/>
        <w:gridCol w:w="119"/>
        <w:gridCol w:w="119"/>
        <w:gridCol w:w="119"/>
        <w:gridCol w:w="119"/>
        <w:gridCol w:w="230"/>
        <w:gridCol w:w="919"/>
        <w:gridCol w:w="119"/>
        <w:gridCol w:w="109"/>
        <w:gridCol w:w="109"/>
        <w:gridCol w:w="109"/>
        <w:gridCol w:w="211"/>
        <w:gridCol w:w="991"/>
        <w:gridCol w:w="109"/>
        <w:gridCol w:w="109"/>
        <w:gridCol w:w="109"/>
        <w:gridCol w:w="109"/>
        <w:gridCol w:w="211"/>
        <w:gridCol w:w="99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net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561,741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599,614</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1,822,009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55,518</w:t>
            </w: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93,653</w:t>
            </w: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184,184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214,619</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94,446</w:t>
            </w: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131,476</w:t>
            </w: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308,317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433,407</w:t>
            </w: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Domestic Operations:</w:t>
      </w:r>
      <w:r>
        <w:rPr>
          <w:color w:val="000000"/>
        </w:rPr>
        <w:t xml:space="preserve"> </w:t>
      </w:r>
      <w:r>
        <w:rPr>
          <w:rFonts w:ascii="Times New Roman;serif" w:hAnsi="Times New Roman;serif"/>
          <w:b w:val="false"/>
          <w:color w:val="000000"/>
          <w:sz w:val="20"/>
        </w:rPr>
        <w:t>Consists of our five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erif" w:hAnsi="Times New Roman;serif"/>
          <w:b w:val="false"/>
          <w:i/>
          <w:color w:val="000000"/>
          <w:sz w:val="20"/>
        </w:rPr>
        <w:t>International</w:t>
      </w:r>
      <w:r>
        <w:rPr>
          <w:rFonts w:ascii="Times New Roman;serif" w:hAnsi="Times New Roman;serif"/>
          <w:b w:val="false"/>
          <w:color w:val="000000"/>
          <w:sz w:val="20"/>
        </w:rPr>
        <w:t>: Consists of AMC Networks International ("AMCNI"), our international programming businesses consisting of a portfolio of channels distributed around the world.</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Adjusted Operating Income (Loss), is a non-GAAP financial measure. See the "Non-GAAP Financial Measures" section on page 43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Domestic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our Domestic Operations segment, we earn revenue principally from: (i) subscription revenues in connection with the distribution of our programming through our programming networks and streaming services, (ii) the sale of advertising, and (iii) the licensing of our original programming to distributors, including the distribution of programming of IFC Films.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updated the definition of "aggregate paid subscribers" and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 </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Streaming subscriber (previously "aggregate paid subscriber"):</w:t>
      </w:r>
      <w:r>
        <w:rPr>
          <w:color w:val="000000"/>
        </w:rPr>
        <w:t xml:space="preserve"> </w:t>
      </w:r>
      <w:r>
        <w:rPr>
          <w:rFonts w:ascii="Times New Roman;serif" w:hAnsi="Times New Roman;serif"/>
          <w:b w:val="false"/>
          <w:color w:val="000000"/>
          <w:sz w:val="20"/>
        </w:rPr>
        <w:t xml:space="preserve">A subscriber who registers on an a la carte basis and from whom we receive a fee, for one of our streaming services directly through our direct-to-consumer applications or indirectly through one of our streaming platform arrangements. This definitional change resulted in the exclusion of subscribers from our count who received access to our streaming services from distributors through a video package that also included access to our programming networks. Subscribers in this Quarterly Report on Form 10-Q reflect our updated definition. </w:t>
      </w:r>
    </w:p>
    <w:p>
      <w:pPr>
        <w:pStyle w:val="TextBody"/>
        <w:bidi w:val="0"/>
        <w:spacing w:lineRule="auto" w:line="288" w:before="120" w:after="180"/>
        <w:ind w:left="0" w:right="0" w:firstLine="360"/>
        <w:jc w:val="both"/>
        <w:rPr/>
      </w:pPr>
      <w:r>
        <w:rPr>
          <w:rFonts w:ascii="Times New Roman;serif" w:hAnsi="Times New Roman;serif"/>
          <w:b w:val="false"/>
          <w:i/>
          <w:color w:val="000000"/>
          <w:sz w:val="20"/>
        </w:rPr>
        <w:t>Affiliate revenues:</w:t>
      </w:r>
      <w:r>
        <w:rPr>
          <w:color w:val="000000"/>
        </w:rPr>
        <w:t xml:space="preserve"> </w:t>
      </w:r>
      <w:r>
        <w:rPr>
          <w:rFonts w:ascii="Times New Roman;serif" w:hAnsi="Times New Roman;serif"/>
          <w:b w:val="false"/>
          <w:color w:val="000000"/>
          <w:sz w:val="20"/>
        </w:rPr>
        <w:t>Represents fees received from distributors for the rights to use the Company's programming under multi-year contracts, commonly referred to as "affiliation agreements." Affiliate revenues also include fees received from distributors who provide access to our streaming services to end users through a video package that also includes access to our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Streaming revenues:</w:t>
      </w:r>
      <w:r>
        <w:rPr>
          <w:color w:val="000000"/>
        </w:rPr>
        <w:t xml:space="preserve"> </w:t>
      </w:r>
      <w:r>
        <w:rPr>
          <w:rFonts w:ascii="Times New Roman;serif" w:hAnsi="Times New Roman;serif"/>
          <w:b w:val="false"/>
          <w:color w:val="000000"/>
          <w:sz w:val="20"/>
        </w:rPr>
        <w:t>Represents fees for our streaming services earned from our direct-to-consumer platforms as well as through streaming platform arrangements with companies that sell our streaming services on our behalf.</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our subscription revenues for our programming networks are based on a per subscriber fee. The subscription revenues we earn vary from period to period, distributor to distributor and also vary among our programming services. Subscription revenues are generally based on the impact of renewals of distributor agreements and upon the number of each distributor's subscribers who receive our programming, referred to as viewing subscribers. Subscription fees for our services are typically based on a per subscriber fee and are generally paid by distributors and consumers on a monthly basis. In negotiating for additional subscribers or extended carriage, we have agreed, in some instances, to make upfront payments to a distributor which we record as deferred carriage fees and which are amortized as a reduction to revenue over the period of the related affiliation agreement. We also may support the distributors' efforts to market our networks. We believe that these transactions generate a positive return on investment over the contract period.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include distribution and production related costs and program operating costs including cost of delivery, such as origination, transmission, uplink and encryption.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the Company will write off the excess to technical and operating expenses in the condensed consolidated statements of income. Program rights with no future programming usefulness are substantively abandoned resulting in the write-off of remaining unamortized cost.</w:t>
      </w:r>
    </w:p>
    <w:p>
      <w:pPr>
        <w:pStyle w:val="TextBody"/>
        <w:bidi w:val="0"/>
        <w:spacing w:lineRule="auto" w:line="288" w:before="120" w:after="120"/>
        <w:ind w:left="0" w:right="0" w:firstLine="36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International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our International segment, we earn revenue principally from subscription revenue in connection with the international distribution of programming and, to a lesser extent, the sale of advertising from our AMCNI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AMCNI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Impact of Economic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potential or implemented tariffs and changes to the U.S.'s and other countries' trade policies, and uncertainty regarding further changes to any of the foregoing,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 and credit market disruptions, as well as other events such as pandemics or other health emergencies, inflation, tariffs and changes to the U.S.'s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presented and discussed below represent 100% of each operating segment's revenues, net and expenses. Where we have management control of an entity, we consolidate 100% of such entity in our condensed consolidated statements of income notwithstanding that a third-party owns an interest, which may be significant, in such entity. The noncontrolling owner's interest in the operating results of consolidated subsidiaries are reflected in net income attributable to noncontrolling interests in our condensed consolidated statements of income.</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and Nine Months Ended September 30, 2025 and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22"/>
        <w:gridCol w:w="520"/>
        <w:gridCol w:w="391"/>
        <w:gridCol w:w="211"/>
        <w:gridCol w:w="826"/>
        <w:gridCol w:w="109"/>
        <w:gridCol w:w="109"/>
        <w:gridCol w:w="109"/>
        <w:gridCol w:w="109"/>
        <w:gridCol w:w="211"/>
        <w:gridCol w:w="826"/>
        <w:gridCol w:w="109"/>
        <w:gridCol w:w="109"/>
        <w:gridCol w:w="109"/>
        <w:gridCol w:w="109"/>
        <w:gridCol w:w="265"/>
        <w:gridCol w:w="265"/>
        <w:gridCol w:w="367"/>
        <w:gridCol w:w="109"/>
        <w:gridCol w:w="109"/>
        <w:gridCol w:w="109"/>
        <w:gridCol w:w="211"/>
        <w:gridCol w:w="976"/>
        <w:gridCol w:w="109"/>
        <w:gridCol w:w="109"/>
        <w:gridCol w:w="109"/>
        <w:gridCol w:w="109"/>
        <w:gridCol w:w="211"/>
        <w:gridCol w:w="976"/>
        <w:gridCol w:w="109"/>
        <w:gridCol w:w="109"/>
        <w:gridCol w:w="109"/>
        <w:gridCol w:w="109"/>
        <w:gridCol w:w="316"/>
        <w:gridCol w:w="319"/>
        <w:gridCol w:w="421"/>
      </w:tblGrid>
      <w:tr>
        <w:trPr/>
        <w:tc>
          <w:tcPr>
            <w:tcW w:w="82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Technical and operating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AMC Networks'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Absolute percentages greater than 100% and comparisons between positive and negative values or zero values are considered not meaningful.</w:t>
            </w:r>
          </w:p>
        </w:tc>
      </w:tr>
    </w:tbl>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in</w:t>
      </w:r>
      <w:r>
        <w:rPr>
          <w:rFonts w:ascii="Times New Roman;serif" w:hAnsi="Times New Roman;serif"/>
          <w:b w:val="false"/>
          <w:color w:val="000000"/>
          <w:sz w:val="20"/>
        </w:rPr>
        <w:t xml:space="preserve">creased 0.1% in our Domestic Operations segment due to an increase in streaming revenues primarily due to the impact of price increases across our services, partially offset by a decline in affiliate revenues primarily due to basic subscriber declines. </w:t>
      </w: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creased 0.9% in our International segment primarily due to the non-renewal of a distribution agreement in Spain in the fourth quarter of 2024, partially offset by the favorable impact of foreign currency translation. We expect linear subscriber declines to continue in our Domestic Operations segment, consistent with the declines across the cable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17.4% in our Domestic Operations segment primarily due to linear ratings declines and lower marketplace pricing. Advertising revenues increased 15.3% in our International segment primarily due to the impact of higher pricing in the U.K. and Ireland linear advertising markets and digital and advanced advertising growth in the U.K. Despite the third quarter increase in our International segment, we generally expect advertising revenue to continue to decline as the advertising market gravitates toward other distribution platforms.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Content licensing and other revenues decreased 26.7% in our Domestic Operations segment primarily due to the timing and availability of deliveries in the period, including lower licensing sales of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We expect content licensing revenues to vary for the remainder of 2025 and in 2026 based on the timing and availability of our programming to distributors.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 xml:space="preserve">creased 1.2% in our Domestic Operations segment due to a decline in affiliate revenues primarily due to basic subscriber declines, partially offset by an increase in streaming revenues primarily due to the impact of price increases across our services. </w:t>
      </w: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 xml:space="preserve">creased 6.1% in our International segment primarily due to the non-renewal of a distribution agreement in Spain in the fourth quarter of 2024.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16.7% in our Domestic Operations segment primarily due to linear ratings declines and lower marketplace pricing, including digital pricing. Advertising revenues decreased 8.6% in our International segment primarily due to the recognition of a $13.4 million retroactive adjustment reported and paid by a third party in the second quarter of 2024 and lower digital and advanced advertising revenue in the U.K., partially offset by the impact of higher pricing in the U.K. and Ireland linear advertising markets.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Content licensing and other revenues decreased</w:t>
      </w:r>
      <w:r>
        <w:rPr>
          <w:color w:val="000000"/>
        </w:rPr>
        <w:t xml:space="preserve"> </w:t>
      </w:r>
      <w:r>
        <w:rPr>
          <w:rFonts w:ascii="Times New Roman;serif" w:hAnsi="Times New Roman;serif"/>
          <w:b w:val="false"/>
          <w:color w:val="000000"/>
          <w:sz w:val="20"/>
        </w:rPr>
        <w:t xml:space="preserve">5.9% in our Domestic Operations segment primarily due to the timing and availability of deliveries in the period, including the prior year beneficial impact of the sale of our rights and interests to </w:t>
      </w:r>
      <w:r>
        <w:rPr>
          <w:rFonts w:ascii="Times New Roman;serif" w:hAnsi="Times New Roman;serif"/>
          <w:b w:val="false"/>
          <w:i/>
          <w:color w:val="000000"/>
          <w:sz w:val="20"/>
        </w:rPr>
        <w:t xml:space="preserve">Killing Eve </w:t>
      </w:r>
      <w:r>
        <w:rPr>
          <w:rFonts w:ascii="Times New Roman;serif" w:hAnsi="Times New Roman;serif"/>
          <w:b w:val="false"/>
          <w:color w:val="000000"/>
          <w:sz w:val="20"/>
        </w:rPr>
        <w:t xml:space="preserve">in the first quarter of 2024 and lower licensing sales of </w:t>
      </w:r>
      <w:r>
        <w:rPr>
          <w:rFonts w:ascii="Times New Roman;serif" w:hAnsi="Times New Roman;serif"/>
          <w:b w:val="false"/>
          <w:i/>
          <w:color w:val="000000"/>
          <w:sz w:val="20"/>
        </w:rPr>
        <w:t xml:space="preserve">Fear the Walking Dead </w:t>
      </w:r>
      <w:r>
        <w:rPr>
          <w:rFonts w:ascii="Times New Roman;serif" w:hAnsi="Times New Roman;serif"/>
          <w:b w:val="false"/>
          <w:color w:val="000000"/>
          <w:sz w:val="20"/>
        </w:rPr>
        <w:t>in the current year, partially offset by the sale of our music catalog during the second quarter of 2025.</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Technical and operating expenses consist primarily of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Technical and operating expenses (excluding depreciation and amortization) increased 0.9% in our Domestic Operations segment primarily due to an increase in other direct programming costs, partially offset by lower program rights amortization, including decreases for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Fear the Walking Dead, </w:t>
      </w:r>
      <w:r>
        <w:rPr>
          <w:rFonts w:ascii="Times New Roman;serif" w:hAnsi="Times New Roman;serif"/>
          <w:b w:val="false"/>
          <w:color w:val="000000"/>
          <w:sz w:val="20"/>
        </w:rPr>
        <w:t>consistent with the lower content licensing sales during the period. Technical and operating expenses (excluding depreciation and amortization) increased 2.6% in our International segment due to higher program amortization, primarily driven by the unfavorable impact of foreign currency translation.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decreased 0.3% in our Domestic Operations segment primarily due to a decrease in program rights amortization, partially offset by higher participation and residuals costs and other direct programming costs. Technical and operating expenses (excluding depreciation and amortization) increased 2.1% in our International segment due to higher program amortization, primarily driven by the unfavorable impact of foreign currency translation.</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our operating segments primarily consist of sales, marketing, research and advertising expenses, employee related costs (excluding share-based compensation), costs of non-production facilities, and an allocation of certain corporate overhead costs. Selling, general and administrative expenses on a consolidated basis also include unallocated executive management and administrative support services, such as executive salaries and benefits costs, costs of maintaining corporate headquarters, facilities and common support functions.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and may continue to be significant changes in the level of our selling, general and administrative expenses due to the timing of promotions and marketing of original programming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4.9% in our Domestic Operations segment primarily due to lower employee related costs. Selling, general and administrative expenses increased 15.8% in our International segment primarily due to higher corporate overhead costs allocated to AMCNI and higher marketing costs. Unallocated corporate overhead costs increased 2.0% to $29.9 million primarily due to higher long-term incentive compensation.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4.6% in our Domestic Operations segment primarily due to higher marketing expenses mainly driven by increased paid media spend for AMC+, higher employee related costs, and an increase in legal costs related to the MFN litigation. Selling, general and administrative expenses increased 1.0% in our International segment primarily due to higher corporate overhead costs allocated to AMCNI and higher marketing costs, partially offset by lower selling expenses, including commissions.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Unallocated corporate overhead costs increased 3.1% to $89.8 million primarily due to higher employee related costs, including higher bonus and severance expenses.</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Impairment and other charges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nine months ended September 30, 2025 and three months ended September 30,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impairment and other charges recorded during these periods.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Nine months ended September 30, 2024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During the second quarter of 2024, we determined that the decline in our stock price was an indicator of potential impairment of goodwill. Accordingly, we performed quantitative assessments for all of our reporting units and concluded that the fair value of the AMCNI reporting unit declined to less than its carrying amount. As a result, we recognized an impairment charge of</w:t>
      </w:r>
      <w:r>
        <w:rPr>
          <w:color w:val="000000"/>
          <w:shd w:fill="FFFFFF" w:val="clear"/>
        </w:rPr>
        <w:t xml:space="preserve"> </w:t>
      </w:r>
      <w:r>
        <w:rPr>
          <w:rFonts w:ascii="Times New Roman;serif" w:hAnsi="Times New Roman;serif"/>
          <w:b w:val="false"/>
          <w:color w:val="000000"/>
          <w:sz w:val="20"/>
          <w:shd w:fill="FFFFFF" w:val="clear"/>
        </w:rPr>
        <w:t>$68.0 million</w:t>
      </w:r>
      <w:r>
        <w:rPr>
          <w:rFonts w:ascii="Times New Roman;serif" w:hAnsi="Times New Roman;serif"/>
          <w:b w:val="false"/>
          <w:color w:val="000000"/>
          <w:sz w:val="20"/>
        </w:rPr>
        <w:t>, which is included in Impairment and other charges in the condensed consolidated statements of income within the International segment.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$29.2 million was recorded for identifiable intangible assets and other long-lived assets, which is included in Impairment and other charges in the condensed consolidated statements of income within the Domestic Operations segment. </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and other related charges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$4.5 million</w:t>
      </w:r>
      <w:r>
        <w:rPr>
          <w:color w:val="000000"/>
          <w:shd w:fill="FFFFFF" w:val="clear"/>
        </w:rPr>
        <w:t xml:space="preserve">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three months ended September 30, 2025. During the third quarter of 2025, we expanded our restructuring plan related to the International segment and implemented a voluntary buyout program for employees in Argentina designed to achieve cost reductions and streamline operations in response to challenging industry conditions. Additionally, we implemented organizational changes in our Domestic Operations segment designed to create an enhanced offering that is intended to maximize the potential of our We TV and ALLBLK brands. Additional restructuring charges were incurred in connection with the wind-down of a U.K. joint venture in our International segment.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$12.8 million</w:t>
      </w:r>
      <w:r>
        <w:rPr>
          <w:color w:val="000000"/>
          <w:shd w:fill="FFFFFF" w:val="clear"/>
        </w:rPr>
        <w:t xml:space="preserve">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he nine months ended September 30, 2025, primarily related to our multi-faceted restructuring plan in our International segment designed to achieve cost reductions and streamline operations including channel re-branding and a reduction of workforce in Southern Europe, the wind-down of a U.K. joint venture and a voluntary buyout program for employees in Argentina.</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2024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For the three months ended September 30, 2024, restructuring and other related charges of </w:t>
      </w:r>
      <w:r>
        <w:rPr>
          <w:rFonts w:ascii="Times New Roman;serif" w:hAnsi="Times New Roman;serif"/>
          <w:b w:val="false"/>
          <w:color w:val="000000"/>
          <w:sz w:val="20"/>
          <w:shd w:fill="FFFFFF" w:val="clear"/>
        </w:rPr>
        <w:t>$3.5 million</w:t>
      </w:r>
      <w:r>
        <w:rPr>
          <w:color w:val="000000"/>
        </w:rPr>
        <w:t xml:space="preserve"> </w:t>
      </w:r>
      <w:r>
        <w:rPr>
          <w:rFonts w:ascii="Times New Roman;serif" w:hAnsi="Times New Roman;serif"/>
          <w:b w:val="false"/>
          <w:color w:val="000000"/>
          <w:sz w:val="20"/>
        </w:rPr>
        <w:t>primarily consisted</w:t>
      </w:r>
      <w:r>
        <w:rPr>
          <w:color w:val="000000"/>
          <w:shd w:fill="FFFFFF" w:val="clear"/>
        </w:rPr>
        <w:t xml:space="preserve"> </w:t>
      </w:r>
      <w:r>
        <w:rPr>
          <w:rFonts w:ascii="Times New Roman;serif" w:hAnsi="Times New Roman;serif"/>
          <w:b w:val="false"/>
          <w:color w:val="000000"/>
          <w:sz w:val="20"/>
          <w:shd w:fill="FFFFFF" w:val="clear"/>
        </w:rPr>
        <w:t xml:space="preserve">of severance and employee-related costs </w:t>
      </w:r>
      <w:r>
        <w:rPr>
          <w:rFonts w:ascii="Times New Roman;serif" w:hAnsi="Times New Roman;serif"/>
          <w:b w:val="false"/>
          <w:color w:val="000000"/>
          <w:sz w:val="20"/>
        </w:rPr>
        <w:t>in our Domestic Operations segment</w:t>
      </w:r>
      <w:r>
        <w:rPr>
          <w:rFonts w:ascii="Times New Roman;serif" w:hAnsi="Times New Roman;serif"/>
          <w:b w:val="false"/>
          <w:color w:val="000000"/>
          <w:sz w:val="20"/>
          <w:shd w:fill="FFFFFF" w:val="clear"/>
        </w:rPr>
        <w: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Nine months ended September 30, 2024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For the nine months ended September 30, 2024, restructuring and other related charges of $6.4 million primarily consisted</w:t>
      </w:r>
      <w:r>
        <w:rPr>
          <w:color w:val="000000"/>
          <w:shd w:fill="FFFFFF" w:val="clear"/>
        </w:rPr>
        <w:t xml:space="preserve"> </w:t>
      </w:r>
      <w:r>
        <w:rPr>
          <w:rFonts w:ascii="Times New Roman;serif" w:hAnsi="Times New Roman;serif"/>
          <w:b w:val="false"/>
          <w:color w:val="000000"/>
          <w:sz w:val="20"/>
          <w:shd w:fill="FFFFFF" w:val="clear"/>
        </w:rPr>
        <w:t>of severance and employee-related costs, as well as content impairments in connection with We TV shifting to a reduced o</w:t>
      </w:r>
      <w:r>
        <w:rPr>
          <w:rFonts w:ascii="Times New Roman;serif" w:hAnsi="Times New Roman;serif"/>
          <w:b w:val="false"/>
          <w:color w:val="000000"/>
          <w:sz w:val="20"/>
        </w:rPr>
        <w:t xml:space="preserve">riginals strategy, in our Domestic Operations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income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was primarily attributable to a $37.9 million decrease in 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was primarily attributable to a $105.0 million decrease in revenues, net and a $20.3 million increase in selling, general and administrative costs, partially offset by a $96.8 million decrease in impairment and other charges.</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was primarily due to the impact of lower outstanding balances under our Term Loan A facility under the Credit Agreement (the "Term Loan A Facility") and 4.25% Senior Notes due 2029 (the "Senior Notes"), partially offset by an increase in average interest rates associated with the July 2025 issuance of the Company's 10.50% Senior Secured Notes due 2032 (the "2032 Secured Notes") to refinance the Company's Senior Notes.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was primarily due to an increase in average interest rates associated with the July 2025 issuance of the Company's 2032 Secured Notes and the April 2024 issuance of the Company's 10.25% Senior Secured Notes due 2029 to refinance the Company's Senior Notes and 4.75% Senior Notes due 2025, respectively, and the impact of a full year of interest expense for the Company’s 4.25% Convertible Senior Notes due 2029 (the "Convertible Notes") that were issued in June 2024, partially offset by the impact of lower outstanding balances under our Term Loan A Facility and Senior Notes.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income was primarily attributable to lower interest rates and lower average cash balances for our money market fund accounts as well as lower interest income recognized in connection with our long-term content licensing receivables.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was primarily attributable to interest received in connection with a one-time retroactive adjustment reported and paid by a third party during the second quarter of 2024, as well as lower interest income recognized in connection with our long-term content licensing receivables.    </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(loss) on extinguishment of debt, net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we completed a cash tender offer to repurchase $600.0 million of our Senior Notes at a discount of $111.0 million, and retired the tendered notes. The discount, net of a $5.2 million write-off of unamortized discount and deferred financing costs associated with the Senior Notes, was recognized as a gain on extinguishment of debt in the condensed consolidated statements of income. Subsequent to the cash tender offer, we repurchased $9.2 million principal amount of our outstanding Senior Notes through open market repurchases, at a discount of $1.5 million, and retired the repurchased notes. We recorded a $1.4 million gain which reflects the discount, net of $0.1 million to write-off a portion of the unamortized discount and deferred financing costs associated with the Senior Notes.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transactions for the three months ended September 30, 2025, we repurchased $99.1 million principal amount of our outstanding Senior Notes through open market repurchases during the second quarter of 2025, at a discount of $26.7 million, and retired the repurchased notes. We recorded a $25.8 million gain after reflecting the discount, net of $0.9 million to write-off a portion of the unamortized discount and deferred financing costs associated with the Senior Notes.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and nine months ended September 30, 2024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we voluntarily prepaid $35.0 million of borrowings under the Term Loan A Facility, resulting in the recognition of a $0.4 million charge to write off a portion of the associated unamortized discount and 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we repurchased $15.0 million of our outstanding Senior Notes through open market repurchases, at a discount of $4.9 million, and retired the repurchased notes. We recorded a $4.7 million gain which reflects the discount, net of $0.2 million to write-off a portion of the unamortized discount and deferred financing costs associated with the notes.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22, 2024, we completed a cash tender offer (the "2025 Senior Notes Tender Offer") to purchase any and all outstanding 4.75% Senior Notes due 2025 and redeemed all 4.75% Senior Notes due 2025 that remained outstanding after completion of the 2025 Senior Notes Tender Offer at a price of 100.000% of their principal amount, plus accrued and unpaid interest to, but not including, the redemption date. In connection with the 2025 Senior Notes Tender Offer and redemption, we recorded a charge of $3.1 million to write-off the remaining unamortized discount and deferred financing costs associated with the 4.75% Senior Notes due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9, 2024, we entered into Amendment No. 3 ("Amendment No. 3") to the Second Amended and Restated Credit Agreement, dated as of July 28, 2017 (as amended to date and by Amendment No. 3, the "Credit Agreement"). In connection with Amendment No. 3, we made a $165.6 million partial prepayment of the Term Loan A Facility, bringing the total principal amount outstanding under the Term Loan A Facility to $425 million, and reduced the revolving credit facility under the Credit Agreement (the “Revolving Credit Facility”) to $175 million. In connection with the partial prepayment of the Term Loan A Facility and reduction of the revolving loan commitments, the Company recorded a charge of $1.3 million to write-off a portion of the unamortized discount and deferred financing costs associated with the Credit Agreement.</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Miscellaneous, net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miscellaneous, net was primarily related to the impact of foreign currency fluctuations, partially offset by increased earnings from equity-method investments.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miscellaneous, net was primarily related to the impact of foreign currency fluctuations, the impact of prior year costs incurred in connection with the second quarter 2024 refinancing transactions and increased earnings from equity-method investments.</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 expense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income tax expense was $42.8 million on income from operations before income taxes of $122.8 million, representing an effective tax rate of 35%. Items resulting in variances from the federal statutory rate of 21% primarily consisted of (i) state and local income tax expense, (ii) tax expense for an increase in the valuation allowance for foreign taxes, (iii) tax expense related to non-deductible compensation, (iv) tax expense, including interest, related to an increase in uncertain tax positions and (v) tax expense related to the One Big Beautiful Bill Act (the "OBBBA") discrete impacts to deferred tax assets and liabilities, partially offset by (vi) a tax benefit from foreign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2024, income tax expense was $19.9 million on income from operations before income taxes of $66.3 million, representing an effective tax rate of 30%. The items resulting in variances from the federal statutory rate of 21% primarily consisted of (i) state and local income tax expense, (ii) tax expense from foreign operations, (iii) tax expense for an increase in the valuation allowance for foreign taxes and (iv) tax expense related to non-deductible compensation.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income tax expense was $73.8 million on income from operations before income taxes of $228.7 million, representing an effective tax rate of 32%. Items resulting in variances from the federal statutory rate of 21% primarily consisted of (i) state and local income tax expense, (ii) tax expense for an increase in the valuation allowance for foreign taxes, (iii) tax expense related to non-deductible compensation, (iv) tax expense, including interest, related to an increase in uncertain tax positions and (v) tax expense related to the OBBBA discrete impacts to deferred tax assets and liabilities, partially offset by (vi) a tax benefit from foreign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income tax expense was $54.4 million on income from operations before income taxes of $126.0 million, representing an effective tax rate of 43%. The effective tax rate for the nine months ended September 30, 2024 was impacted by the $68.0 million nondeductible goodwill impairment charge at AMCNI. Inclusive of the nondeductible goodwill impairment charge, items resulting in variances from the federal statutory rate of 21% primarily consisted of (i) state and local income tax expense, (ii) tax expense from foreign operations, (iii) tax expense for an increase in the valuation allowance for foreign taxes and (iv) tax expense related to non-deductible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individual line items, does not reflect inter-segment eliminations unless specifically indicated.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Domestic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86"/>
        <w:gridCol w:w="539"/>
        <w:gridCol w:w="410"/>
        <w:gridCol w:w="211"/>
        <w:gridCol w:w="826"/>
        <w:gridCol w:w="109"/>
        <w:gridCol w:w="109"/>
        <w:gridCol w:w="109"/>
        <w:gridCol w:w="109"/>
        <w:gridCol w:w="211"/>
        <w:gridCol w:w="826"/>
        <w:gridCol w:w="109"/>
        <w:gridCol w:w="109"/>
        <w:gridCol w:w="109"/>
        <w:gridCol w:w="109"/>
        <w:gridCol w:w="109"/>
        <w:gridCol w:w="308"/>
        <w:gridCol w:w="308"/>
        <w:gridCol w:w="367"/>
        <w:gridCol w:w="109"/>
        <w:gridCol w:w="109"/>
        <w:gridCol w:w="109"/>
        <w:gridCol w:w="211"/>
        <w:gridCol w:w="826"/>
        <w:gridCol w:w="109"/>
        <w:gridCol w:w="109"/>
        <w:gridCol w:w="109"/>
        <w:gridCol w:w="109"/>
        <w:gridCol w:w="211"/>
        <w:gridCol w:w="826"/>
        <w:gridCol w:w="109"/>
        <w:gridCol w:w="109"/>
        <w:gridCol w:w="109"/>
        <w:gridCol w:w="109"/>
        <w:gridCol w:w="109"/>
        <w:gridCol w:w="264"/>
        <w:gridCol w:w="266"/>
        <w:gridCol w:w="420"/>
      </w:tblGrid>
      <w:tr>
        <w:trPr/>
        <w:tc>
          <w:tcPr>
            <w:tcW w:w="8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59" w:type="dxa"/>
            <w:gridSpan w:val="4"/>
            <w:tcBorders/>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Technical and operating expenses (excluding depreciation and amortization)</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46"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Technical and operating expenses exclude cloud computing amortization</w:t>
            </w:r>
          </w:p>
        </w:tc>
        <w:tc>
          <w:tcPr>
            <w:tcW w:w="1059" w:type="dxa"/>
            <w:gridSpan w:val="4"/>
            <w:tcBorders/>
          </w:tcPr>
          <w:p>
            <w:pPr>
              <w:pStyle w:val="TableContents"/>
              <w:bidi w:val="0"/>
              <w:spacing w:before="0" w:after="283"/>
              <w:jc w:val="left"/>
              <w:rPr>
                <w:sz w:val="4"/>
                <w:szCs w:val="4"/>
              </w:rPr>
            </w:pPr>
            <w:r>
              <w:rPr>
                <w:sz w:val="4"/>
                <w:szCs w:val="4"/>
              </w:rPr>
            </w:r>
          </w:p>
        </w:tc>
      </w:tr>
      <w:tr>
        <w:trPr/>
        <w:tc>
          <w:tcPr>
            <w:tcW w:w="9146"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Selling, general and administrative expenses exclude share-based compensation expenses and cloud computing amortization</w:t>
            </w:r>
          </w:p>
        </w:tc>
        <w:tc>
          <w:tcPr>
            <w:tcW w:w="1059"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w:t>
      </w:r>
      <w:r>
        <w:rPr>
          <w:color w:val="000000"/>
        </w:rPr>
        <w:t xml:space="preserve"> </w:t>
      </w:r>
      <w:r>
        <w:rPr>
          <w:rFonts w:ascii="Times New Roman;serif" w:hAnsi="Times New Roman;serif"/>
          <w:b w:val="false"/>
          <w:color w:val="000000"/>
          <w:sz w:val="20"/>
        </w:rPr>
        <w:t xml:space="preserve">increased due to a 14.4% increase in streaming revenues offset by a 13.2% decline in affiliate revenues. Streaming revenues increased primarily due to the impact of price increases across our services. Affiliate revenues decreased primarily due to basic subscriber declines and, to a lesser extent, contractual rate decreases in connection with renewals.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related to the Company's streaming services were $173.9 million and $152.0 million for the three months ended September 30, 2025 and 2024, respectively. Streaming subscribers were 10.4 million at September 30, 2025, consistent with streaming subscribers at June 30, 2025, and an increase of 2% compared to 10.2 million streaming subscribers at September 30,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primarily due to linear ratings declines and lower marketplace pricing.</w:t>
      </w:r>
    </w:p>
    <w:p>
      <w:pPr>
        <w:pStyle w:val="TextBody"/>
        <w:bidi w:val="0"/>
        <w:spacing w:lineRule="auto" w:line="288" w:before="120" w:after="180"/>
        <w:ind w:left="0" w:right="0" w:firstLine="360"/>
        <w:jc w:val="both"/>
        <w:rPr/>
      </w:pPr>
      <w:r>
        <w:rPr>
          <w:rFonts w:ascii="Times New Roman;serif" w:hAnsi="Times New Roman;serif"/>
          <w:b w:val="false"/>
          <w:color w:val="000000"/>
          <w:sz w:val="20"/>
          <w:shd w:fill="FFFFFF" w:val="clear"/>
        </w:rPr>
        <w:t>Content licensing and other revenues</w:t>
      </w:r>
      <w:r>
        <w:rPr>
          <w:color w:val="000000"/>
        </w:rPr>
        <w:t xml:space="preserve"> </w:t>
      </w:r>
      <w:r>
        <w:rPr>
          <w:rFonts w:ascii="Times New Roman;serif" w:hAnsi="Times New Roman;serif"/>
          <w:b w:val="false"/>
          <w:color w:val="000000"/>
          <w:sz w:val="20"/>
        </w:rPr>
        <w:t xml:space="preserve">decreased primarily due to the timing and availability of deliveries in the period, including lower licensing sales of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xml:space="preserve">. </w:t>
      </w:r>
    </w:p>
    <w:p>
      <w:pPr>
        <w:pStyle w:val="TextBody"/>
        <w:bidi w:val="0"/>
        <w:spacing w:lineRule="auto" w:line="288" w:before="12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w:t>
      </w:r>
      <w:r>
        <w:rPr>
          <w:color w:val="000000"/>
        </w:rPr>
        <w:t xml:space="preserve"> </w:t>
      </w:r>
      <w:r>
        <w:rPr>
          <w:rFonts w:ascii="Times New Roman;serif" w:hAnsi="Times New Roman;serif"/>
          <w:b w:val="false"/>
          <w:color w:val="000000"/>
          <w:sz w:val="20"/>
        </w:rPr>
        <w:t>decreased due to a 12.4% decline in affiliate revenues, partially offset by an 11.8% increase in streaming revenues. Affiliate revenues decreased primarily due to basic subscriber declines and, to a lesser extent, contractual rate decreases in connection with renewals. Streaming revenues increased primarily due to the impact of price increases across our services. Revenues related to the Company's streaming services were $500.0 million and $447.3 million for the nine months ended September 30, 2025 and 2024,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primarily due to linear ratings declines and lower marketplace pricing, including digital pricing.</w:t>
      </w:r>
    </w:p>
    <w:p>
      <w:pPr>
        <w:pStyle w:val="TextBody"/>
        <w:bidi w:val="0"/>
        <w:spacing w:lineRule="auto" w:line="288" w:before="120" w:after="180"/>
        <w:ind w:left="0" w:right="0" w:firstLine="360"/>
        <w:jc w:val="both"/>
        <w:rPr/>
      </w:pPr>
      <w:r>
        <w:rPr>
          <w:rFonts w:ascii="Times New Roman;serif" w:hAnsi="Times New Roman;serif"/>
          <w:b w:val="false"/>
          <w:color w:val="000000"/>
          <w:sz w:val="20"/>
          <w:shd w:fill="FFFFFF" w:val="clear"/>
        </w:rPr>
        <w:t>Content licensing and other revenues</w:t>
      </w:r>
      <w:r>
        <w:rPr>
          <w:color w:val="000000"/>
        </w:rPr>
        <w:t xml:space="preserve"> </w:t>
      </w:r>
      <w:r>
        <w:rPr>
          <w:rFonts w:ascii="Times New Roman;serif" w:hAnsi="Times New Roman;serif"/>
          <w:b w:val="false"/>
          <w:color w:val="000000"/>
          <w:sz w:val="20"/>
        </w:rPr>
        <w:t xml:space="preserve">decreased primarily due to the timing and availability of deliveries in the period, including the prior year beneficial impact of the sale of our rights and interests to </w:t>
      </w:r>
      <w:r>
        <w:rPr>
          <w:rFonts w:ascii="Times New Roman;serif" w:hAnsi="Times New Roman;serif"/>
          <w:b w:val="false"/>
          <w:i/>
          <w:color w:val="000000"/>
          <w:sz w:val="20"/>
        </w:rPr>
        <w:t xml:space="preserve">Killing Eve </w:t>
      </w:r>
      <w:r>
        <w:rPr>
          <w:rFonts w:ascii="Times New Roman;serif" w:hAnsi="Times New Roman;serif"/>
          <w:b w:val="false"/>
          <w:color w:val="000000"/>
          <w:sz w:val="20"/>
        </w:rPr>
        <w:t xml:space="preserve">in the first quarter of 2024 and lower licensing sales of </w:t>
      </w:r>
      <w:r>
        <w:rPr>
          <w:rFonts w:ascii="Times New Roman;serif" w:hAnsi="Times New Roman;serif"/>
          <w:b w:val="false"/>
          <w:i/>
          <w:color w:val="000000"/>
          <w:sz w:val="20"/>
        </w:rPr>
        <w:t xml:space="preserve">Fear the Walking Dead </w:t>
      </w:r>
      <w:r>
        <w:rPr>
          <w:rFonts w:ascii="Times New Roman;serif" w:hAnsi="Times New Roman;serif"/>
          <w:b w:val="false"/>
          <w:color w:val="000000"/>
          <w:sz w:val="20"/>
        </w:rPr>
        <w:t>in the current year, partially offset by the sale of our music catalog during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80"/>
        <w:ind w:left="0" w:right="0" w:firstLine="360"/>
        <w:jc w:val="both"/>
        <w:rPr/>
      </w:pPr>
      <w:r>
        <w:rPr>
          <w:rFonts w:ascii="Times New Roman;serif" w:hAnsi="Times New Roman;serif"/>
          <w:b w:val="false"/>
          <w:color w:val="000000"/>
          <w:sz w:val="20"/>
        </w:rPr>
        <w:t xml:space="preserve">Technical and operating expenses (excluding depreciation and amortization) increased primarily due to an increase in other direct programming costs, partially offset by lower program rights amortization, including decreases for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Fear the Walking Dead, </w:t>
      </w:r>
      <w:r>
        <w:rPr>
          <w:rFonts w:ascii="Times New Roman;serif" w:hAnsi="Times New Roman;serif"/>
          <w:b w:val="false"/>
          <w:color w:val="000000"/>
          <w:sz w:val="20"/>
        </w:rPr>
        <w:t xml:space="preserve">consistent with the lower content licensing sales during the period.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decreased primarily due to a decrease in program rights amortization, partially offset by higher participation and residuals costs and other direct programming costs.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primarily due to lower employee related costs.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primarily due to higher marketing expenses mainly driven by increased paid media spend for AMC+, higher employee related costs, and an increase in legal costs related to the MFN litigation.</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adjusted operating income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nine months ended September 30, 2025 vs.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was primarily attributable to the continued revenue declines in our linear businesses.</w:t>
      </w:r>
    </w:p>
    <w:p>
      <w:pPr>
        <w:pStyle w:val="TextBody"/>
        <w:bidi w:val="0"/>
        <w:spacing w:before="120" w:after="120"/>
        <w:ind w:left="0" w:right="0" w:firstLine="45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International</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International segment results for the periods indicated.</w:t>
      </w:r>
    </w:p>
    <w:tbl>
      <w:tblPr>
        <w:tblW w:w="10205" w:type="dxa"/>
        <w:jc w:val="left"/>
        <w:tblInd w:w="0" w:type="dxa"/>
        <w:tblLayout w:type="fixed"/>
        <w:tblCellMar>
          <w:top w:w="28" w:type="dxa"/>
          <w:left w:w="28" w:type="dxa"/>
          <w:bottom w:w="28" w:type="dxa"/>
          <w:right w:w="28" w:type="dxa"/>
        </w:tblCellMar>
      </w:tblPr>
      <w:tblGrid>
        <w:gridCol w:w="888"/>
        <w:gridCol w:w="675"/>
        <w:gridCol w:w="558"/>
        <w:gridCol w:w="211"/>
        <w:gridCol w:w="721"/>
        <w:gridCol w:w="109"/>
        <w:gridCol w:w="109"/>
        <w:gridCol w:w="109"/>
        <w:gridCol w:w="109"/>
        <w:gridCol w:w="211"/>
        <w:gridCol w:w="721"/>
        <w:gridCol w:w="109"/>
        <w:gridCol w:w="109"/>
        <w:gridCol w:w="109"/>
        <w:gridCol w:w="109"/>
        <w:gridCol w:w="109"/>
        <w:gridCol w:w="265"/>
        <w:gridCol w:w="269"/>
        <w:gridCol w:w="367"/>
        <w:gridCol w:w="109"/>
        <w:gridCol w:w="109"/>
        <w:gridCol w:w="109"/>
        <w:gridCol w:w="211"/>
        <w:gridCol w:w="826"/>
        <w:gridCol w:w="109"/>
        <w:gridCol w:w="109"/>
        <w:gridCol w:w="109"/>
        <w:gridCol w:w="109"/>
        <w:gridCol w:w="211"/>
        <w:gridCol w:w="826"/>
        <w:gridCol w:w="109"/>
        <w:gridCol w:w="109"/>
        <w:gridCol w:w="109"/>
        <w:gridCol w:w="109"/>
        <w:gridCol w:w="109"/>
        <w:gridCol w:w="266"/>
        <w:gridCol w:w="268"/>
        <w:gridCol w:w="422"/>
      </w:tblGrid>
      <w:tr>
        <w:trPr/>
        <w:tc>
          <w:tcPr>
            <w:tcW w:w="88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65" w:type="dxa"/>
            <w:gridSpan w:val="4"/>
            <w:tcBorders/>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40"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Selling, general and administrative expenses exclude share-based compensation expenses</w:t>
            </w:r>
          </w:p>
        </w:tc>
        <w:tc>
          <w:tcPr>
            <w:tcW w:w="1065"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creased primarily due to the non-renewal of a distribution agreement in Spain in the fourth quarter of 2024, partially offset by the favorable impact of foreign currency translation.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increased primarily due to the impact of higher pricing in the U.K. and Ireland linear advertising markets and digital and advanced advertising growth in the U.K.</w:t>
      </w:r>
    </w:p>
    <w:p>
      <w:pPr>
        <w:pStyle w:val="TextBody"/>
        <w:bidi w:val="0"/>
        <w:spacing w:lineRule="auto" w:line="288" w:before="120" w:after="120"/>
        <w:jc w:val="both"/>
        <w:rPr/>
      </w:pPr>
      <w:r>
        <w:rPr>
          <w:rFonts w:ascii="Times New Roman;serif" w:hAnsi="Times New Roman;serif"/>
          <w:b w:val="false"/>
          <w:i/>
          <w:color w:val="000000"/>
          <w:sz w:val="20"/>
        </w:rPr>
        <w:t>Nine months ended September 30, 2025 vs. 2024</w:t>
      </w:r>
      <w:r>
        <w:rPr>
          <w:color w:val="000000"/>
        </w:rPr>
        <w:t xml:space="preserve"> </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creased primarily due to the non-renewal of a distribution agreement in Spain in the fourth quarter of 2024, partially offset by the favorable impact of foreign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primarily due to the recognition of a $13.4 million retroactive adjustment reported and paid by a third party in the second quarter of 2024 and lower digital and advanced advertising revenue in the U.K., partially offset by the impact of higher pricing in the U.K. and Ireland linear advertising markets and the favorable impact of foreign currency translation.</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nine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increased due to higher program amortization primarily driven by the unfavorable impact of foreign currency translation.</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primarily due to higher corporate overhead costs allocated to AMCNI and higher marketing costs.</w:t>
      </w:r>
    </w:p>
    <w:p>
      <w:pPr>
        <w:pStyle w:val="TextBody"/>
        <w:bidi w:val="0"/>
        <w:spacing w:lineRule="auto" w:line="288" w:before="120" w:after="120"/>
        <w:jc w:val="both"/>
        <w:rPr/>
      </w:pPr>
      <w:r>
        <w:rPr>
          <w:rFonts w:ascii="Times New Roman;serif" w:hAnsi="Times New Roman;serif"/>
          <w:b w:val="false"/>
          <w:i/>
          <w:color w:val="000000"/>
          <w:sz w:val="20"/>
        </w:rPr>
        <w:t>Nine months ended September 30, 2025 vs. 2024</w:t>
      </w:r>
      <w:r>
        <w:rPr>
          <w:color w:val="000000"/>
        </w:rPr>
        <w:t xml:space="preserve">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primarily due to higher corporate overhead costs allocated to AMCNI and higher marketing costs, partially offset by lower selling expenses, including commissions.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adjusted operating income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was primarily due to the impact of the non-renewal of a distribution agreement in Spain in the fourth quarter of 2024 and higher corporate overhead costs allocated to AMCNI, partially offset by the impact of higher pricing in the U.K. and Ireland linear advertising markets.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vs. 2024</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was primarily due to the recognition of a retroactive adjustment reported and paid by a third party for $13.4 million in the second quarter of 2024 and the impact of the non-renewal of a distribution agreement in Spain in the fourth quarter of 2024, partially offset by the impact of higher pricing in the U.K. and Ireland linear advertising markets.</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cash and cash equivalents balance of $716.8 million included approximately $146.0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we do not expect to incur any significant, additional taxes related to the remaining balance.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The Revolving Credit Facility was not drawn upon at September 30, 2025. The total undrawn revolver commitment is available to be drawn for our general corporate purposes.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combination of cash-on-hand, cash generated from operating activities, availability under our Revolving Credit Facility and our accounts receivable monetization program, borrowings under additional financing facilities and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 2025, we issued $400.0 million aggregate principal amount of 2032 Secured Notes. We received net proceeds of $394.5 million, after deducting initial purchaser discounts. The 2032 Secured Notes are guaranteed by AMC Network Entertainment and AMC Networks' subsidiaries that guarantee the Credit Agreement. The proceeds from the issuance, together with cash-on-hand, were used to facilitate the completion of a cash tender offer on July 17, 2025 to purchase $600.0 million of our Senior Notes, at a discount of $111.0 million, and to voluntary prepay the remaining $70.0 million of borrowings under the Term Loan A (non-extended) on July 3, 2025.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and third quarters of 2025, we also repurchased $99.1 million and $9.2 million principal amount, respectively, of our Senior Notes through open market repurchases, at discounts of $26.7 million and $1.5 million, respectively, and retired the repurchased Senior Notes. Additionally, in May 2025 we voluntarily prepaid $20.0 million of borrowings under the Term Loan A Facility (non-extended).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which will result in cash tax savings for the year ending December 31, 2025.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entered into Amendment No. 5 (“Amendment No. 5”) to the Credit Agreement. The Company continues to maintain $175.0 million of commitments under the Revolving Credit Facility. Pursuant to Amendment No. 5, the maturity date of $111.8 million of such commitments was extended to the earlier of (i) October 29, 2030 and (ii) the date that is 90 days prior to the maturity date of any capital markets indebtedness of AMC Networks with an aggregate outstanding principal amount exceeding $50.0 million. The remaining $63.2 million of commitments under the Revolving Credit Facility retained their existing maturity date of April 9,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repurchased and permanently retired term loans held by certain lenders that consented to the maturity extension noted above, in an aggregate principal amount equal to $165.7 million, at a price equal to the principal amount thereof plus accrued and unpaid interest. The remaining $85.6 million principal amount retained their existing maturity date of April 9,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Amendment No. 5 also includes certain other modifications to covenants and other provisions of the Credit Agreement, including a reduction in the minimum interest coverage ratio from 2.00:1.00 to 1.50:1.00, with a step-up to 1.75:1.00 for fiscal quarters ending on or after December 31, 2028.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our liquidity profile in connection with our consideration of our funding and investment needs. Depending on market conditions, we may purchase, redeem, prepay, refinance, amend, exchange, extend or otherwise retire any amount of our outstanding indebtedness at any time and from time to time, in open market or privately negotiated transactions with the holders of such indebtedness or otherwise. We may not proceed with any of such transactions in light of market conditions or other relevant factors and, if we do proceed, the terms of any such transaction would be subject to market and other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Credit Agreement generally requires us and our restricted subsidiaries on a consolidated basis to comply with a maximum total net leverage ratio of 5.75:1.00 from April 9, 2024 through March 31, 2026, after which the maximum total net leverage ratio changes to 5.50:1.00. As of September 30, 2025, the total net leverage ratio was approximately 4.33:1.00. In addition, the Credit Agreement requires a minimum interest coverage ratio for us and our restricted subsidiaries on a consolidated basis, which prior to Amendment No. 5 described above was 2.00:1.00. As of September 30, 2025, the interest coverage ratio was approximately 2.20:1.00. All borrowings under the Credit Agreement are subject to the satisfaction of customary conditions, including the absence of a default and accuracy of representations and warranties.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of our debt covenants as of September 30,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2024 Form 10-K. 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authorized a program to repurchase up to $1.5 billion of our outstanding shares of Class A Common Stock (the "Stock Repurchase Program"). The Stock Repurchase Program has no pre-established termination date and may be suspended or discontinued at any time. During the second quarter of 2025, the Company repurchased 1.6 million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of its Class A Common Stock at an average purchase price of $6.48 per share. As of September 30, 2025, the Company had </w:t>
      </w:r>
      <w:r>
        <w:rPr>
          <w:rFonts w:ascii="Times New Roman;serif" w:hAnsi="Times New Roman;serif"/>
          <w:b w:val="false"/>
          <w:color w:val="000000"/>
          <w:sz w:val="20"/>
          <w:shd w:fill="FFFFFF" w:val="clear"/>
        </w:rPr>
        <w:t>$124.9 million</w:t>
      </w:r>
      <w:r>
        <w:rPr>
          <w:color w:val="000000"/>
        </w:rPr>
        <w:t xml:space="preserve"> </w:t>
      </w:r>
      <w:r>
        <w:rPr>
          <w:rFonts w:ascii="Times New Roman;serif" w:hAnsi="Times New Roman;serif"/>
          <w:b w:val="false"/>
          <w:color w:val="000000"/>
          <w:sz w:val="20"/>
        </w:rPr>
        <w:t>of authorization remaining for repurchase under the Stock Repurchase Program.</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cash flows provided by (used in) operating, investing and financing activities for the periods indicated:</w:t>
      </w:r>
    </w:p>
    <w:tbl>
      <w:tblPr>
        <w:tblW w:w="8483" w:type="dxa"/>
        <w:jc w:val="left"/>
        <w:tblInd w:w="0" w:type="dxa"/>
        <w:tblLayout w:type="fixed"/>
        <w:tblCellMar>
          <w:top w:w="28" w:type="dxa"/>
          <w:left w:w="28" w:type="dxa"/>
          <w:bottom w:w="28" w:type="dxa"/>
          <w:right w:w="28" w:type="dxa"/>
        </w:tblCellMar>
      </w:tblPr>
      <w:tblGrid>
        <w:gridCol w:w="2038"/>
        <w:gridCol w:w="1798"/>
        <w:gridCol w:w="1803"/>
        <w:gridCol w:w="225"/>
        <w:gridCol w:w="883"/>
        <w:gridCol w:w="116"/>
        <w:gridCol w:w="116"/>
        <w:gridCol w:w="116"/>
        <w:gridCol w:w="116"/>
        <w:gridCol w:w="225"/>
        <w:gridCol w:w="883"/>
        <w:gridCol w:w="164"/>
      </w:tblGrid>
      <w:tr>
        <w:trPr/>
        <w:tc>
          <w:tcPr>
            <w:tcW w:w="203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639" w:type="dxa"/>
            <w:gridSpan w:val="3"/>
            <w:vMerge w:val="continue"/>
            <w:tcBorders/>
            <w:tcMar>
              <w:top w:w="0" w:type="dxa"/>
              <w:left w:w="0" w:type="dxa"/>
              <w:bottom w:w="0" w:type="dxa"/>
              <w:right w:w="0" w:type="dxa"/>
            </w:tcMar>
            <w:vAlign w:val="center"/>
          </w:tcPr>
          <w:p>
            <w:pPr>
              <w:pStyle w:val="Normal"/>
              <w:bidi w:val="0"/>
              <w:jc w:val="left"/>
              <w:rPr/>
            </w:pPr>
            <w:r>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from operations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Net cash provided by operating activities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and 2024 amounted to </w:t>
      </w:r>
      <w:r>
        <w:rPr>
          <w:rFonts w:ascii="Times New Roman;serif" w:hAnsi="Times New Roman;serif"/>
          <w:b w:val="false"/>
          <w:color w:val="000000"/>
          <w:sz w:val="20"/>
        </w:rPr>
        <w:t>$256.4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$317.5 million</w:t>
      </w:r>
      <w:r>
        <w:rPr>
          <w:rFonts w:ascii="Times New Roman;serif" w:hAnsi="Times New Roman;serif"/>
          <w:b w:val="false"/>
          <w:color w:val="000000"/>
          <w:sz w:val="20"/>
          <w:shd w:fill="FFFFFF" w:val="clear"/>
        </w:rPr>
        <w:t xml:space="preserve">,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net cash provided by operating activities primarily resulted from $768.9 million of net income before amortization of program rights, depreciation and amortization, and other non-cash items, partially offset by payments for program rights of $569.2 million. Changes in all other assets and liabilities resulted in a net cash inflow of $56.7 million.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net cash provided by operating activities primarily resulted from $915.4 million of net income before amortization of program rights, depreciation and amortization, and other non-cash items, partially offset by payments for program rights of $691.5 million. Changes in all other assets and liabilities resulted in a net cash inflow of $93.6 million. </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Net cash used in investing activities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and 2024 amounted to </w:t>
      </w:r>
      <w:r>
        <w:rPr>
          <w:rFonts w:ascii="Times New Roman;serif" w:hAnsi="Times New Roman;serif"/>
          <w:b w:val="false"/>
          <w:color w:val="000000"/>
          <w:sz w:val="20"/>
        </w:rPr>
        <w:t>$24.5 million and $20.2 million, respectively, and primarily consisted of capital expenditures.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Net cash used in financing activities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and 2024 amounted to </w:t>
      </w:r>
      <w:r>
        <w:rPr>
          <w:rFonts w:ascii="Times New Roman;serif" w:hAnsi="Times New Roman;serif"/>
          <w:b w:val="false"/>
          <w:color w:val="000000"/>
          <w:sz w:val="20"/>
        </w:rPr>
        <w:t>$317.2 million and $52.7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financing activities primarily related to the tender offer for and repurchases of our Senior Notes of $569.1 million, principal payments on the Term Loan A Facility of $114.4 million, and the purchase of treasury stock for $10.3 million, partially offset by $394.5 million of proceeds from the issuance of our 2032 Secured Notes.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net cash used in financing activities primarily related to long-term debt refinancing transactions, the Convertible Notes issuance, principal payments on the Term Loan A Facility and distributions to noncontrolling interests of $18.0 million. </w:t>
      </w:r>
    </w:p>
    <w:p>
      <w:pPr>
        <w:pStyle w:val="TextBody"/>
        <w:bidi w:val="0"/>
        <w:spacing w:lineRule="auto" w:line="276"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contractual obligations not reflected on the condensed consolidated balance sheets decreased $44.6 million, as compared to December 31, 2024, to $550.7 million. The decrease was primarily related to payments for program rights and third-party service contracts.</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terms and conditions of the guarantees with respect to the notes outstanding as of September 30, 2025 for which AMC Networks is the issuer. </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Note Guarantees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Debt of AMC Networks as of September 30, 2025 included $875.0 million of 10.25% Senior Secured Notes due 2029, $276.7 million of Senior Notes, $143.8 million of Convertible Notes, and $400.0 million of 2032 Secured Notes (collectively, the “notes”). The notes were issued by AMC Networks and are unconditionally guaranteed, jointly and severally, on an unsecured basis, by each of AMC Networks’ existing and future domestic restricted subsidiaries, subject to certain exceptions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subsidiaries of AMC Networks do not and will not guarantee the notes.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Summarized Financial Information</w:t>
      </w:r>
    </w:p>
    <w:tbl>
      <w:tblPr>
        <w:tblW w:w="10205" w:type="dxa"/>
        <w:jc w:val="left"/>
        <w:tblInd w:w="0" w:type="dxa"/>
        <w:tblLayout w:type="fixed"/>
        <w:tblCellMar>
          <w:top w:w="28" w:type="dxa"/>
          <w:left w:w="28" w:type="dxa"/>
          <w:bottom w:w="28" w:type="dxa"/>
          <w:right w:w="28" w:type="dxa"/>
        </w:tblCellMar>
      </w:tblPr>
      <w:tblGrid>
        <w:gridCol w:w="862"/>
        <w:gridCol w:w="757"/>
        <w:gridCol w:w="760"/>
        <w:gridCol w:w="261"/>
        <w:gridCol w:w="1027"/>
        <w:gridCol w:w="134"/>
        <w:gridCol w:w="125"/>
        <w:gridCol w:w="125"/>
        <w:gridCol w:w="125"/>
        <w:gridCol w:w="311"/>
        <w:gridCol w:w="1445"/>
        <w:gridCol w:w="160"/>
        <w:gridCol w:w="109"/>
        <w:gridCol w:w="109"/>
        <w:gridCol w:w="109"/>
        <w:gridCol w:w="287"/>
        <w:gridCol w:w="986"/>
        <w:gridCol w:w="148"/>
        <w:gridCol w:w="130"/>
        <w:gridCol w:w="130"/>
        <w:gridCol w:w="130"/>
        <w:gridCol w:w="307"/>
        <w:gridCol w:w="1429"/>
        <w:gridCol w:w="239"/>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Statement</w:t>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2379" w:type="dxa"/>
            <w:gridSpan w:val="3"/>
            <w:vMerge w:val="continue"/>
            <w:tcBorders/>
            <w:tcMar>
              <w:top w:w="0" w:type="dxa"/>
              <w:left w:w="0" w:type="dxa"/>
              <w:bottom w:w="0" w:type="dxa"/>
              <w:right w:w="0" w:type="dxa"/>
            </w:tcMar>
            <w:vAlign w:val="center"/>
          </w:tcPr>
          <w:p>
            <w:pPr>
              <w:pStyle w:val="Normal"/>
              <w:bidi w:val="0"/>
              <w:jc w:val="left"/>
              <w:rPr/>
            </w:pPr>
            <w:r>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1,317,440 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1,138,388 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1,084,303 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233,137 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209,737 </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213,891 </w:t>
            </w:r>
          </w:p>
        </w:tc>
        <w:tc>
          <w:tcPr>
            <w:tcW w:w="1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99,373 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230,599 </w:t>
            </w:r>
          </w:p>
        </w:tc>
        <w:tc>
          <w:tcPr>
            <w:tcW w:w="23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222,139 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8"/>
        <w:gridCol w:w="818"/>
        <w:gridCol w:w="287"/>
        <w:gridCol w:w="977"/>
        <w:gridCol w:w="147"/>
        <w:gridCol w:w="109"/>
        <w:gridCol w:w="109"/>
        <w:gridCol w:w="109"/>
        <w:gridCol w:w="384"/>
        <w:gridCol w:w="1307"/>
        <w:gridCol w:w="198"/>
        <w:gridCol w:w="109"/>
        <w:gridCol w:w="109"/>
        <w:gridCol w:w="109"/>
        <w:gridCol w:w="287"/>
        <w:gridCol w:w="977"/>
        <w:gridCol w:w="147"/>
        <w:gridCol w:w="109"/>
        <w:gridCol w:w="109"/>
        <w:gridCol w:w="109"/>
        <w:gridCol w:w="375"/>
        <w:gridCol w:w="1283"/>
        <w:gridCol w:w="285"/>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3,221,339 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2,755,801 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3,467,276 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2,718,427 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510,785 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473,418 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2,063,654 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2,474,505 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2 to the Company's Consolidated Financial Statements included in our 2024 Form 10-K. There have been no significant changes in our significant accounting policies since December 31, 2024.</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our critical accounting estimates in Item 7, "Management's Discussion and Analysis of Financial Condition and Results of Operations," in our 2024 Form 10-K. There have been no significant changes in our critical accounting estimates since December 31, 2024.</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Internally, we use AOI and Free Cash Flow as the most important indicators of our business performance, and evaluate management's effectiveness with specific reference to these indicators.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segment performance based on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operating income to AOI for the periods indicated:</w:t>
      </w:r>
    </w:p>
    <w:tbl>
      <w:tblPr>
        <w:tblW w:w="9362" w:type="dxa"/>
        <w:jc w:val="left"/>
        <w:tblInd w:w="0" w:type="dxa"/>
        <w:tblLayout w:type="fixed"/>
        <w:tblCellMar>
          <w:top w:w="28" w:type="dxa"/>
          <w:left w:w="28" w:type="dxa"/>
          <w:bottom w:w="28" w:type="dxa"/>
          <w:right w:w="28" w:type="dxa"/>
        </w:tblCellMar>
      </w:tblPr>
      <w:tblGrid>
        <w:gridCol w:w="1194"/>
        <w:gridCol w:w="1049"/>
        <w:gridCol w:w="1056"/>
        <w:gridCol w:w="243"/>
        <w:gridCol w:w="830"/>
        <w:gridCol w:w="125"/>
        <w:gridCol w:w="125"/>
        <w:gridCol w:w="125"/>
        <w:gridCol w:w="125"/>
        <w:gridCol w:w="243"/>
        <w:gridCol w:w="951"/>
        <w:gridCol w:w="125"/>
        <w:gridCol w:w="109"/>
        <w:gridCol w:w="109"/>
        <w:gridCol w:w="109"/>
        <w:gridCol w:w="225"/>
        <w:gridCol w:w="883"/>
        <w:gridCol w:w="116"/>
        <w:gridCol w:w="116"/>
        <w:gridCol w:w="116"/>
        <w:gridCol w:w="116"/>
        <w:gridCol w:w="225"/>
        <w:gridCol w:w="883"/>
        <w:gridCol w:w="164"/>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171" w:type="dxa"/>
            <w:gridSpan w:val="1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owned equity investees AOI</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308,317 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433,407 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define Free Cash Flow, which is a non-GAAP financial measure, as net cash provided by operating activities less capital expenditures, all of which are reported in our Consolidated Statement of Cash Flows. </w:t>
      </w:r>
      <w:r>
        <w:rPr>
          <w:rFonts w:ascii="Times New Roman;serif" w:hAnsi="Times New Roman;serif"/>
          <w:b w:val="false"/>
          <w:color w:val="000000"/>
          <w:sz w:val="20"/>
          <w:shd w:fill="FFFFFF" w:val="clear"/>
        </w:rPr>
        <w:t xml:space="preserve">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t>
      </w:r>
      <w:r>
        <w:rPr>
          <w:rFonts w:ascii="Times New Roman;serif" w:hAnsi="Times New Roman;serif"/>
          <w:b w:val="false"/>
          <w:color w:val="000000"/>
          <w:sz w:val="20"/>
        </w:rPr>
        <w:t xml:space="preserve">with other companies in our industry, although our measure of Free Cash Flow may not be directly comparable to similar measures reported by other companies. </w:t>
      </w:r>
    </w:p>
    <w:p>
      <w:pPr>
        <w:pStyle w:val="TextBody"/>
        <w:bidi w:val="0"/>
        <w:spacing w:lineRule="auto" w:line="336" w:before="120" w:after="120"/>
        <w:ind w:left="0" w:right="0" w:firstLine="360"/>
        <w:jc w:val="both"/>
        <w:rPr/>
      </w:pPr>
      <w:r>
        <w:rPr>
          <w:rFonts w:ascii="Times New Roman;serif" w:hAnsi="Times New Roman;serif"/>
          <w:b w:val="false"/>
          <w:color w:val="000000"/>
          <w:sz w:val="20"/>
        </w:rPr>
        <w:t>The following is a reconciliation of</w:t>
      </w:r>
      <w:r>
        <w:rPr>
          <w:color w:val="000000"/>
          <w:shd w:fill="FFFFFF" w:val="clear"/>
        </w:rPr>
        <w:t xml:space="preserve"> </w:t>
      </w:r>
      <w:r>
        <w:rPr>
          <w:rFonts w:ascii="Times New Roman;serif" w:hAnsi="Times New Roman;serif"/>
          <w:b w:val="false"/>
          <w:color w:val="000000"/>
          <w:sz w:val="20"/>
          <w:shd w:fill="FFFFFF" w:val="clear"/>
        </w:rPr>
        <w:t>net cash provided by operating activities</w:t>
      </w:r>
      <w:r>
        <w:rPr>
          <w:color w:val="000000"/>
        </w:rPr>
        <w:t xml:space="preserve"> </w:t>
      </w:r>
      <w:r>
        <w:rPr>
          <w:rFonts w:ascii="Times New Roman;serif" w:hAnsi="Times New Roman;serif"/>
          <w:b w:val="false"/>
          <w:color w:val="000000"/>
          <w:sz w:val="20"/>
        </w:rPr>
        <w:t>to Free Cash Flow for the periods indicated:</w:t>
      </w:r>
    </w:p>
    <w:tbl>
      <w:tblPr>
        <w:tblW w:w="8223"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109"/>
        <w:gridCol w:w="224"/>
        <w:gridCol w:w="224"/>
        <w:gridCol w:w="434"/>
        <w:gridCol w:w="1699"/>
        <w:gridCol w:w="224"/>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6565"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231"/>
        <w:gridCol w:w="871"/>
        <w:gridCol w:w="119"/>
        <w:gridCol w:w="119"/>
        <w:gridCol w:w="119"/>
        <w:gridCol w:w="119"/>
        <w:gridCol w:w="231"/>
        <w:gridCol w:w="871"/>
        <w:gridCol w:w="168"/>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level of interest rates prevailing at September 30, 2025, the carrying value of our fixed rate debt of $1.67 billion was less than its fair value of $1.72 billion by $48.9 million. The fair value of these financial instruments is estimated based on reference to quoted market prices for these or comparable securities. A hypothetical 100 basis point decrease in interest rates prevailing at September 30, 2025 would increase the estimated fair value of our fixed rate debt by $47.1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Managing our Interest Rate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$1.9 billion of debt outstanding (excluding finance leases), of which $251.3 million is outstanding under our loan facility and is subject to variable interest rates. A hypothetical 100 basis point increase in interest rates prevailing at September 30, 2025 would increase our annual interest expense by $2.5 million. The interest rate paid on approximately 87% of our debt (excluding finance leases) as of September 30, 2025 is fixed.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Managing our Foreign Currency Exchange Rate Risk</w:t>
      </w:r>
    </w:p>
    <w:p>
      <w:pPr>
        <w:pStyle w:val="TextBody"/>
        <w:bidi w:val="0"/>
        <w:spacing w:lineRule="auto" w:line="288" w:before="120" w:after="120"/>
        <w:ind w:left="0" w:right="0" w:firstLine="360"/>
        <w:jc w:val="both"/>
        <w:rPr/>
      </w:pPr>
      <w:r>
        <w:rPr>
          <w:rFonts w:ascii="Times New Roman;serif" w:hAnsi="Times New Roman;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erif" w:hAnsi="Times New Roman;serif"/>
          <w:b w:val="false"/>
          <w:color w:val="000000"/>
          <w:sz w:val="20"/>
          <w:shd w:fill="FFFFFF" w:val="clear"/>
        </w:rPr>
        <w:t xml:space="preserve">as a result of changes in foreign currency exchange rates. </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 recognized a loss of $3.3 million and a gain of $13.4 million</w:t>
      </w:r>
      <w:r>
        <w:rPr>
          <w:color w:val="000000"/>
          <w:shd w:fill="FFFFFF" w:val="clear"/>
        </w:rPr>
        <w:t xml:space="preserve"> </w:t>
      </w:r>
      <w:r>
        <w:rPr>
          <w:rFonts w:ascii="Times New Roman;serif" w:hAnsi="Times New Roman;serif"/>
          <w:b w:val="false"/>
          <w:color w:val="000000"/>
          <w:sz w:val="20"/>
        </w:rPr>
        <w:t>for the three and nine months ended September 30, 2025, respectively, and gains</w:t>
      </w:r>
      <w:r>
        <w:rPr>
          <w:color w:val="000000"/>
          <w:shd w:fill="FFFFFF" w:val="clear"/>
        </w:rPr>
        <w:t xml:space="preserve"> </w:t>
      </w:r>
      <w:r>
        <w:rPr>
          <w:rFonts w:ascii="Times New Roman;serif" w:hAnsi="Times New Roman;serif"/>
          <w:b w:val="false"/>
          <w:color w:val="000000"/>
          <w:sz w:val="20"/>
          <w:shd w:fill="FFFFFF" w:val="clear"/>
        </w:rPr>
        <w:t xml:space="preserve">of $8.5 million and $4.6 million </w:t>
      </w:r>
      <w:r>
        <w:rPr>
          <w:rFonts w:ascii="Times New Roman;serif" w:hAnsi="Times New Roman;serif"/>
          <w:b w:val="false"/>
          <w:color w:val="000000"/>
          <w:sz w:val="20"/>
        </w:rPr>
        <w:t>for the three and nine months ended September 30, 2024, respectively, related to foreign currency transactions. Such amounts are included in miscellaneous, net in the condensed consolidated statements of income.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September 30, 2025, the Company's principal executive officer (our Chief Executive Officer) and principal financial officer (our Chief Financial Officer) concluded that the Company's disclosure controls and procedures are effective.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there were no changes in the Company's internal control over financial reporting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14, Commitments and Contingencies to the condensed consolidated financial statements included in this Quarterly Report on Form 10-Q for a description of our legal proceedings. </w:t>
      </w:r>
    </w:p>
    <w:p>
      <w:pPr>
        <w:pStyle w:val="TextBody"/>
        <w:bidi w:val="0"/>
        <w:spacing w:before="100" w:after="1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risk factors discussed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of the Company’s Annual Report on Form 10-K for the year ended December 31, 2024 have not materially changed except as set forth below. </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The Trump administration has introduced tariffs that impact a number of industries, including announcing an intention to impose tariffs on movies produced outside the United States. Such tariffs, if imposed, and similar tariffs imposed by other governments, could have a material adverse effect on our financial condition and results of operations.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Trump administration has introduced tariffs that impact a number of industries, including announcing an intention to impose tariffs on movies produced outside the United States. The U.S. tariff environment remains highly dynamic and views on tariffs and how tariffs would be imposed are evolving. Tariffs charged by other countries, included retaliatory tariffs, also are expected to evolve. As a result, we cannot predict the breadth of tariffs and related costs that will ultimately impact the Company, but if tariffs are imposed on production of content, including films and series, such costs could be substantial and have a material adverse effect on our financial condition, results of operations and cash flows, and our expected financial results. Based on the ultimate scope, nature and duration of any tariffs implemented, we may take various mitigating actions, such as making changes to our content production plans, which may not fully offset the impact of tariffs. We may also need to make material changes to how and where we produce and source programming, which could require significant changes to production schedules and locales, including access to local production tax credits, any of which could be material. </w:t>
      </w:r>
    </w:p>
    <w:p>
      <w:pPr>
        <w:pStyle w:val="TextBody"/>
        <w:bidi w:val="0"/>
        <w:spacing w:before="12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has authorized a $1.5 billion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For the three months ended September 30, 2025, the Company did not repurchase any shares of its Class A Common Stock. As of September 30, 2025, the Company had </w:t>
      </w:r>
      <w:r>
        <w:rPr>
          <w:rFonts w:ascii="Times New Roman;serif" w:hAnsi="Times New Roman;serif"/>
          <w:b w:val="false"/>
          <w:color w:val="000000"/>
          <w:sz w:val="20"/>
          <w:shd w:fill="FFFFFF" w:val="clear"/>
        </w:rPr>
        <w:t>$124.9 million</w:t>
      </w:r>
      <w:r>
        <w:rPr>
          <w:color w:val="000000"/>
        </w:rPr>
        <w:t xml:space="preserve"> </w:t>
      </w:r>
      <w:r>
        <w:rPr>
          <w:rFonts w:ascii="Times New Roman;serif" w:hAnsi="Times New Roman;serif"/>
          <w:b w:val="false"/>
          <w:color w:val="000000"/>
          <w:sz w:val="20"/>
        </w:rPr>
        <w:t xml:space="preserve">of authorization remaining for repurchase under the Stock Repurchase Program. </w:t>
      </w:r>
    </w:p>
    <w:p>
      <w:pPr>
        <w:pStyle w:val="TextBody"/>
        <w:bidi w:val="0"/>
        <w:spacing w:before="120" w:after="120"/>
        <w:ind w:left="0" w:right="0" w:hanging="810"/>
        <w:jc w:val="both"/>
        <w:rPr/>
      </w:pPr>
      <w:r>
        <w:rPr/>
      </w:r>
    </w:p>
    <w:p>
      <w:pPr>
        <w:pStyle w:val="TextBody"/>
        <w:bidi w:val="0"/>
        <w:spacing w:before="120" w:after="120"/>
        <w:ind w:left="0" w:right="0" w:hanging="810"/>
        <w:jc w:val="both"/>
        <w:rPr/>
      </w:pPr>
      <w:r>
        <w:rPr/>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3220"/>
        <w:gridCol w:w="2443"/>
        <w:gridCol w:w="3484"/>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101.htm">
              <w:r>
                <w:rPr>
                  <w:rStyle w:val="InternetLink"/>
                  <w:rFonts w:ascii="Times New Roman;serif" w:hAnsi="Times New Roman;serif"/>
                  <w:b w:val="false"/>
                  <w:color w:val="0000FF"/>
                  <w:sz w:val="20"/>
                  <w:u w:val="single"/>
                </w:rPr>
                <w:t>Employment Agreement, dated October 9, 2025, by and between AMC Networks Inc. and Kristin Dolan.</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102.htm">
              <w:r>
                <w:rPr>
                  <w:rStyle w:val="InternetLink"/>
                  <w:rFonts w:ascii="Times New Roman;serif" w:hAnsi="Times New Roman;serif"/>
                  <w:b w:val="false"/>
                  <w:color w:val="0000FF"/>
                  <w:sz w:val="20"/>
                  <w:u w:val="single"/>
                </w:rPr>
                <w:t>Renewal Cash Performance Award Agreement, dated October 9, 2025, by and between AMC Networks Inc. and Kristin Dolan.</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Indenture, dated as of July 3, 2025, among AMC Networks, as issuer, each of the guarantors party thereto and U.S. Bank Trust Company, National Association, as Trustee (incorporated by reference to Exhibit 4.1 to the Company’s Current Report on Form 8-K filed on July 3, 2025).</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Amendment No. 5, dated as of October 29, 2025, to the Second Amended and Restated Credit Agreement, dated as of July 28, 2017, among AMC Networks and its subsidiary, AMC Network Entertainment LLC, as the initial borrowers, certain of AMC Networks’ subsidiaries, as restricted subsidiaries, Bank of America N.A., as an L/C Issuer, the lenders party thereto, and JPMorgan Chase Bank, N.A., as Administrative Agent, Collateral Agent and an L/C Issuer (incorporated by reference to Exhibit 10.1 to the Company’s Current Report on Form 8-K filed on October 30, 2025).</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22.htm">
              <w:r>
                <w:rPr>
                  <w:rStyle w:val="InternetLink"/>
                  <w:rFonts w:ascii="Times New Roman;serif" w:hAnsi="Times New Roman;serif"/>
                  <w:b w:val="false"/>
                  <w:color w:val="0000FF"/>
                  <w:sz w:val="20"/>
                  <w:u w:val="single"/>
                </w:rPr>
                <w:t>Guarantor Subsidiaries of the Registrant.</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9302025xex32.htm">
              <w:r>
                <w:rPr>
                  <w:rStyle w:val="InternetLink"/>
                  <w:rFonts w:ascii="Times New Roman;serif" w:hAnsi="Times New Roman;serif"/>
                  <w:b w:val="false"/>
                  <w:color w:val="0000FF"/>
                  <w:sz w:val="20"/>
                  <w:u w:val="single"/>
                </w:rPr>
                <w:t>Certifications of Chief Executive Officer and Chief Financial Officer pursuant to Section 906 of the Sarbanes-Oxley Act of 2002, 18 U.S.C. Section 1350.</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7" w:type="dxa"/>
            <w:gridSpan w:val="3"/>
            <w:tcBorders/>
            <w:vAlign w:val="center"/>
          </w:tcPr>
          <w:p>
            <w:pPr>
              <w:pStyle w:val="TableContents"/>
              <w:bidi w:val="0"/>
              <w:spacing w:before="0" w:after="283"/>
              <w:jc w:val="left"/>
              <w:rPr>
                <w:sz w:val="4"/>
                <w:szCs w:val="4"/>
              </w:rPr>
            </w:pPr>
            <w:r>
              <w:rPr>
                <w:sz w:val="4"/>
                <w:szCs w:val="4"/>
              </w:rPr>
            </w:r>
          </w:p>
        </w:tc>
      </w:tr>
      <w:tr>
        <w:trPr/>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7" w:type="dxa"/>
            <w:gridSpan w:val="3"/>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Inline XBRL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52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356"/>
        <w:gridCol w:w="1356"/>
        <w:gridCol w:w="19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 Networks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Kristin Dolan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AMC Networks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11 Penn Plaza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10001</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Re: </w:t>
      </w:r>
      <w:r>
        <w:rPr>
          <w:rFonts w:ascii="Times New Roman;serif" w:hAnsi="Times New Roman;serif"/>
          <w:b w:val="false"/>
          <w:color w:val="000000"/>
          <w:sz w:val="24"/>
          <w:u w:val="single"/>
        </w:rPr>
        <w:t>Employment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Kristin: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letter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will confirm the terms of your continued employment by AMC Networks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as an at-will employee with the title of Chief Executive Officer. Except as provided in paragraph 18 of this Agreement, this Agreement will supersede and replace any and all other discussions, understandings or arrangements regarding the subject matter herein, including your Employment Agreement with the Company effective as of February 27, 2023 (the “</w:t>
      </w:r>
      <w:r>
        <w:rPr>
          <w:rFonts w:ascii="Times New Roman;serif" w:hAnsi="Times New Roman;serif"/>
          <w:b w:val="false"/>
          <w:i/>
          <w:color w:val="000000"/>
          <w:sz w:val="24"/>
        </w:rPr>
        <w:t>Prior Agreement</w:t>
      </w:r>
      <w:r>
        <w:rPr>
          <w:color w:val="000000"/>
        </w:rPr>
        <w:t>”</w:t>
      </w:r>
      <w:r>
        <w:rPr>
          <w:rFonts w:ascii="Times New Roman;serif" w:hAnsi="Times New Roman;serif"/>
          <w:b w:val="false"/>
          <w:color w:val="000000"/>
          <w:sz w:val="24"/>
        </w:rPr>
        <w:t>). This Agreement will be effective as of October 9, 2025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 of Employment</w:t>
      </w:r>
      <w:r>
        <w:rPr>
          <w:rFonts w:ascii="Times New Roman;serif" w:hAnsi="Times New Roman;serif"/>
          <w:b w:val="false"/>
          <w:color w:val="000000"/>
          <w:sz w:val="24"/>
        </w:rPr>
        <w:t>. The term of this Agreement (the “</w:t>
      </w:r>
      <w:r>
        <w:rPr>
          <w:rFonts w:ascii="Times New Roman;serif" w:hAnsi="Times New Roman;serif"/>
          <w:b w:val="false"/>
          <w:i/>
          <w:color w:val="000000"/>
          <w:sz w:val="24"/>
        </w:rPr>
        <w:t>Term</w:t>
      </w:r>
      <w:r>
        <w:rPr>
          <w:color w:val="000000"/>
        </w:rPr>
        <w:t>”</w:t>
      </w:r>
      <w:r>
        <w:rPr>
          <w:rFonts w:ascii="Times New Roman;serif" w:hAnsi="Times New Roman;serif"/>
          <w:b w:val="false"/>
          <w:color w:val="000000"/>
          <w:sz w:val="24"/>
        </w:rPr>
        <w:t>) shall commence as of the Effective Date and, unless earlier terminated in accordance with paragraph 5 of this Agreement, shall automatically expire on December 31, 2028 (the “</w:t>
      </w:r>
      <w:r>
        <w:rPr>
          <w:rFonts w:ascii="Times New Roman;serif" w:hAnsi="Times New Roman;serif"/>
          <w:b w:val="false"/>
          <w:i/>
          <w:color w:val="000000"/>
          <w:sz w:val="24"/>
        </w:rPr>
        <w:t>Expiration Date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Duties</w:t>
      </w:r>
      <w:r>
        <w:rPr>
          <w:rFonts w:ascii="Times New Roman;serif" w:hAnsi="Times New Roman;serif"/>
          <w:b w:val="false"/>
          <w:color w:val="000000"/>
          <w:sz w:val="24"/>
        </w:rPr>
        <w:t>. In your capacity as the Chief Executive Officer, you shall have the powers, responsibilities, duties and authority customary for the chief executive officer of corporations of the size, type and nature of the Company, and you will report solely and directly to the Chairman of the Board of Directors of the Company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Subject to the provisions of this paragraph, you agree to devote substantially all of your business time and attention to the business and affairs of the Company and to perform your duties in a diligent, competent and skillful manner and in accordance with applicable law. The Company understands that you serve on the Board of Directors of Sphere Entertainment Co. (“</w:t>
      </w:r>
      <w:r>
        <w:rPr>
          <w:rFonts w:ascii="Times New Roman;serif" w:hAnsi="Times New Roman;serif"/>
          <w:b w:val="false"/>
          <w:i/>
          <w:color w:val="000000"/>
          <w:sz w:val="24"/>
        </w:rPr>
        <w:t>Sphere</w:t>
      </w:r>
      <w:r>
        <w:rPr>
          <w:color w:val="000000"/>
        </w:rPr>
        <w:t>”</w:t>
      </w:r>
      <w:r>
        <w:rPr>
          <w:rFonts w:ascii="Times New Roman;serif" w:hAnsi="Times New Roman;serif"/>
          <w:b w:val="false"/>
          <w:color w:val="000000"/>
          <w:sz w:val="24"/>
        </w:rPr>
        <w:t>). As recognized in Article Tenth of the Company’s Amended and Restated Certificate of Incorporation (the “</w:t>
      </w:r>
      <w:r>
        <w:rPr>
          <w:rFonts w:ascii="Times New Roman;serif" w:hAnsi="Times New Roman;serif"/>
          <w:b w:val="false"/>
          <w:i/>
          <w:color w:val="000000"/>
          <w:sz w:val="24"/>
        </w:rPr>
        <w:t>Overlap Policy</w:t>
      </w:r>
      <w:r>
        <w:rPr>
          <w:color w:val="000000"/>
        </w:rPr>
        <w:t>”</w:t>
      </w:r>
      <w:r>
        <w:rPr>
          <w:rFonts w:ascii="Times New Roman;serif" w:hAnsi="Times New Roman;serif"/>
          <w:b w:val="false"/>
          <w:color w:val="000000"/>
          <w:sz w:val="24"/>
        </w:rPr>
        <w:t>), there may be certain potential conflicts of interest and fiduciary duty issues associated with your roles at the Company and Sphere. The Company recognizes and agrees that none of (i) your responsibilities at the Company and Sphere (and at their respective subsidiaries and affiliates), (ii) the actual or potential conflicts of interest and fiduciary duty issues that are waived in the Overlap Policy or (iii) any actions taken, or omitted to be taken, by you in good faith to comply with your duties and responsibilities to the Company (and its subsidiaries and affiliates) in light of your responsibilities to the Company and Sphere (and their respective subsidiaries and affiliates), shall be deemed to be a breach by you of your obligations under this Agreement (including your obligations under </w:t>
      </w:r>
      <w:r>
        <w:rPr>
          <w:rFonts w:ascii="Times New Roman;serif" w:hAnsi="Times New Roman;serif"/>
          <w:b w:val="false"/>
          <w:i/>
          <w:color w:val="000000"/>
          <w:sz w:val="24"/>
        </w:rPr>
        <w:t>Annex I</w:t>
      </w:r>
      <w:r>
        <w:rPr>
          <w:rFonts w:ascii="Times New Roman;serif" w:hAnsi="Times New Roman;serif"/>
          <w:b w:val="false"/>
          <w:color w:val="000000"/>
          <w:sz w:val="24"/>
        </w:rPr>
        <w:t>) nor shall any of the foregoing constitute “Cause” as such term is defined herein. Notwithstanding the foregoing, nothing herein shall preclude you from (i) serving as a member of the board of directors of up to three non-competitive public companies upon consent of the Company (not to be unreasonably withheld), (ii) engaging in charitable activities and community affairs, and (iii) managing the personal investments and affairs of you and the members of your family (including in your capacity as the manager of the Dolan family office);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activities set out in clauses (i),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and (iii) shall be limited by you so as not to materially interfere, individually or in the aggregate, with the performance of your duties and responsibilities hereunder, including compliance with the covenants set forth in Annex I.</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Benefits</w:t>
      </w:r>
      <w:r>
        <w:rPr>
          <w:rFonts w:ascii="Times New Roman;serif" w:hAnsi="Times New Roman;serif"/>
          <w:b w:val="false"/>
          <w:color w:val="000000"/>
          <w:sz w:val="24"/>
        </w:rPr>
        <w:t>. Beginning on the Effective Date and ending on March 31, 2026, your annual base salary will be a minimum of $2,000,000 and, for the period beginning on April 1, 2026 and continuing thereafter, your annual base salary will be a minimum of $2,100,000, subject in each case to annual review and potential increase by the Compensation Committee of the Board of Directors of the Company (the “</w:t>
      </w:r>
      <w:r>
        <w:rPr>
          <w:rFonts w:ascii="Times New Roman;serif" w:hAnsi="Times New Roman;serif"/>
          <w:b w:val="false"/>
          <w:i/>
          <w:color w:val="000000"/>
          <w:sz w:val="24"/>
        </w:rPr>
        <w:t>Compensation Committee</w:t>
      </w:r>
      <w:r>
        <w:rPr>
          <w:color w:val="000000"/>
        </w:rPr>
        <w:t>”</w:t>
      </w:r>
      <w:r>
        <w:rPr>
          <w:rFonts w:ascii="Times New Roman;serif" w:hAnsi="Times New Roman;serif"/>
          <w:b w:val="false"/>
          <w:color w:val="000000"/>
          <w:sz w:val="24"/>
        </w:rPr>
        <w:t>), in its discretion. The Compensation Committee will review your compensation package on an annual basis. As of the Effective Date, you will also participate in our discretionary annual bonus program, and your annual target bonus opportunity will be not less than two hundred percent (200%) of actual salary dollars paid to you during the applicable year. Bonus payments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Your annual base salary and annual bonus target (as each may be increased from time to time in the Compensation Committee’s discretion) will not be reduced during the term of this Agreement. Notwithstanding the foregoing, (i) your bonus for the fiscal year ending December 31, 2025 shall not be prorated (and shall be based upon the actual salary dollars paid to you during the 2025 fiscal year under this Agreement and the Prior Agreement), and (ii) if your employment with the Company ends on the Expiration Date, you shall be paid your bonus for the fiscal year ending December 31, 2028, which bonus shall be subject to Company and unit performance for that fiscal year as determined by the Company in its sole discretion and shall be paid at the same time as bonuses for such fiscal year are generally paid to similarly situated employees.</w:t>
      </w:r>
    </w:p>
    <w:p>
      <w:pPr>
        <w:pStyle w:val="TextBody"/>
        <w:bidi w:val="0"/>
        <w:spacing w:lineRule="auto" w:line="288"/>
        <w:ind w:left="0" w:right="0" w:firstLine="720"/>
        <w:jc w:val="both"/>
        <w:rPr/>
      </w:pPr>
      <w:r>
        <w:rPr>
          <w:rFonts w:ascii="Times New Roman;serif" w:hAnsi="Times New Roman;serif"/>
          <w:b w:val="false"/>
          <w:color w:val="000000"/>
          <w:sz w:val="24"/>
        </w:rPr>
        <w:t>You will also participate, subject to your continued employment by the Company, in such long-term equity and other incentive programs as are made available in the future to similarly situated executives at the Company. For the 2026 award cycle (anticipated to commence in March 2026) and for each award cycle during the Term, your long-term awards will consist of annual grants of cash and/or equity awards with an annual aggregate target value of not less than $8,000,000, or such larger amount as may be determined by the Compensation Committee in its discretion. For each performance cycle, fifty percent (50%) of your long-term awards will vest ratably over three years from the date of grant and fifty percent (50%) of your long-term awards will vest based on Company and/or individual performance metrics established by the Compensation Committee, after consultation with you, that will be the same as the performance metrics established for other senior executives of the Company and that will be detailed in your grant agreements, in each case subject to your continued employment with the Company through the applicable vesting date (except as otherwise provided in the applicable plan documents, grant agreement or this Agreement). Your grant agreements will contain such additional terms and conditions determined by the Compensation Committee;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that such terms and conditions shall be consistent with the terms and conditions of the grant agreements received by other senior executives of the Company (and subject to any more favorable terms set forth in this Agreement including those set forth in Annex l attached hereto).</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31800"/>
                <wp:effectExtent l="0" t="0" r="0" b="0"/>
                <wp:wrapNone/>
                <wp:docPr id="51" name="Frame51"/>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In addition, within ten (10) days following the Effective Date, the Company will grant you a special cash performance award with a target value of $3,000,000 (the “</w:t>
      </w:r>
      <w:r>
        <w:rPr>
          <w:rFonts w:ascii="Times New Roman;serif" w:hAnsi="Times New Roman;serif"/>
          <w:b w:val="false"/>
          <w:i/>
          <w:color w:val="000000"/>
          <w:sz w:val="24"/>
        </w:rPr>
        <w:t>CEO Renewal Award</w:t>
      </w:r>
      <w:r>
        <w:rPr>
          <w:color w:val="000000"/>
        </w:rPr>
        <w:t>”</w:t>
      </w:r>
      <w:r>
        <w:rPr>
          <w:rFonts w:ascii="Times New Roman;serif" w:hAnsi="Times New Roman;serif"/>
          <w:b w:val="false"/>
          <w:color w:val="000000"/>
          <w:sz w:val="24"/>
        </w:rPr>
        <w:t>) pursuant to a grant agreement in the form attached hereto as Exhibit A (the “</w:t>
      </w:r>
      <w:r>
        <w:rPr>
          <w:rFonts w:ascii="Times New Roman;serif" w:hAnsi="Times New Roman;serif"/>
          <w:b w:val="false"/>
          <w:i/>
          <w:color w:val="000000"/>
          <w:sz w:val="24"/>
        </w:rPr>
        <w:t>CEO Renewal Award Agreement</w:t>
      </w:r>
      <w:r>
        <w:rPr>
          <w:color w:val="000000"/>
        </w:rPr>
        <w:t>”</w:t>
      </w:r>
      <w:r>
        <w:rPr>
          <w:rFonts w:ascii="Times New Roman;serif" w:hAnsi="Times New Roman;serif"/>
          <w:b w:val="false"/>
          <w:color w:val="000000"/>
          <w:sz w:val="24"/>
        </w:rPr>
        <w:t>). The applicable incremental percentage of the CEO Renewal Award will vest at the end of the applicable performance period, as set forth in the CEO Renewal Award Agreement (the “</w:t>
      </w:r>
      <w:r>
        <w:rPr>
          <w:rFonts w:ascii="Times New Roman;serif" w:hAnsi="Times New Roman;serif"/>
          <w:b w:val="false"/>
          <w:i/>
          <w:color w:val="000000"/>
          <w:sz w:val="24"/>
        </w:rPr>
        <w:t>Performance Period</w:t>
      </w:r>
      <w:r>
        <w:rPr>
          <w:color w:val="000000"/>
        </w:rPr>
        <w:t>”</w:t>
      </w:r>
      <w:r>
        <w:rPr>
          <w:rFonts w:ascii="Times New Roman;serif" w:hAnsi="Times New Roman;serif"/>
          <w:b w:val="false"/>
          <w:color w:val="000000"/>
          <w:sz w:val="24"/>
        </w:rPr>
        <w:t>), if the corresponding stock price target, as set forth in the CEO Renewal Award Agreement (each, a “</w:t>
      </w:r>
      <w:r>
        <w:rPr>
          <w:rFonts w:ascii="Times New Roman;serif" w:hAnsi="Times New Roman;serif"/>
          <w:b w:val="false"/>
          <w:i/>
          <w:color w:val="000000"/>
          <w:sz w:val="24"/>
        </w:rPr>
        <w:t>Stock Price Target</w:t>
      </w:r>
      <w:r>
        <w:rPr>
          <w:color w:val="000000"/>
        </w:rPr>
        <w:t>”</w:t>
      </w:r>
      <w:r>
        <w:rPr>
          <w:rFonts w:ascii="Times New Roman;serif" w:hAnsi="Times New Roman;serif"/>
          <w:b w:val="false"/>
          <w:color w:val="000000"/>
          <w:sz w:val="24"/>
        </w:rPr>
        <w:t>), is achieved during the Performance Period, and any portion of the CEO Renewal Award for which the applicable Stock Price Hurdle has been achieved prior to the end of the Performance Period will be payable in cash within fifteen (15) days following the end of the Performance Period, subject, in each case except as otherwise provided herein, to your continued employment with the Company or its subsidiaries through the end of the Performance Period. Notwithstanding anything to the contrary contained herein or in the CEO Renewal Award Agreement, (A) upon a “going private transaction” or a Change of Control, each as defined in the CEO Renewal Award Agreement, the CEO Renewal Award shall be treated in accordance with Annex 1 to the CEO Renewal Award Agreement; and (B) upon the termination of your employment with the Company (1) by the Company, (2) by you for “</w:t>
      </w:r>
      <w:r>
        <w:rPr>
          <w:rFonts w:ascii="Times New Roman;serif" w:hAnsi="Times New Roman;serif"/>
          <w:b w:val="false"/>
          <w:i/>
          <w:color w:val="000000"/>
          <w:sz w:val="24"/>
        </w:rPr>
        <w:t>Good Reason</w:t>
      </w:r>
      <w:r>
        <w:rPr>
          <w:rFonts w:ascii="Times New Roman;serif" w:hAnsi="Times New Roman;serif"/>
          <w:b w:val="false"/>
          <w:color w:val="000000"/>
          <w:sz w:val="24"/>
        </w:rPr>
        <w:t>,” (3) by you on account of “Retirement,” or (4) due to your death or your physical or mental disability, provided that at the time of such termination under clauses (1), (2), (3) or (4)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does not exist and subject (other than in the case of death) to your execution and the effectiveness of the Severance Agreement (as defined below), the CEO Renewal Award will remain outstanding and the applicable percentage of the CEO Renewal Award will vest based on the achievement of the Stock Price Targets during the Performance Period, and any portion of the CEO Renewal Award for which the applicable Stock Price Hurdle has been achieved prior to the end of the Performance Period will be payable in cash within fifteen (15) days following the end of the Performance Period. Notwithstanding anything else in this Agreement, the vesting provisions set forth in this paragraph will apply to the CEO Renewal Award.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on the first payroll date following the Effective Date, the Company will pay you a one-time signing bonus in cash in the amount of $150,000, less applicable withholdings.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 and your usage of private fixed-wing aircraft will continue to be provided during the Term on the terms contained in the resolutions of the Compensation Committee as in effect on the date hereof.</w:t>
      </w:r>
    </w:p>
    <w:p>
      <w:pPr>
        <w:pStyle w:val="TextBody"/>
        <w:bidi w:val="0"/>
        <w:spacing w:lineRule="auto" w:line="288" w:before="240" w:after="283"/>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 Effective as of the Effective Date, you and the Company agree to be bound by the additional covenants and provisions applicable to each that are set forth in </w:t>
      </w:r>
      <w:r>
        <w:rPr>
          <w:rFonts w:ascii="Times New Roman;serif" w:hAnsi="Times New Roman;serif"/>
          <w:b w:val="false"/>
          <w:i/>
          <w:color w:val="000000"/>
          <w:sz w:val="24"/>
        </w:rPr>
        <w:t>Annex I </w:t>
      </w:r>
      <w:r>
        <w:rPr>
          <w:rFonts w:ascii="Times New Roman;serif" w:hAnsi="Times New Roman;serif"/>
          <w:b w:val="false"/>
          <w:color w:val="000000"/>
          <w:sz w:val="24"/>
        </w:rPr>
        <w:t>attached hereto, which </w:t>
      </w:r>
      <w:r>
        <w:rPr>
          <w:rFonts w:ascii="Times New Roman;serif" w:hAnsi="Times New Roman;serif"/>
          <w:b w:val="false"/>
          <w:i/>
          <w:color w:val="000000"/>
          <w:sz w:val="24"/>
        </w:rPr>
        <w:t>Annex </w:t>
      </w:r>
      <w:r>
        <w:rPr>
          <w:rFonts w:ascii="Times New Roman;serif" w:hAnsi="Times New Roman;serif"/>
          <w:b w:val="false"/>
          <w:color w:val="000000"/>
          <w:sz w:val="24"/>
        </w:rPr>
        <w:t>shall be deemed to be a part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31800"/>
                <wp:effectExtent l="0" t="0" r="0" b="0"/>
                <wp:wrapNone/>
                <wp:docPr id="52" name="Frame52"/>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w:t>
      </w:r>
      <w:r>
        <w:rPr>
          <w:rFonts w:ascii="Times New Roman;serif" w:hAnsi="Times New Roman;serif"/>
          <w:b w:val="false"/>
          <w:color w:val="000000"/>
          <w:sz w:val="24"/>
        </w:rPr>
        <w:t>. If your employment with the Company is terminated prior to the Expiration Date (1) by the Company or (2) by you for “</w:t>
      </w:r>
      <w:r>
        <w:rPr>
          <w:rFonts w:ascii="Times New Roman;serif" w:hAnsi="Times New Roman;serif"/>
          <w:b w:val="false"/>
          <w:i/>
          <w:color w:val="000000"/>
          <w:sz w:val="24"/>
        </w:rPr>
        <w:t>Good Reason,</w:t>
      </w:r>
      <w:r>
        <w:rPr>
          <w:color w:val="000000"/>
        </w:rPr>
        <w:t xml:space="preserve">” </w:t>
      </w:r>
      <w:r>
        <w:rPr>
          <w:rFonts w:ascii="Times New Roman;serif" w:hAnsi="Times New Roman;serif"/>
          <w:b w:val="false"/>
          <w:color w:val="000000"/>
          <w:sz w:val="24"/>
        </w:rPr>
        <w:t>and at the time of such termination under clauses (1) or (2)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does not exist, then, subject to your execution and the effectiveness of a severance agreement reasonably satisfactory to the Company, which severance agreement shall include, without limitation, a full and complete general release in favor of the Company and its affiliates (subject to customary carve outs, including carve-outs for (i) your rights, if any, of indemnification, whether under Article VIII of the Company’s By-Laws, or under the certificates of incorporation, bylaws, operating agreements, partnership agreements or other agreements or similar governance documents with different names or policies of the Company’s subsidiaries or affiliates, (ii) your rights, if any, under any applicable directors’ and officers’ insurance policy, (iii) your rights, if any, to accrued vested benefits under applicable benefit plans of the Company, any subsidiary or any affiliate, which will remain payable in accordance with the terms and conditions of such plans, (iv) your rights, if any, to payments or benefits under the Severance Agreement, (v) your rights, if any, as a holder of equity securities or equity derivatives of the Company or its subsidiaries or affiliates, in each case, subject to the terms and conditions of any award agreement or other document governing such equity securities or equity derivatives or (vi) rights, if any, that cannot be released by law) and their respective directors and officers, as well as your agreement to non-competition (limited to one year), non-solicitation, non-disparagement, confidentiality and further cooperation obligations and restrictions substantially in the form set forth in </w:t>
      </w:r>
      <w:r>
        <w:rPr>
          <w:rFonts w:ascii="Times New Roman;serif" w:hAnsi="Times New Roman;serif"/>
          <w:b w:val="false"/>
          <w:i/>
          <w:color w:val="000000"/>
          <w:sz w:val="24"/>
        </w:rPr>
        <w:t>Annex I</w:t>
      </w:r>
      <w:r>
        <w:rPr>
          <w:color w:val="000000"/>
        </w:rPr>
        <w:t> </w:t>
      </w:r>
      <w:r>
        <w:rPr>
          <w:rFonts w:ascii="Times New Roman;serif" w:hAnsi="Times New Roman;serif"/>
          <w:b w:val="false"/>
          <w:color w:val="000000"/>
          <w:sz w:val="24"/>
        </w:rPr>
        <w:t>attached hereto (the “</w:t>
      </w:r>
      <w:r>
        <w:rPr>
          <w:rFonts w:ascii="Times New Roman;serif" w:hAnsi="Times New Roman;serif"/>
          <w:b w:val="false"/>
          <w:i/>
          <w:color w:val="000000"/>
          <w:sz w:val="24"/>
        </w:rPr>
        <w:t>Severance Agreement</w:t>
      </w:r>
      <w:r>
        <w:rPr>
          <w:color w:val="000000"/>
        </w:rPr>
        <w:t>”</w:t>
      </w:r>
      <w:r>
        <w:rPr>
          <w:rFonts w:ascii="Times New Roman;serif" w:hAnsi="Times New Roman;serif"/>
          <w:b w:val="false"/>
          <w:color w:val="000000"/>
          <w:sz w:val="24"/>
        </w:rPr>
        <w:t>), the Company will provide you with the following:</w:t>
      </w:r>
    </w:p>
    <w:p>
      <w:pPr>
        <w:pStyle w:val="TextBody"/>
        <w:bidi w:val="0"/>
        <w:spacing w:lineRule="auto" w:line="288" w:before="0" w:after="240"/>
        <w:jc w:val="both"/>
        <w:rPr/>
      </w:pPr>
      <w:r>
        <w:rPr>
          <w:rFonts w:ascii="Times New Roman;serif" w:hAnsi="Times New Roman;serif"/>
          <w:b w:val="false"/>
          <w:color w:val="000000"/>
          <w:sz w:val="24"/>
        </w:rPr>
        <w:t>a. Severance in an amount to be determined by the Compensation Committee (the “</w:t>
      </w:r>
      <w:r>
        <w:rPr>
          <w:rFonts w:ascii="Times New Roman;serif" w:hAnsi="Times New Roman;serif"/>
          <w:b w:val="false"/>
          <w:i/>
          <w:color w:val="000000"/>
          <w:sz w:val="24"/>
        </w:rPr>
        <w:t>Severance Amount</w:t>
      </w:r>
      <w:r>
        <w:rPr>
          <w:color w:val="000000"/>
        </w:rPr>
        <w:t>”</w:t>
      </w:r>
      <w:r>
        <w:rPr>
          <w:rFonts w:ascii="Times New Roman;serif" w:hAnsi="Times New Roman;serif"/>
          <w:b w:val="false"/>
          <w:color w:val="000000"/>
          <w:sz w:val="24"/>
        </w:rPr>
        <w:t>), but in no event less than two (2) times the sum of your annual base salary plus your target annual bonus, each as in effect at the time your employment terminates. Sixty percent (60%) of the Severance Amount (the “</w:t>
      </w:r>
      <w:r>
        <w:rPr>
          <w:rFonts w:ascii="Times New Roman;serif" w:hAnsi="Times New Roman;serif"/>
          <w:b w:val="false"/>
          <w:i/>
          <w:color w:val="000000"/>
          <w:sz w:val="24"/>
        </w:rPr>
        <w:t>First Payment</w:t>
      </w:r>
      <w:r>
        <w:rPr>
          <w:color w:val="000000"/>
        </w:rPr>
        <w:t>”</w:t>
      </w:r>
      <w:r>
        <w:rPr>
          <w:rFonts w:ascii="Times New Roman;serif" w:hAnsi="Times New Roman;serif"/>
          <w:b w:val="false"/>
          <w:color w:val="000000"/>
          <w:sz w:val="24"/>
        </w:rPr>
        <w:t>) will be payable to you on the six-month anniversary of the date your employment so terminates (the “</w:t>
      </w:r>
      <w:r>
        <w:rPr>
          <w:rFonts w:ascii="Times New Roman;serif" w:hAnsi="Times New Roman;serif"/>
          <w:b w:val="false"/>
          <w:i/>
          <w:color w:val="000000"/>
          <w:sz w:val="24"/>
        </w:rPr>
        <w:t>Termination Date</w:t>
      </w:r>
      <w:r>
        <w:rPr>
          <w:color w:val="000000"/>
        </w:rPr>
        <w:t>”</w:t>
      </w:r>
      <w:r>
        <w:rPr>
          <w:rFonts w:ascii="Times New Roman;serif" w:hAnsi="Times New Roman;serif"/>
          <w:b w:val="false"/>
          <w:color w:val="000000"/>
          <w:sz w:val="24"/>
        </w:rPr>
        <w:t>) and the remaining forty percent (40%) of the Severance Amount will be payable to you on the twelve-month anniversary of the Termination Date; </w:t>
      </w:r>
      <w:r>
        <w:rPr>
          <w:rFonts w:ascii="Times New Roman;serif" w:hAnsi="Times New Roman;serif"/>
          <w:b w:val="false"/>
          <w:i/>
          <w:color w:val="000000"/>
          <w:sz w:val="24"/>
        </w:rPr>
        <w:t>provided </w:t>
      </w:r>
      <w:r>
        <w:rPr>
          <w:rFonts w:ascii="Times New Roman;serif" w:hAnsi="Times New Roman;serif"/>
          <w:b w:val="false"/>
          <w:color w:val="000000"/>
          <w:sz w:val="24"/>
        </w:rPr>
        <w:t>that the maximum portion of the First Payment that is exempt from Section 409A (as defined below) will be payable to you on or before the seventy-fifth (75) day following the date your employment so terminates;</w:t>
      </w:r>
    </w:p>
    <w:p>
      <w:pPr>
        <w:pStyle w:val="TextBody"/>
        <w:bidi w:val="0"/>
        <w:spacing w:lineRule="auto" w:line="288" w:before="0" w:after="240"/>
        <w:jc w:val="both"/>
        <w:rPr/>
      </w:pPr>
      <w:r>
        <w:rPr>
          <w:rFonts w:ascii="Times New Roman;serif" w:hAnsi="Times New Roman;serif"/>
          <w:b w:val="false"/>
          <w:color w:val="000000"/>
          <w:sz w:val="24"/>
        </w:rPr>
        <w:t>b. A prorated bonus based on the amount of your base salary earned by you during the fiscal year through the Termination Date, </w:t>
      </w:r>
      <w:r>
        <w:rPr>
          <w:rFonts w:ascii="Times New Roman;serif" w:hAnsi="Times New Roman;serif"/>
          <w:b w:val="false"/>
          <w:i/>
          <w:color w:val="000000"/>
          <w:sz w:val="24"/>
        </w:rPr>
        <w:t>provided</w:t>
      </w:r>
      <w:r>
        <w:rPr>
          <w:rFonts w:ascii="Times New Roman;serif" w:hAnsi="Times New Roman;serif"/>
          <w:b w:val="false"/>
          <w:color w:val="000000"/>
          <w:sz w:val="24"/>
        </w:rPr>
        <w:t>, that such bonus, if any, will be payable to you if and when such bonuses are generally paid to similarly situated employees and will be based on your then current annual target bonus as well as Company and your business unit performance as determined by the Compensation Committee in its discretion, but without adjustment for your individual performance;</w:t>
      </w:r>
    </w:p>
    <w:p>
      <w:pPr>
        <w:pStyle w:val="TextBody"/>
        <w:bidi w:val="0"/>
        <w:spacing w:lineRule="auto" w:line="288" w:before="0" w:after="240"/>
        <w:jc w:val="both"/>
        <w:rPr/>
      </w:pPr>
      <w:r>
        <w:rPr>
          <w:rFonts w:ascii="Times New Roman;serif" w:hAnsi="Times New Roman;serif"/>
          <w:b w:val="false"/>
          <w:color w:val="000000"/>
          <w:sz w:val="24"/>
        </w:rPr>
        <w:t>c. If, as of the Termination Date, annual bonuses had not yet generally been paid to similarly situated employees with respect to the prior fiscal year, a bonus based on the amount of your base salary actually paid to you during such prior fiscal year,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bonus, if any, will be payable to you if and when such bonuses are generally paid to similarly situated employees and will be based on your annual target bonus that was in effect with respect to such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31800"/>
                <wp:effectExtent l="0" t="0" r="0" b="0"/>
                <wp:wrapNone/>
                <wp:docPr id="53" name="Frame53"/>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prior fiscal year as well as Company and your business unit performance as determined by the Compensation Committee in its discretion, but without adjustment for your individual performance; and</w:t>
      </w:r>
    </w:p>
    <w:p>
      <w:pPr>
        <w:pStyle w:val="TextBody"/>
        <w:bidi w:val="0"/>
        <w:spacing w:lineRule="auto" w:line="288" w:before="0" w:after="240"/>
        <w:jc w:val="both"/>
        <w:rPr/>
      </w:pPr>
      <w:r>
        <w:rPr>
          <w:rFonts w:ascii="Times New Roman;serif" w:hAnsi="Times New Roman;serif"/>
          <w:b w:val="false"/>
          <w:color w:val="000000"/>
          <w:sz w:val="24"/>
        </w:rPr>
        <w:t>d.(i) Except with respect to the CEO Renewal Award which shall be treated in the manner described above, each of your outstanding long-term cash performance awards (“</w:t>
      </w:r>
      <w:r>
        <w:rPr>
          <w:rFonts w:ascii="Times New Roman;serif" w:hAnsi="Times New Roman;serif"/>
          <w:b w:val="false"/>
          <w:i/>
          <w:color w:val="000000"/>
          <w:sz w:val="24"/>
        </w:rPr>
        <w:t>CPAs</w:t>
      </w:r>
      <w:r>
        <w:rPr>
          <w:color w:val="000000"/>
        </w:rPr>
        <w:t>”</w:t>
      </w:r>
      <w:r>
        <w:rPr>
          <w:rFonts w:ascii="Times New Roman;serif" w:hAnsi="Times New Roman;serif"/>
          <w:b w:val="false"/>
          <w:color w:val="000000"/>
          <w:sz w:val="24"/>
        </w:rPr>
        <w:t>)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 xml:space="preserve">that, if the applicable performance objectives are not satisfied then any such CPAs will be forfeited. </w:t>
      </w:r>
    </w:p>
    <w:p>
      <w:pPr>
        <w:pStyle w:val="TextBody"/>
        <w:bidi w:val="0"/>
        <w:spacing w:lineRule="auto" w:line="288" w:before="0" w:after="240"/>
        <w:jc w:val="both"/>
        <w:rPr/>
      </w:pPr>
      <w:r>
        <w:rPr>
          <w:rFonts w:ascii="Times New Roman;serif" w:hAnsi="Times New Roman;serif"/>
          <w:b w:val="false"/>
          <w:color w:val="000000"/>
          <w:sz w:val="24"/>
        </w:rPr>
        <w:t xml:space="preserve">(ii)(A) All of the time-based restrictions on each of your then-outstanding and not-yet vested restricted stock or restricted stock unit awards granted to you under the plans of the Company, if any, shall immediately be eliminated, (B) payment and deliveries with respect to your restricted stock that are not subject to performance criteria or are subject to performance criteria that have previously been satisfied (as determined by the Compensation Committee) shall be made immediately after the effective date of the Separation Agreement, (C) payment and deliveries with respect to your restricted stock units that are not subject to performance criteria or are subject to performance criteria that have previously been satisfied (as determined by the Compensation Committee) shall be made on the 90th day after the termination of your employment and (D) payments or deliveries with respect to your restricted stock and restricted stock units that are subject to performance criteria that have not yet been satisfied shall be made on the 90th day after the applicable performance criteria is determined by the Compensation Committee as having been satisfied,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applicable performance objectives are not satisfied, then any such restricted stock and restricted stock units will be forfeited;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Each of your outstanding stock options and stock appreciation awards under the plans of the Company, if any, shall continue to vest in accordance with their original vesting schedule irrespective of the termination of the term hereof and become exercisable and you shall have the right to exercise each of those options and stock appreciation awards for the remainder of the term of such option or award.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die after a termination of your employment that is subject to the above, your estate or beneficiaries will be provided any remaining benefits and rights under the above subsections (a) through (d).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31800"/>
                <wp:effectExtent l="0" t="0" r="0" b="0"/>
                <wp:wrapNone/>
                <wp:docPr id="54" name="Frame54"/>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termination of your employment, a “Going Private Transaction” or a “Change of Control” (as those terms are defined in the applicable award agreement).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If you cease to be an employee of the Company prior to the Expiration Date as a result of your “Retirement” (as defined below), and at such time Cause does not exist, then, subject to your execution and delivery, within 60 days after the date of termination of your employment, and non-revocation (within any applicable revocation period) of the Severance Agreement, you shall be provided with the benefits and rights set forth in subsections (b) and (c) above, and each of your outstanding equity, cash incentive, stock option, and stock appreciation awards granted under the plans of the Company shall continue to vest (and be settled or paid) in accordance with the terms of the awards assuming for this purpose that your employment with the Company continued through the applicable vesting (and settlement or payment) date. For purposes of this Agreement, “</w:t>
      </w:r>
      <w:r>
        <w:rPr>
          <w:rFonts w:ascii="Times New Roman;serif" w:hAnsi="Times New Roman;serif"/>
          <w:b w:val="false"/>
          <w:i/>
          <w:color w:val="000000"/>
          <w:sz w:val="24"/>
        </w:rPr>
        <w:t>Retirement</w:t>
      </w:r>
      <w:r>
        <w:rPr>
          <w:color w:val="000000"/>
        </w:rPr>
        <w:t xml:space="preserve">” </w:t>
      </w:r>
      <w:r>
        <w:rPr>
          <w:rFonts w:ascii="Times New Roman;serif" w:hAnsi="Times New Roman;serif"/>
          <w:b w:val="false"/>
          <w:color w:val="000000"/>
          <w:sz w:val="24"/>
        </w:rPr>
        <w:t>shall mean your voluntary resignation without Good Reason at any time on or after the second anniversary of the Effective Date upon not less than four months’ prior written notice to the Board.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subsections (b) and (c)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w:t>
      </w:r>
      <w:r>
        <w:rPr>
          <w:rFonts w:ascii="Times New Roman;serif" w:hAnsi="Times New Roman;serif"/>
          <w:b w:val="false"/>
          <w:i/>
          <w:color w:val="000000"/>
          <w:sz w:val="24"/>
        </w:rPr>
        <w:t>provided</w:t>
      </w:r>
      <w:r>
        <w:rPr>
          <w:rFonts w:ascii="Times New Roman;serif" w:hAnsi="Times New Roman;serif"/>
          <w:b w:val="false"/>
          <w:color w:val="000000"/>
          <w:sz w:val="24"/>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This Agreement does not constitute a guarantee of employment or benefits for any definite period. Your employment may be terminated by you or the Company at any time, with or without notice or liability (subject to the terms of this Agreement). With the exception of the provisions that, by their term, survive your death, this Agreement shall automatically terminate upon your death.</w:t>
      </w:r>
    </w:p>
    <w:p>
      <w:pPr>
        <w:pStyle w:val="TextBody"/>
        <w:bidi w:val="0"/>
        <w:spacing w:lineRule="auto" w:line="288" w:before="24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31800"/>
                <wp:effectExtent l="0" t="0" r="0" b="0"/>
                <wp:wrapNone/>
                <wp:docPr id="55" name="Frame55"/>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provided before the date that is six months after the date of your separation from service (or your earlier death). Any amount not paid or benefit not provided in respect of the six-month period specified in the preceding sentence will be (i) deposited in a trust in compliance with Rev. Proc. 92-64 (the “</w:t>
      </w:r>
      <w:r>
        <w:rPr>
          <w:rFonts w:ascii="Times New Roman;serif" w:hAnsi="Times New Roman;serif"/>
          <w:b w:val="false"/>
          <w:i/>
          <w:color w:val="000000"/>
          <w:sz w:val="24"/>
        </w:rPr>
        <w:t>Rabbi Trust</w:t>
      </w:r>
      <w:r>
        <w:rPr>
          <w:color w:val="000000"/>
        </w:rPr>
        <w:t>”</w:t>
      </w:r>
      <w:r>
        <w:rPr>
          <w:rFonts w:ascii="Times New Roman;serif" w:hAnsi="Times New Roman;serif"/>
          <w:b w:val="false"/>
          <w:color w:val="000000"/>
          <w:sz w:val="24"/>
        </w:rPr>
        <w:t>), provided, however, that no payment will be made to the Rabbi Trust if it would be contrary to law or cause you to incur additional tax under Section 409; and (ii)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Times New Roman;serif" w:hAnsi="Times New Roman;serif"/>
          <w:b w:val="false"/>
          <w:i/>
          <w:color w:val="000000"/>
          <w:sz w:val="24"/>
        </w:rPr>
        <w:t>i.e.</w:t>
      </w:r>
      <w:r>
        <w:rPr>
          <w:rFonts w:ascii="Times New Roman;serif" w:hAnsi="Times New Roman;serif"/>
          <w:b w:val="false"/>
          <w:color w:val="000000"/>
          <w:sz w:val="24"/>
        </w:rPr>
        <w:t>, later payments will be reduced first) until the reduction specified is achieved.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pStyle w:val="TextBody"/>
        <w:bidi w:val="0"/>
        <w:spacing w:lineRule="auto" w:line="288" w:before="240" w:after="283"/>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apply to your service with the Company prior to the Effective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31800"/>
                <wp:effectExtent l="0" t="0" r="0" b="0"/>
                <wp:wrapNone/>
                <wp:docPr id="56" name="Frame56"/>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Date and shall survive the expiration or termination of your employment and/or this Agreement as well as your execution of the Severance Agreement as provided for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Representations</w:t>
      </w:r>
      <w:r>
        <w:rPr>
          <w:rFonts w:ascii="Times New Roman;serif" w:hAnsi="Times New Roman;serif"/>
          <w:b w:val="false"/>
          <w:color w:val="000000"/>
          <w:sz w:val="24"/>
        </w:rPr>
        <w:t>. You hereby represent to the Company that you are not subject to any contract, arrangement, agreement, policy or understanding, including any restrictive covenants or obligations owed to any third-party (other than customary confidentiality restrictions imposed by your prior employer), that would in any way prevent, restrict or limit your ability to enter into and perform your obligations under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Assignment</w:t>
      </w:r>
      <w:r>
        <w:rPr>
          <w:rFonts w:ascii="Times New Roman;serif" w:hAnsi="Times New Roman;serif"/>
          <w:b w:val="false"/>
          <w:color w:val="000000"/>
          <w:sz w:val="24"/>
        </w:rPr>
        <w:t>. 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Waiver</w:t>
      </w:r>
      <w:r>
        <w:rPr>
          <w:rFonts w:ascii="Times New Roman;serif" w:hAnsi="Times New Roman;serif"/>
          <w:b w:val="false"/>
          <w:color w:val="000000"/>
          <w:sz w:val="24"/>
        </w:rPr>
        <w:t>. To the extent permitted by law, you and the Company hereby waive any and all rights to a jury trial with respect to any claim arising out of or in any way connected with or related to this Agreement, your employment by the Company or the termination of your employment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in accordance with the law of the State of New York applicable to contracts made and to be performed entirely within that State.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Jurisdiction</w:t>
      </w:r>
      <w:r>
        <w:rPr>
          <w:rFonts w:ascii="Times New Roman;serif" w:hAnsi="Times New Roman;serif"/>
          <w:b w:val="false"/>
          <w:color w:val="000000"/>
          <w:sz w:val="24"/>
        </w:rPr>
        <w:t>. You and the Company hereby irrevocably submit to the jurisdiction of the courts of the State of New York and the federal courts of the United States of America for the Southern District of the State of New York, located, in each case, in New York County, New York, solely in respect of the interpretation and enforcement of the provisions of this Agreement, and you and the Company hereby waive, and agree not to assert, as a defense that you are not subject thereto or that the venue thereof may not be appropriate.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Notices</w:t>
      </w:r>
      <w:r>
        <w:rPr>
          <w:rFonts w:ascii="Times New Roman;serif" w:hAnsi="Times New Roman;serif"/>
          <w:b w:val="false"/>
          <w:color w:val="000000"/>
          <w:sz w:val="24"/>
        </w:rPr>
        <w:t>. You and the Company hereby agree that mailing of notice, process or other papers in connection with any such action or proceeding in any manner as may be permitted by law shall be valid and sufficient service thereof if delivered to you at your address set forth above (with a copy to Hughes Hubbard &amp; Reed LLP at One Battery Park Plaza, New York, New York 10004 Attention: Kenneth A. Lefkowitz) or to the Company at 11 Penn Plaza, New York, NY 10001, respectively, or to such other address as you or the Company may later designate in writing for the receipt of such notices.</w:t>
      </w:r>
    </w:p>
    <w:p>
      <w:pPr>
        <w:pStyle w:val="TextBody"/>
        <w:bidi w:val="0"/>
        <w:spacing w:lineRule="auto" w:line="288" w:before="0" w:after="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not be amended or modified otherwise than by a written agreement executed by the parties hereto or their respective successors and legal representatives.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to be an original, and all of which together shall constitute one and the same agreement.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31800"/>
                <wp:effectExtent l="0" t="0" r="0" b="0"/>
                <wp:wrapNone/>
                <wp:docPr id="57" name="Frame57"/>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in this Agreement, including in </w:t>
      </w:r>
      <w:r>
        <w:rPr>
          <w:rFonts w:ascii="Times New Roman;serif" w:hAnsi="Times New Roman;serif"/>
          <w:b w:val="false"/>
          <w:i/>
          <w:color w:val="000000"/>
          <w:sz w:val="24"/>
        </w:rPr>
        <w:t>Annex I </w:t>
      </w:r>
      <w:r>
        <w:rPr>
          <w:rFonts w:ascii="Times New Roman;serif" w:hAnsi="Times New Roman;serif"/>
          <w:b w:val="false"/>
          <w:color w:val="000000"/>
          <w:sz w:val="24"/>
        </w:rPr>
        <w:t>attached hereto, shall have the meanings set forth below:</w:t>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Times New Roman;serif" w:hAnsi="Times New Roman;serif"/>
          <w:b w:val="false"/>
          <w:i/>
          <w:color w:val="000000"/>
          <w:sz w:val="24"/>
        </w:rPr>
        <w:t>nolo contendere</w:t>
      </w:r>
      <w:r>
        <w:rPr>
          <w:rFonts w:ascii="Times New Roman;serif" w:hAnsi="Times New Roman;serif"/>
          <w:b w:val="false"/>
          <w:color w:val="000000"/>
          <w:sz w:val="24"/>
        </w:rPr>
        <w:t>, or imposition of unadjudicated probation for, in each case, any crime involving moral turpitude or any felony.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Good Reason</w:t>
      </w:r>
      <w:r>
        <w:rPr>
          <w:color w:val="000000"/>
        </w:rPr>
        <w:t xml:space="preserve">” </w:t>
      </w:r>
      <w:r>
        <w:rPr>
          <w:rFonts w:ascii="Times New Roman;serif" w:hAnsi="Times New Roman;serif"/>
          <w:b w:val="false"/>
          <w:color w:val="000000"/>
          <w:sz w:val="24"/>
        </w:rPr>
        <w:t>means that (1) without your consent, (A) your base salary or annual bonus target (as each may be increased from time to time in the Compensation Committee’s discretion or in accordance with the terms of this Agreement) is reduced, (B) your title is diminished, (C) you report to someone other than the Chairman of the Board, (D) your responsibilities as in effect on the date hereof are thereafter materially diminished, (E) the Company materially breaches its obligations to you under this Agreement, or (F) the Company requires that your principal office be located more than fifty (50) miles from Manhattan, (2) you have given the Company written notice, referring specifically to this letter and definition, that you do not consent to such action, (3) the Company has not corrected such action within 30 days of receiving such notice, </w:t>
      </w:r>
      <w:r>
        <w:rPr>
          <w:rFonts w:ascii="Times New Roman;serif" w:hAnsi="Times New Roman;serif"/>
          <w:b w:val="false"/>
          <w:color w:val="000000"/>
          <w:sz w:val="24"/>
          <w:u w:val="single"/>
        </w:rPr>
        <w:t>and</w:t>
      </w:r>
      <w:r>
        <w:rPr>
          <w:color w:val="000000"/>
        </w:rPr>
        <w:t> </w:t>
      </w:r>
      <w:r>
        <w:rPr>
          <w:rFonts w:ascii="Times New Roman;serif" w:hAnsi="Times New Roman;serif"/>
          <w:b w:val="false"/>
          <w:color w:val="000000"/>
          <w:sz w:val="24"/>
        </w:rPr>
        <w:t>(4) you voluntarily terminate your employment with the Company within 90 days following the happening of the action described in subsection (1) above.</w:t>
      </w:r>
    </w:p>
    <w:p>
      <w:pPr>
        <w:pStyle w:val="TextBody"/>
        <w:bidi w:val="0"/>
        <w:spacing w:lineRule="auto" w:line="288" w:before="24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Construction</w:t>
      </w:r>
      <w:r>
        <w:rPr>
          <w:rFonts w:ascii="Times New Roman;serif" w:hAnsi="Times New Roman;serif"/>
          <w:b w:val="false"/>
          <w:color w:val="000000"/>
          <w:sz w:val="24"/>
        </w:rPr>
        <w:t>. It is the parties’ intention that this Agreement not be construed more strictly with regard to you or the Company. This Agreement (together with your outstanding grant agreements under the Company’s long-term equity and other incentive programs and your side letter regarding aircraft usage) reflects the entire understanding and agreement of you and the Company with respect to the subject matter hereof and supersedes all prior understandings and agreements, including, as of the Effective Date, the Prior Agreement; provided, however, no provision in this Agreement shall be construed to adversely affect any of your rights to compensation, expense reimbursements or benefits accrued as of the Effective Date with respect to your service with the Company prior to the Effective Date.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31800"/>
                <wp:effectExtent l="0" t="0" r="0" b="0"/>
                <wp:wrapNone/>
                <wp:docPr id="58" name="Frame58"/>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tbl>
      <w:tblPr>
        <w:tblW w:w="6807" w:type="dxa"/>
        <w:jc w:val="left"/>
        <w:tblInd w:w="0" w:type="dxa"/>
        <w:tblLayout w:type="fixed"/>
        <w:tblCellMar>
          <w:top w:w="28" w:type="dxa"/>
          <w:left w:w="28" w:type="dxa"/>
          <w:bottom w:w="28" w:type="dxa"/>
          <w:right w:w="28" w:type="dxa"/>
        </w:tblCellMar>
      </w:tblPr>
      <w:tblGrid>
        <w:gridCol w:w="247"/>
        <w:gridCol w:w="216"/>
        <w:gridCol w:w="216"/>
        <w:gridCol w:w="1556"/>
        <w:gridCol w:w="1186"/>
        <w:gridCol w:w="1193"/>
        <w:gridCol w:w="388"/>
        <w:gridCol w:w="388"/>
        <w:gridCol w:w="388"/>
        <w:gridCol w:w="216"/>
        <w:gridCol w:w="216"/>
        <w:gridCol w:w="225"/>
        <w:gridCol w:w="109"/>
        <w:gridCol w:w="109"/>
        <w:gridCol w:w="154"/>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12"/>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AMC NETWORKS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57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/s/ Sal Romanello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Name: Sal Romanello</w:t>
            </w:r>
          </w:p>
        </w:tc>
        <w:tc>
          <w:tcPr>
            <w:tcW w:w="1821"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General Counsel</w:t>
            </w:r>
          </w:p>
        </w:tc>
        <w:tc>
          <w:tcPr>
            <w:tcW w:w="1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drawing>
          <wp:inline distT="0" distB="0" distL="0" distR="0">
            <wp:extent cx="14605" cy="19050"/>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4"/>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tbl>
      <w:tblPr>
        <w:tblW w:w="3945" w:type="dxa"/>
        <w:jc w:val="left"/>
        <w:tblInd w:w="0" w:type="dxa"/>
        <w:tblLayout w:type="fixed"/>
        <w:tblCellMar>
          <w:top w:w="28" w:type="dxa"/>
          <w:left w:w="28" w:type="dxa"/>
          <w:bottom w:w="28" w:type="dxa"/>
          <w:right w:w="28" w:type="dxa"/>
        </w:tblCellMar>
      </w:tblPr>
      <w:tblGrid>
        <w:gridCol w:w="167"/>
        <w:gridCol w:w="146"/>
        <w:gridCol w:w="146"/>
        <w:gridCol w:w="146"/>
        <w:gridCol w:w="146"/>
        <w:gridCol w:w="146"/>
        <w:gridCol w:w="146"/>
        <w:gridCol w:w="146"/>
        <w:gridCol w:w="146"/>
        <w:gridCol w:w="146"/>
        <w:gridCol w:w="146"/>
        <w:gridCol w:w="146"/>
        <w:gridCol w:w="244"/>
        <w:gridCol w:w="244"/>
        <w:gridCol w:w="246"/>
        <w:gridCol w:w="224"/>
        <w:gridCol w:w="224"/>
        <w:gridCol w:w="224"/>
        <w:gridCol w:w="224"/>
        <w:gridCol w:w="224"/>
        <w:gridCol w:w="318"/>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21"/>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tc>
      </w:tr>
      <w:tr>
        <w:trPr/>
        <w:tc>
          <w:tcPr>
            <w:tcW w:w="394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12"/>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1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/s/ Kristin Dolan</w:t>
            </w:r>
          </w:p>
        </w:tc>
      </w:tr>
      <w:tr>
        <w:trPr/>
        <w:tc>
          <w:tcPr>
            <w:tcW w:w="177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14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4"/>
              </w:rPr>
            </w:pPr>
            <w:r>
              <w:rPr>
                <w:rFonts w:ascii="Times New Roman;serif" w:hAnsi="Times New Roman;serif"/>
                <w:b w:val="false"/>
                <w:color w:val="000000"/>
                <w:sz w:val="24"/>
              </w:rPr>
              <w:t>Kristin Dolan</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October 9, 2025</w:t>
      </w:r>
    </w:p>
    <w:p>
      <w:pPr>
        <w:pStyle w:val="TextBody"/>
        <w:bidi w:val="0"/>
        <w:spacing w:before="0" w:after="0"/>
        <w:jc w:val="both"/>
        <w:rPr/>
      </w:pPr>
      <w:r>
        <w:rPr/>
      </w:r>
    </w:p>
    <w:p>
      <w:pPr>
        <w:pStyle w:val="TextBody"/>
        <w:bidi w:val="0"/>
        <w:spacing w:before="0" w:after="0"/>
        <w:jc w:val="both"/>
        <w:rPr/>
      </w:pPr>
      <w:r>
        <w:rPr/>
        <w:drawing>
          <wp:inline distT="0" distB="0" distL="0" distR="0">
            <wp:extent cx="14605" cy="19050"/>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5"/>
                    <a:stretch>
                      <a:fillRect/>
                    </a:stretch>
                  </pic:blipFill>
                  <pic:spPr bwMode="auto">
                    <a:xfrm>
                      <a:off x="0" y="0"/>
                      <a:ext cx="14605" cy="19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ANNEX I</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Annex constitutes part of the Agreement dated October 9, 2025, by and between Kristin Dolan (“</w:t>
      </w:r>
      <w:r>
        <w:rPr>
          <w:rFonts w:ascii="Times New Roman;serif" w:hAnsi="Times New Roman;serif"/>
          <w:b w:val="false"/>
          <w:i/>
          <w:color w:val="000000"/>
          <w:sz w:val="24"/>
        </w:rPr>
        <w:t>You</w:t>
      </w:r>
      <w:r>
        <w:rPr>
          <w:color w:val="000000"/>
        </w:rPr>
        <w:t>”</w:t>
      </w:r>
      <w:r>
        <w:rPr>
          <w:rFonts w:ascii="Times New Roman;serif" w:hAnsi="Times New Roman;serif"/>
          <w:b w:val="false"/>
          <w:color w:val="000000"/>
          <w:sz w:val="24"/>
        </w:rPr>
        <w:t>) and AMC Networks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Terms defined in the Agreement shall have the same meanings in this Annex.</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agree to comply with the following covenants in addition to those set forth in the Agreement.</w:t>
      </w:r>
    </w:p>
    <w:p>
      <w:pPr>
        <w:pStyle w:val="TextBody"/>
        <w:bidi w:val="0"/>
        <w:spacing w:before="0" w:after="0"/>
        <w:jc w:val="both"/>
        <w:rPr/>
      </w:pPr>
      <w:r>
        <w:rPr/>
      </w:r>
    </w:p>
    <w:p>
      <w:pPr>
        <w:pStyle w:val="TextBody"/>
        <w:bidi w:val="0"/>
        <w:spacing w:lineRule="auto" w:line="30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Confidentiality.</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Agreement</w:t>
      </w:r>
      <w:r>
        <w:rPr>
          <w:rFonts w:ascii="Times New Roman;serif" w:hAnsi="Times New Roman;serif"/>
          <w:b w:val="false"/>
          <w:color w:val="000000"/>
          <w:sz w:val="24"/>
        </w:rPr>
        <w:t>. You agree to keep the existence and terms of this Agreement confidential (unless it is made public by the Company) </w:t>
      </w:r>
      <w:r>
        <w:rPr>
          <w:rFonts w:ascii="Times New Roman;serif" w:hAnsi="Times New Roman;serif"/>
          <w:b w:val="false"/>
          <w:i/>
          <w:color w:val="000000"/>
          <w:sz w:val="24"/>
        </w:rPr>
        <w:t>provided </w:t>
      </w:r>
      <w:r>
        <w:rPr>
          <w:rFonts w:ascii="Times New Roman;serif" w:hAnsi="Times New Roman;serif"/>
          <w:b w:val="false"/>
          <w:color w:val="000000"/>
          <w:sz w:val="24"/>
        </w:rPr>
        <w:t>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Confidential and Proprietary Information</w:t>
      </w:r>
      <w:r>
        <w:rPr>
          <w:rFonts w:ascii="Times New Roman;serif" w:hAnsi="Times New Roman;serif"/>
          <w:b w:val="false"/>
          <w:color w:val="000000"/>
          <w:sz w:val="24"/>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Times New Roman;serif" w:hAnsi="Times New Roman;serif"/>
          <w:b w:val="false"/>
          <w:i/>
          <w:color w:val="000000"/>
          <w:sz w:val="24"/>
        </w:rPr>
        <w:t>Confidential Information</w:t>
      </w:r>
      <w:r>
        <w:rPr>
          <w:color w:val="000000"/>
        </w:rPr>
        <w:t xml:space="preserve">” </w:t>
      </w:r>
      <w:r>
        <w:rPr>
          <w:rFonts w:ascii="Times New Roman;serif" w:hAnsi="Times New Roman;serif"/>
          <w:b w:val="false"/>
          <w:color w:val="000000"/>
          <w:sz w:val="24"/>
        </w:rPr>
        <w:t>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serif" w:hAnsi="Times New Roman;serif"/>
          <w:b w:val="false"/>
          <w:i/>
          <w:color w:val="000000"/>
          <w:sz w:val="24"/>
        </w:rPr>
        <w:t>Covered Parties</w:t>
      </w:r>
      <w:r>
        <w:rPr>
          <w:color w:val="000000"/>
        </w:rPr>
        <w:t>”</w:t>
      </w:r>
      <w:r>
        <w:rPr>
          <w:rFonts w:ascii="Times New Roman;serif" w:hAnsi="Times New Roman;serif"/>
          <w:b w:val="false"/>
          <w:color w:val="000000"/>
          <w:sz w:val="24"/>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Exception for Disclosure Pursuant to Law</w:t>
      </w:r>
      <w:r>
        <w:rPr>
          <w:rFonts w:ascii="Times New Roman;serif" w:hAnsi="Times New Roman;serif"/>
          <w:b w:val="false"/>
          <w:color w:val="000000"/>
          <w:sz w:val="24"/>
        </w:rPr>
        <w:t>. Notwithstanding the foregoing, the obligations set forth in subsection (b) above, other than with respect to subscriber or customer information, shall not apply to Confidential Information that is: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1)already in the public domain;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2100"/>
                <wp:effectExtent l="0" t="0" r="0" b="0"/>
                <wp:wrapNone/>
                <wp:docPr id="62" name="Frame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2)disclosed to you by a third party with the right to disclose it in good faith; or</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3)specifically exempted in writing by the applicable Covered Party from the applicability of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before="0" w:after="0"/>
        <w:ind w:left="0" w:right="0" w:firstLine="720"/>
        <w:jc w:val="both"/>
        <w:rPr/>
      </w:pPr>
      <w:r>
        <w:rPr/>
      </w:r>
    </w:p>
    <w:p>
      <w:pPr>
        <w:pStyle w:val="TextBody"/>
        <w:bidi w:val="0"/>
        <w:spacing w:lineRule="auto" w:line="30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Non-Compete</w:t>
      </w:r>
    </w:p>
    <w:p>
      <w:pPr>
        <w:pStyle w:val="TextBody"/>
        <w:bidi w:val="0"/>
        <w:spacing w:lineRule="auto" w:line="288" w:before="0" w:after="240"/>
        <w:jc w:val="both"/>
        <w:rPr/>
      </w:pPr>
      <w:r>
        <w:rPr>
          <w:rFonts w:ascii="Times New Roman;serif" w:hAnsi="Times New Roman;serif"/>
          <w:b w:val="false"/>
          <w:color w:val="000000"/>
          <w:sz w:val="24"/>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Times New Roman;serif" w:hAnsi="Times New Roman;serif"/>
          <w:b w:val="false"/>
          <w:i/>
          <w:color w:val="000000"/>
          <w:sz w:val="24"/>
        </w:rPr>
        <w:t>Competitive Entity</w:t>
      </w:r>
      <w:r>
        <w:rPr>
          <w:color w:val="000000"/>
        </w:rPr>
        <w:t xml:space="preserve">” </w:t>
      </w:r>
      <w:r>
        <w:rPr>
          <w:rFonts w:ascii="Times New Roman;serif" w:hAnsi="Times New Roman;serif"/>
          <w:b w:val="false"/>
          <w:color w:val="000000"/>
          <w:sz w:val="24"/>
        </w:rPr>
        <w:t>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pStyle w:val="TextBody"/>
        <w:bidi w:val="0"/>
        <w:spacing w:lineRule="auto" w:line="30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Additional Understanding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2100"/>
                <wp:effectExtent l="0" t="0" r="0" b="0"/>
                <wp:wrapNone/>
                <wp:docPr id="63" name="Frame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its affiliates or any of their respective incumbent or former officers, directors, agents, consultants, employees, successors and assigns.</w:t>
      </w:r>
    </w:p>
    <w:p>
      <w:pPr>
        <w:pStyle w:val="TextBody"/>
        <w:bidi w:val="0"/>
        <w:spacing w:lineRule="auto" w:line="288" w:before="0" w:after="0"/>
        <w:jc w:val="both"/>
        <w:rPr/>
      </w:pPr>
      <w:r>
        <w:rPr>
          <w:rFonts w:ascii="Times New Roman;serif" w:hAnsi="Times New Roman;serif"/>
          <w:b w:val="false"/>
          <w:color w:val="000000"/>
          <w:sz w:val="24"/>
        </w:rPr>
        <w:t>This Agreement in no way restricts or prevents you from providing truthful testimony concerning the Company or its affiliates (i) as required by court order or other legal process,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you afford the Company written notice and an opportunity to respond prior to such disclosure; or (ii) in proceedings to enforce or defend your rights under this Agreement or any other written agreement between you and the Company or its affiliates.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serif" w:hAnsi="Times New Roman;serif"/>
          <w:b w:val="false"/>
          <w:i/>
          <w:color w:val="000000"/>
          <w:sz w:val="24"/>
        </w:rPr>
        <w:t>Materials</w:t>
      </w:r>
      <w:r>
        <w:rPr>
          <w:color w:val="000000"/>
        </w:rPr>
        <w:t>”</w:t>
      </w:r>
      <w:r>
        <w:rPr>
          <w:rFonts w:ascii="Times New Roman;serif" w:hAnsi="Times New Roman;serif"/>
          <w:b w:val="false"/>
          <w:color w:val="000000"/>
          <w:sz w:val="24"/>
        </w:rPr>
        <w:t>). The Company will have the sole and exclusive authority to use the Materials in any manner that it deems appropriate, in perpetuity, without additional payment to you.</w:t>
      </w:r>
    </w:p>
    <w:p>
      <w:pPr>
        <w:pStyle w:val="TextBody"/>
        <w:bidi w:val="0"/>
        <w:spacing w:before="0" w:after="0"/>
        <w:jc w:val="both"/>
        <w:rPr/>
      </w:pPr>
      <w:r>
        <w:rPr/>
      </w:r>
    </w:p>
    <w:p>
      <w:pPr>
        <w:pStyle w:val="TextBody"/>
        <w:bidi w:val="0"/>
        <w:spacing w:lineRule="auto" w:line="30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Further Cooperation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Following the date of termination of your employment with the Company, unless you are continuing to provide services to the Company in some other capacity (including without limitation as a member of the Board),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2100"/>
                <wp:effectExtent l="0" t="0" r="0" b="0"/>
                <wp:wrapNone/>
                <wp:docPr id="64" name="Frame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No Hire or Solicit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restriction does not apply to any employee who was discharged by the Company or any of its affiliates. In addition, this restriction will not prevent you from providing references.</w:t>
      </w:r>
    </w:p>
    <w:p>
      <w:pPr>
        <w:pStyle w:val="TextBody"/>
        <w:bidi w:val="0"/>
        <w:spacing w:before="0" w:after="0"/>
        <w:ind w:left="0" w:right="0" w:firstLine="720"/>
        <w:jc w:val="both"/>
        <w:rPr/>
      </w:pPr>
      <w:r>
        <w:rPr/>
      </w:r>
    </w:p>
    <w:p>
      <w:pPr>
        <w:pStyle w:val="TextBody"/>
        <w:bidi w:val="0"/>
        <w:spacing w:lineRule="auto" w:line="30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Acknowledgments</w:t>
      </w:r>
    </w:p>
    <w:p>
      <w:pPr>
        <w:pStyle w:val="TextBody"/>
        <w:bidi w:val="0"/>
        <w:spacing w:lineRule="auto" w:line="288" w:before="0" w:after="240"/>
        <w:jc w:val="both"/>
        <w:rPr/>
      </w:pPr>
      <w:r>
        <w:rPr>
          <w:rFonts w:ascii="Times New Roman;serif" w:hAnsi="Times New Roman;serif"/>
          <w:b w:val="false"/>
          <w:color w:val="000000"/>
          <w:sz w:val="24"/>
        </w:rPr>
        <w:t>You acknowledge that the restrictions contained in this </w:t>
      </w:r>
      <w:r>
        <w:rPr>
          <w:rFonts w:ascii="Times New Roman;serif" w:hAnsi="Times New Roman;serif"/>
          <w:b w:val="false"/>
          <w:i/>
          <w:color w:val="000000"/>
          <w:sz w:val="24"/>
        </w:rPr>
        <w:t>Annex</w:t>
      </w:r>
      <w:r>
        <w:rPr>
          <w:rFonts w:ascii="Times New Roman;serif" w:hAnsi="Times New Roman;serif"/>
          <w:b w:val="false"/>
          <w:color w:val="000000"/>
          <w:sz w:val="24"/>
        </w:rPr>
        <w:t>,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serif" w:hAnsi="Times New Roman;serif"/>
          <w:b w:val="false"/>
          <w:i/>
          <w:color w:val="000000"/>
          <w:sz w:val="24"/>
        </w:rPr>
        <w:t>Annex</w:t>
      </w:r>
      <w:r>
        <w:rPr>
          <w:rFonts w:ascii="Times New Roman;serif" w:hAnsi="Times New Roman;serif"/>
          <w:b w:val="false"/>
          <w:color w:val="000000"/>
          <w:sz w:val="24"/>
        </w:rPr>
        <w:t>,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serif" w:hAnsi="Times New Roman;serif"/>
          <w:b w:val="false"/>
          <w:i/>
          <w:color w:val="000000"/>
          <w:sz w:val="24"/>
        </w:rPr>
        <w:t>Annex</w:t>
      </w:r>
      <w:r>
        <w:rPr>
          <w:rFonts w:ascii="Times New Roman;serif" w:hAnsi="Times New Roman;serif"/>
          <w:b w:val="false"/>
          <w:color w:val="000000"/>
          <w:sz w:val="24"/>
        </w:rPr>
        <w:t>, raise the defense that the Company has an adequate remedy at law. Nothing in this </w:t>
      </w:r>
      <w:r>
        <w:rPr>
          <w:rFonts w:ascii="Times New Roman;serif" w:hAnsi="Times New Roman;serif"/>
          <w:b w:val="false"/>
          <w:i/>
          <w:color w:val="000000"/>
          <w:sz w:val="24"/>
        </w:rPr>
        <w:t>Annex </w:t>
      </w:r>
      <w:r>
        <w:rPr>
          <w:rFonts w:ascii="Times New Roman;serif" w:hAnsi="Times New Roman;serif"/>
          <w:b w:val="false"/>
          <w:color w:val="000000"/>
          <w:sz w:val="24"/>
        </w:rPr>
        <w:t>shall be construed as prohibiting the Company from pursuing any other remedies at law or in equity that it may have or any other rights that it may have under any other agreement. If it is determined that any of the provisions of this </w:t>
      </w:r>
      <w:r>
        <w:rPr>
          <w:rFonts w:ascii="Times New Roman;serif" w:hAnsi="Times New Roman;serif"/>
          <w:b w:val="false"/>
          <w:i/>
          <w:color w:val="000000"/>
          <w:sz w:val="24"/>
        </w:rPr>
        <w:t>Annex, </w:t>
      </w:r>
      <w:r>
        <w:rPr>
          <w:rFonts w:ascii="Times New Roman;serif" w:hAnsi="Times New Roman;serif"/>
          <w:b w:val="false"/>
          <w:color w:val="000000"/>
          <w:sz w:val="24"/>
        </w:rPr>
        <w:t>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Annex,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Annex.</w:t>
      </w:r>
    </w:p>
    <w:p>
      <w:pPr>
        <w:pStyle w:val="TextBody"/>
        <w:bidi w:val="0"/>
        <w:spacing w:lineRule="auto" w:line="30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Survival</w:t>
      </w:r>
    </w:p>
    <w:p>
      <w:pPr>
        <w:pStyle w:val="TextBody"/>
        <w:bidi w:val="0"/>
        <w:spacing w:lineRule="auto" w:line="288" w:before="0" w:after="240"/>
        <w:jc w:val="both"/>
        <w:rPr/>
      </w:pPr>
      <w:r>
        <w:rPr>
          <w:rFonts w:ascii="Times New Roman;serif" w:hAnsi="Times New Roman;serif"/>
          <w:b w:val="false"/>
          <w:color w:val="000000"/>
          <w:sz w:val="24"/>
        </w:rPr>
        <w:t>The covenants and agreement set forth in this </w:t>
      </w:r>
      <w:r>
        <w:rPr>
          <w:rFonts w:ascii="Times New Roman;serif" w:hAnsi="Times New Roman;serif"/>
          <w:b w:val="false"/>
          <w:i/>
          <w:color w:val="000000"/>
          <w:sz w:val="24"/>
        </w:rPr>
        <w:t>Annex </w:t>
      </w:r>
      <w:r>
        <w:rPr>
          <w:rFonts w:ascii="Times New Roman;serif" w:hAnsi="Times New Roman;serif"/>
          <w:b w:val="false"/>
          <w:color w:val="000000"/>
          <w:sz w:val="24"/>
        </w:rPr>
        <w:t>shall survive any termination or expiration of this Agreement and any termination of your employment with the Company, in accordance with their respective terms.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2100"/>
                <wp:effectExtent l="0" t="0" r="0" b="0"/>
                <wp:wrapNone/>
                <wp:docPr id="65" name="Frame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36863017.9</w:t>
                      </w:r>
                    </w:p>
                  </w:txbxContent>
                </v:textbox>
                <w10:wrap type="none"/>
              </v:rect>
            </w:pict>
          </mc:Fallback>
        </mc:AlternateConten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RENEWAL CASH PERFORMANCE AWARD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Kristin Dolan </w:t>
        <w:br/>
        <w:br/>
        <w:t>October 9, 2025</w:t>
        <w:br/>
        <w:br/>
        <w:br/>
        <w:br/>
        <w:t>Dear Kristin:</w:t>
      </w:r>
    </w:p>
    <w:p>
      <w:pPr>
        <w:pStyle w:val="TextBody"/>
        <w:bidi w:val="0"/>
        <w:spacing w:lineRule="auto" w:line="288" w:before="0" w:after="240"/>
        <w:ind w:left="0" w:right="0" w:firstLine="720"/>
        <w:jc w:val="both"/>
        <w:rPr/>
      </w:pPr>
      <w:r>
        <w:rPr>
          <w:rFonts w:ascii="Times New Roman;serif" w:hAnsi="Times New Roman;serif"/>
          <w:b w:val="false"/>
          <w:color w:val="000000"/>
          <w:sz w:val="24"/>
        </w:rPr>
        <w:t>You have been granted by the Compensation Committee of the Board of Directors (as more fully described in Section 10,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of AMC Networks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October 9, 2025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a contingent cash award (the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The Award is subject to the terms and conditions set forth below:</w:t>
      </w:r>
    </w:p>
    <w:p>
      <w:pPr>
        <w:pStyle w:val="TextBody"/>
        <w:bidi w:val="0"/>
        <w:spacing w:lineRule="auto" w:line="240" w:before="0" w:after="240"/>
        <w:jc w:val="both"/>
        <w:rPr/>
      </w:pPr>
      <w:r>
        <w:rPr>
          <w:rFonts w:ascii="Times New Roman;serif" w:hAnsi="Times New Roman;serif"/>
          <w:b w:val="false"/>
          <w:i/>
          <w:color w:val="000000"/>
          <w:sz w:val="24"/>
        </w:rPr>
        <w:t>1.</w:t>
      </w:r>
      <w:r>
        <w:rPr>
          <w:rFonts w:ascii="Times New Roman;serif" w:hAnsi="Times New Roman;serif"/>
          <w:b w:val="false"/>
          <w:i/>
          <w:color w:val="000000"/>
          <w:sz w:val="24"/>
        </w:rPr>
        <w:t xml:space="preserve">Award. </w:t>
      </w:r>
      <w:r>
        <w:rPr>
          <w:rFonts w:ascii="Times New Roman;serif" w:hAnsi="Times New Roman;serif"/>
          <w:b w:val="false"/>
          <w:color w:val="000000"/>
          <w:sz w:val="24"/>
        </w:rPr>
        <w:t>In accordance with the terms of this Renewal Cash Performance Award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the target amount of your contingent Award is $3,000,000 (the “</w:t>
      </w:r>
      <w:r>
        <w:rPr>
          <w:rFonts w:ascii="Times New Roman;serif" w:hAnsi="Times New Roman;serif"/>
          <w:b w:val="false"/>
          <w:color w:val="000000"/>
          <w:sz w:val="24"/>
          <w:u w:val="single"/>
        </w:rPr>
        <w:t>Target Award</w:t>
      </w:r>
      <w:r>
        <w:rPr>
          <w:color w:val="000000"/>
        </w:rPr>
        <w:t>”</w:t>
      </w:r>
      <w:r>
        <w:rPr>
          <w:rFonts w:ascii="Times New Roman;serif" w:hAnsi="Times New Roman;serif"/>
          <w:b w:val="false"/>
          <w:color w:val="000000"/>
          <w:sz w:val="24"/>
        </w:rPr>
        <w:t>), which may be increased or decreased to the extent the price per share hurdles (the “</w:t>
      </w:r>
      <w:r>
        <w:rPr>
          <w:rFonts w:ascii="Times New Roman;serif" w:hAnsi="Times New Roman;serif"/>
          <w:b w:val="false"/>
          <w:color w:val="000000"/>
          <w:sz w:val="24"/>
          <w:u w:val="single"/>
        </w:rPr>
        <w:t>Stock Price Hurdles</w:t>
      </w:r>
      <w:r>
        <w:rPr>
          <w:color w:val="000000"/>
        </w:rPr>
        <w:t>”</w:t>
      </w:r>
      <w:r>
        <w:rPr>
          <w:rFonts w:ascii="Times New Roman;serif" w:hAnsi="Times New Roman;serif"/>
          <w:b w:val="false"/>
          <w:color w:val="000000"/>
          <w:sz w:val="24"/>
        </w:rPr>
        <w:t>) of the Company’s Class A Common Stock, par value $.01 per share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xml:space="preserve">) set forth on </w:t>
      </w:r>
      <w:r>
        <w:rPr>
          <w:rFonts w:ascii="Times New Roman;serif" w:hAnsi="Times New Roman;serif"/>
          <w:b w:val="false"/>
          <w:color w:val="000000"/>
          <w:sz w:val="24"/>
          <w:u w:val="single"/>
        </w:rPr>
        <w:t>Annex 2</w:t>
      </w:r>
      <w:r>
        <w:rPr>
          <w:color w:val="000000"/>
        </w:rPr>
        <w:t xml:space="preserve"> </w:t>
      </w:r>
      <w:r>
        <w:rPr>
          <w:rFonts w:ascii="Times New Roman;serif" w:hAnsi="Times New Roman;serif"/>
          <w:b w:val="false"/>
          <w:color w:val="000000"/>
          <w:sz w:val="24"/>
        </w:rPr>
        <w:t>hereto have been attained during the period from October 9, 2025 through December 31, 2028 (the “</w:t>
      </w:r>
      <w:r>
        <w:rPr>
          <w:rFonts w:ascii="Times New Roman;serif" w:hAnsi="Times New Roman;serif"/>
          <w:b w:val="false"/>
          <w:color w:val="000000"/>
          <w:sz w:val="24"/>
          <w:u w:val="single"/>
        </w:rPr>
        <w:t>Performance Period</w:t>
      </w:r>
      <w:r>
        <w:rPr>
          <w:color w:val="000000"/>
        </w:rPr>
        <w:t>”</w:t>
      </w:r>
      <w:r>
        <w:rPr>
          <w:rFonts w:ascii="Times New Roman;serif" w:hAnsi="Times New Roman;serif"/>
          <w:b w:val="false"/>
          <w:color w:val="000000"/>
          <w:sz w:val="24"/>
        </w:rPr>
        <w:t xml:space="preserve">). The applicable incremental percentage of the Target Award, as set forth in </w:t>
      </w:r>
      <w:r>
        <w:rPr>
          <w:rFonts w:ascii="Times New Roman;serif" w:hAnsi="Times New Roman;serif"/>
          <w:b w:val="false"/>
          <w:color w:val="000000"/>
          <w:sz w:val="24"/>
          <w:u w:val="single"/>
        </w:rPr>
        <w:t>Annex 2</w:t>
      </w:r>
      <w:r>
        <w:rPr>
          <w:color w:val="000000"/>
        </w:rPr>
        <w:t xml:space="preserve"> </w:t>
      </w:r>
      <w:r>
        <w:rPr>
          <w:rFonts w:ascii="Times New Roman;serif" w:hAnsi="Times New Roman;serif"/>
          <w:b w:val="false"/>
          <w:color w:val="000000"/>
          <w:sz w:val="24"/>
        </w:rPr>
        <w:t xml:space="preserve">attached hereto, will vest at the end of the Performance Period if the corresponding Stock Price Hurdle is achieved during the Performance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except as provided in Section 2 below, you have remained in the continuous employ of the Company or one of the AMC Subsidiaries (as defined in Section 13 below) from the Grant Date through such date. Any portion of the Award for which the applicable Stock Price Hurdle has been achieved prior to the end of the Performance Period will be payable to you in cash within fifteen (15) days following the end of the Performance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except as provided in Section 2, you have remained in the continuous employ of the Company or one of the AMC Subsidiaries from the Grant Date through the end of the Performance Period.</w:t>
      </w:r>
    </w:p>
    <w:p>
      <w:pPr>
        <w:pStyle w:val="TextBody"/>
        <w:bidi w:val="0"/>
        <w:spacing w:lineRule="auto" w:line="240" w:before="0" w:after="240"/>
        <w:jc w:val="both"/>
        <w:rPr/>
      </w:pPr>
      <w:r>
        <w:rPr>
          <w:rFonts w:ascii="Times New Roman;serif" w:hAnsi="Times New Roman;serif"/>
          <w:b w:val="false"/>
          <w:i/>
          <w:color w:val="000000"/>
          <w:sz w:val="24"/>
        </w:rPr>
        <w:t>2.</w:t>
      </w:r>
      <w:r>
        <w:rPr>
          <w:rFonts w:ascii="Times New Roman;serif" w:hAnsi="Times New Roman;serif"/>
          <w:b w:val="false"/>
          <w:i/>
          <w:color w:val="000000"/>
          <w:sz w:val="24"/>
        </w:rPr>
        <w:t xml:space="preserve">Termination of Employment. </w:t>
      </w:r>
      <w:r>
        <w:rPr>
          <w:rFonts w:ascii="Times New Roman;serif" w:hAnsi="Times New Roman;serif"/>
          <w:b w:val="false"/>
          <w:color w:val="000000"/>
          <w:sz w:val="24"/>
        </w:rPr>
        <w:t>If, prior to the end of the Performance Period, your continuous employment by the Company or one of the AMC Subsidiaries ends for any reason, then you will automatically forfeit all of your rights and interest in the Award, except as otherwise provided in the Employment Agreement, dated as of October 9, 2025, by and between you and the Company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 termination event in which you do not forfeit the Award as of the date of such termination event, as provided in the Employment Agreement, shall be referred to herein as a “</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i/>
          <w:color w:val="000000"/>
          <w:sz w:val="24"/>
        </w:rPr>
        <w:t>3.</w:t>
      </w:r>
      <w:r>
        <w:rPr>
          <w:rFonts w:ascii="Times New Roman;serif" w:hAnsi="Times New Roman;serif"/>
          <w:b w:val="false"/>
          <w:i/>
          <w:color w:val="000000"/>
          <w:sz w:val="24"/>
        </w:rPr>
        <w:t xml:space="preserve">Change of Control/Going Private Transaction. </w:t>
      </w:r>
      <w:r>
        <w:rPr>
          <w:rFonts w:ascii="Times New Roman;serif" w:hAnsi="Times New Roman;serif"/>
          <w:b w:val="false"/>
          <w:color w:val="000000"/>
          <w:sz w:val="24"/>
        </w:rPr>
        <w:t xml:space="preserve">As set forth in </w:t>
      </w:r>
      <w:r>
        <w:rPr>
          <w:rFonts w:ascii="Times New Roman;serif" w:hAnsi="Times New Roman;serif"/>
          <w:b w:val="false"/>
          <w:color w:val="000000"/>
          <w:sz w:val="24"/>
          <w:u w:val="single"/>
        </w:rPr>
        <w:t>Annex 1</w:t>
      </w:r>
      <w:r>
        <w:rPr>
          <w:color w:val="000000"/>
        </w:rPr>
        <w:t xml:space="preserve"> </w:t>
      </w:r>
      <w:r>
        <w:rPr>
          <w:rFonts w:ascii="Times New Roman;serif" w:hAnsi="Times New Roman;serif"/>
          <w:b w:val="false"/>
          <w:color w:val="000000"/>
          <w:sz w:val="24"/>
        </w:rPr>
        <w:t xml:space="preserve">attached hereto, your entitlement to the Award may be affected in the event of a Change of Control of the Company or a going-private transaction (each as defined in </w:t>
      </w:r>
      <w:r>
        <w:rPr>
          <w:rFonts w:ascii="Times New Roman;serif" w:hAnsi="Times New Roman;serif"/>
          <w:b w:val="false"/>
          <w:color w:val="000000"/>
          <w:sz w:val="24"/>
          <w:u w:val="single"/>
        </w:rPr>
        <w:t>Annex 1</w:t>
      </w:r>
      <w:r>
        <w:rPr>
          <w:color w:val="000000"/>
        </w:rPr>
        <w:t xml:space="preserve"> </w:t>
      </w:r>
      <w:r>
        <w:rPr>
          <w:rFonts w:ascii="Times New Roman;serif" w:hAnsi="Times New Roman;serif"/>
          <w:b w:val="false"/>
          <w:color w:val="000000"/>
          <w:sz w:val="24"/>
        </w:rPr>
        <w:t>attached hereto).</w:t>
      </w:r>
    </w:p>
    <w:p>
      <w:pPr>
        <w:pStyle w:val="TextBody"/>
        <w:bidi w:val="0"/>
        <w:spacing w:lineRule="auto" w:line="240" w:before="0" w:after="240"/>
        <w:jc w:val="both"/>
        <w:rPr/>
      </w:pPr>
      <w:r>
        <w:rPr>
          <w:rFonts w:ascii="Times New Roman;serif" w:hAnsi="Times New Roman;serif"/>
          <w:b w:val="false"/>
          <w:i/>
          <w:color w:val="000000"/>
          <w:sz w:val="24"/>
        </w:rPr>
        <w:t>4.</w:t>
      </w:r>
      <w:r>
        <w:rPr>
          <w:rFonts w:ascii="Times New Roman;serif" w:hAnsi="Times New Roman;serif"/>
          <w:b w:val="false"/>
          <w:i/>
          <w:color w:val="000000"/>
          <w:sz w:val="24"/>
        </w:rPr>
        <w:t xml:space="preserve">Termination. </w:t>
      </w:r>
      <w:r>
        <w:rPr>
          <w:rFonts w:ascii="Times New Roman;serif" w:hAnsi="Times New Roman;serif"/>
          <w:b w:val="false"/>
          <w:color w:val="000000"/>
          <w:sz w:val="24"/>
        </w:rPr>
        <w:t>Except for a right which has accrued to receive a payment on account of the Award, this Agreement shall automatically terminate and be of no further force and effect following the end of the Performance Period.</w:t>
      </w:r>
    </w:p>
    <w:p>
      <w:pPr>
        <w:pStyle w:val="TextBody"/>
        <w:bidi w:val="0"/>
        <w:spacing w:lineRule="auto" w:line="240" w:before="0" w:after="240"/>
        <w:jc w:val="both"/>
        <w:rPr/>
      </w:pPr>
      <w:r>
        <w:rPr>
          <w:rFonts w:ascii="Times New Roman;serif" w:hAnsi="Times New Roman;serif"/>
          <w:b w:val="false"/>
          <w:i/>
          <w:color w:val="000000"/>
          <w:sz w:val="24"/>
        </w:rPr>
        <w:t>5.</w:t>
      </w:r>
      <w:r>
        <w:rPr>
          <w:rFonts w:ascii="Times New Roman;serif" w:hAnsi="Times New Roman;serif"/>
          <w:b w:val="false"/>
          <w:i/>
          <w:color w:val="000000"/>
          <w:sz w:val="24"/>
        </w:rPr>
        <w:t>Transfer Restrictions.</w:t>
      </w:r>
      <w:r>
        <w:rPr>
          <w:color w:val="000000"/>
        </w:rPr>
        <w:t xml:space="preserve"> </w:t>
      </w:r>
      <w:r>
        <w:rPr>
          <w:rFonts w:ascii="Times New Roman;serif" w:hAnsi="Times New Roman;serif"/>
          <w:b w:val="false"/>
          <w:color w:val="000000"/>
          <w:sz w:val="24"/>
        </w:rPr>
        <w:t xml:space="preserve">Unless the Committee shall permit (on such terms and conditions as it shall establish) the Award to be transferred to a member of your immediate family or to a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trust or similar vehicle for the benefit of members of your immediate family, you may not transfer, assign, pledge or otherwise encumber the Award, except by will or by the laws of descent and distribution, and except to the extent required by law, none of your rights or interests under the Award shall be subject to any lien, obligation or liability.</w:t>
      </w:r>
    </w:p>
    <w:p>
      <w:pPr>
        <w:pStyle w:val="TextBody"/>
        <w:bidi w:val="0"/>
        <w:spacing w:lineRule="auto" w:line="240" w:before="0" w:after="240"/>
        <w:jc w:val="both"/>
        <w:rPr/>
      </w:pPr>
      <w:r>
        <w:rPr>
          <w:rFonts w:ascii="Times New Roman;serif" w:hAnsi="Times New Roman;serif"/>
          <w:b w:val="false"/>
          <w:i/>
          <w:color w:val="000000"/>
          <w:sz w:val="24"/>
        </w:rPr>
        <w:t>6.</w:t>
      </w:r>
      <w:r>
        <w:rPr>
          <w:rFonts w:ascii="Times New Roman;serif" w:hAnsi="Times New Roman;serif"/>
          <w:b w:val="false"/>
          <w:i/>
          <w:color w:val="000000"/>
          <w:sz w:val="24"/>
        </w:rPr>
        <w:t>Unfunded Obligation</w:t>
      </w:r>
      <w:r>
        <w:rPr>
          <w:rFonts w:ascii="Times New Roman;serif" w:hAnsi="Times New Roman;serif"/>
          <w:b w:val="false"/>
          <w:color w:val="000000"/>
          <w:sz w:val="24"/>
        </w:rPr>
        <w:t>. The Award will at all times be unfunded and, except as set forth in Section 8 or Annex I, no provision will at any time be made with respect to segregating any assets of the Company or any of its Affiliates for payment of any benefits under this Agreement. Your right or that of your estate to receive payments under this Agreement shall be an unsecured claim against the general assets of the Company, including any rabbi trust established pursuant to Section 8 or Annex I. Neither you nor your estate shall have any rights in or against any specific assets of the Company other than the assets held by the rabbi trust established pursuant to Section 8 or Annex I.</w:t>
      </w:r>
    </w:p>
    <w:p>
      <w:pPr>
        <w:pStyle w:val="TextBody"/>
        <w:bidi w:val="0"/>
        <w:spacing w:lineRule="auto" w:line="240" w:before="0" w:after="240"/>
        <w:jc w:val="both"/>
        <w:rPr/>
      </w:pPr>
      <w:r>
        <w:rPr>
          <w:rFonts w:ascii="Times New Roman;serif" w:hAnsi="Times New Roman;serif"/>
          <w:b w:val="false"/>
          <w:i/>
          <w:color w:val="000000"/>
          <w:sz w:val="24"/>
        </w:rPr>
        <w:t>7.</w:t>
      </w:r>
      <w:r>
        <w:rPr>
          <w:rFonts w:ascii="Times New Roman;serif" w:hAnsi="Times New Roman;serif"/>
          <w:b w:val="false"/>
          <w:i/>
          <w:color w:val="000000"/>
          <w:sz w:val="24"/>
        </w:rPr>
        <w:t>Tax Representations and Tax Withholding</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val="false"/>
          <w:i/>
          <w:color w:val="010000"/>
          <w:sz w:val="22"/>
        </w:rPr>
        <w:t>a.</w:t>
      </w:r>
      <w:r>
        <w:rPr>
          <w:rFonts w:ascii="Times New Roman;serif" w:hAnsi="Times New Roman;serif"/>
          <w:b w:val="false"/>
          <w:color w:val="000000"/>
          <w:sz w:val="24"/>
        </w:rPr>
        <w:t>You hereby acknowledge that you have reviewed with your own tax advisors the federal, state and local tax consequences of receiving the Award. You hereby represent to the Company that you are relying solely on such advisors and not on any statements or representations of the Company, its Affiliates or any of their respective agents. If, in connection with the Award, the Company is required to withhold any amounts by reason of any federal, state or local tax, such withholding shall be effected in accordance with Section 7(b) of this Agreement.</w:t>
      </w:r>
    </w:p>
    <w:p>
      <w:pPr>
        <w:pStyle w:val="TextBody"/>
        <w:bidi w:val="0"/>
        <w:spacing w:lineRule="auto" w:line="240" w:before="0" w:after="240"/>
        <w:ind w:left="0" w:right="0" w:hanging="720"/>
        <w:jc w:val="both"/>
        <w:rPr/>
      </w:pPr>
      <w:r>
        <w:rPr>
          <w:rFonts w:ascii="Times New Roman;serif" w:hAnsi="Times New Roman;serif"/>
          <w:b w:val="false"/>
          <w:i/>
          <w:color w:val="010000"/>
          <w:sz w:val="22"/>
        </w:rPr>
        <w:t>b.</w:t>
      </w:r>
      <w:r>
        <w:rPr>
          <w:rFonts w:ascii="Times New Roman;serif" w:hAnsi="Times New Roman;serif"/>
          <w:b w:val="false"/>
          <w:color w:val="000000"/>
          <w:sz w:val="24"/>
        </w:rPr>
        <w:t>If the Company or an Affiliate shall be required to withhold any amounts by reason of federal, state or local tax laws, rules or regulations in respect of the payment of the Award to you, the Company or an Affiliate shall be entitled to deduct or withhold such amounts from any cash payments made to you. In any event, you shall make available to the Company or Affiliate, promptly when requested by the Company or such Affiliate, sufficient funds to meet the requirements of such withholding and the Company or Affiliate shall be entitled to take and authorize such steps as it may deem advisable in order to have such funds made available to the Company or Affiliate out of any funds or property due to you.</w:t>
      </w:r>
    </w:p>
    <w:p>
      <w:pPr>
        <w:pStyle w:val="TextBody"/>
        <w:bidi w:val="0"/>
        <w:spacing w:lineRule="auto" w:line="240" w:before="0" w:after="240"/>
        <w:jc w:val="both"/>
        <w:rPr/>
      </w:pPr>
      <w:r>
        <w:rPr>
          <w:rFonts w:ascii="Times New Roman;serif" w:hAnsi="Times New Roman;serif"/>
          <w:b w:val="false"/>
          <w:i/>
          <w:color w:val="000000"/>
          <w:sz w:val="24"/>
        </w:rPr>
        <w:t>8.</w:t>
      </w:r>
      <w:r>
        <w:rPr>
          <w:rFonts w:ascii="Times New Roman;serif" w:hAnsi="Times New Roman;serif"/>
          <w:b w:val="false"/>
          <w:i/>
          <w:color w:val="000000"/>
          <w:sz w:val="24"/>
        </w:rPr>
        <w:t xml:space="preserve">Section 409A. </w:t>
      </w:r>
      <w:r>
        <w:rPr>
          <w:rFonts w:ascii="Times New Roman;serif" w:hAnsi="Times New Roman;serif"/>
          <w:b w:val="false"/>
          <w:color w:val="000000"/>
          <w:sz w:val="24"/>
        </w:rPr>
        <w:t>It is the Company’s intent that payments under this Agreement be exempt from, or comply with, the requirements of Section 409A of the Internal Revenue Code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and that the Agreement be administered and interpreted accordingly. Notwithstanding anything to the contrary contained in this Agreement or any employment agreement you have entered into with the Company, to the extent that any payment or benefit under this Agreement, or any other plan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in respect of the six month period specified in the preceding sentence will be (i) deposited in a trust in compliance with Rev. Proc. 92-64 (the “Rabbi Trust”), provided, however, that no payment will be made to the Rabbi Trust if it would be contrary to law or cause you to incur additional tax under Section 409A; and (ii) paid to you, together with interest on such delayed amount, at the rate equal to the average of the one-year SOFR fixed rate equivalent for the ten business days prior to the date of your separation from service (or your earlier death), in a lump sum as soon as practicable after the expiration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0220"/>
                <wp:effectExtent l="0" t="0" r="0" b="0"/>
                <wp:wrapNone/>
                <wp:docPr id="67" name="Frame65"/>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six month period. Each payment under this Agreement will be treated as a separate payment under Section 409A.</w:t>
      </w:r>
    </w:p>
    <w:p>
      <w:pPr>
        <w:pStyle w:val="TextBody"/>
        <w:bidi w:val="0"/>
        <w:spacing w:lineRule="auto" w:line="240" w:before="0" w:after="240"/>
        <w:jc w:val="both"/>
        <w:rPr/>
      </w:pPr>
      <w:r>
        <w:rPr>
          <w:rFonts w:ascii="Times New Roman;serif" w:hAnsi="Times New Roman;serif"/>
          <w:b w:val="false"/>
          <w:i/>
          <w:color w:val="000000"/>
          <w:sz w:val="24"/>
        </w:rPr>
        <w:t>9.</w:t>
      </w:r>
      <w:r>
        <w:rPr>
          <w:rFonts w:ascii="Times New Roman;serif" w:hAnsi="Times New Roman;serif"/>
          <w:b w:val="false"/>
          <w:i/>
          <w:color w:val="000000"/>
          <w:sz w:val="24"/>
        </w:rPr>
        <w:t>Right of Offset</w:t>
      </w:r>
      <w:r>
        <w:rPr>
          <w:rFonts w:ascii="Times New Roman;serif" w:hAnsi="Times New Roman;serif"/>
          <w:b w:val="false"/>
          <w:color w:val="000000"/>
          <w:sz w:val="24"/>
        </w:rPr>
        <w:t>. You hereby agree that the Company shall have the right to offset against its obligation to provide any payments due under this Agreement to the extent that it does not constitute “non-qualified deferred compensation” pursuant to Section 409A, any outstanding amounts of whatever nature that you then owe to the Company or any of the AMC Subsidiaries.</w:t>
      </w:r>
    </w:p>
    <w:p>
      <w:pPr>
        <w:pStyle w:val="TextBody"/>
        <w:bidi w:val="0"/>
        <w:spacing w:lineRule="auto" w:line="240" w:before="0" w:after="240"/>
        <w:jc w:val="both"/>
        <w:rPr/>
      </w:pPr>
      <w:r>
        <w:rPr>
          <w:rFonts w:ascii="Times New Roman;serif" w:hAnsi="Times New Roman;serif"/>
          <w:b w:val="false"/>
          <w:i/>
          <w:color w:val="000000"/>
          <w:sz w:val="24"/>
        </w:rPr>
        <w:t>10.</w:t>
      </w:r>
      <w:r>
        <w:rPr>
          <w:rFonts w:ascii="Times New Roman;serif" w:hAnsi="Times New Roman;serif"/>
          <w:b w:val="false"/>
          <w:i/>
          <w:color w:val="000000"/>
          <w:sz w:val="24"/>
        </w:rPr>
        <w:t>The Committee</w:t>
      </w:r>
      <w:r>
        <w:rPr>
          <w:rFonts w:ascii="Times New Roman;serif" w:hAnsi="Times New Roman;serif"/>
          <w:b w:val="false"/>
          <w:color w:val="000000"/>
          <w:sz w:val="24"/>
        </w:rPr>
        <w:t>. For purposes of this Agreement, the term “Committee” means the Compensation Committee of the Board of Directors of the Company (the “</w:t>
      </w:r>
      <w:r>
        <w:rPr>
          <w:rFonts w:ascii="Times New Roman;serif" w:hAnsi="Times New Roman;serif"/>
          <w:b w:val="false"/>
          <w:color w:val="000000"/>
          <w:sz w:val="24"/>
          <w:u w:val="single"/>
        </w:rPr>
        <w:t>Board of Directors</w:t>
      </w:r>
      <w:r>
        <w:rPr>
          <w:color w:val="000000"/>
        </w:rPr>
        <w:t>”</w:t>
      </w:r>
      <w:r>
        <w:rPr>
          <w:rFonts w:ascii="Times New Roman;serif" w:hAnsi="Times New Roman;serif"/>
          <w:b w:val="false"/>
          <w:color w:val="000000"/>
          <w:sz w:val="24"/>
        </w:rPr>
        <w:t>). The Award shall be administered by the Committee. Such members shall be appointed by, and shall serve at the pleasure of, the Board of Directors. Except as otherwise determined by the Board of Directors, the members of the Committee shall be “non-employee directors” as defined in Rule 16b-3 of the Securities Exchange Act of 1934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provided, however, that the failure of the Committee to be so comprised shall not cause the Award to be invalid. The Committee may delegate any of its powers under the Agreement to a subcommittee of the Committee (which hereinafter shall also be referred to as the Committee). The Committee may also delegate (i) to any person who is not a member of the Committee or (ii) to any administrative group within the Company, any of its powers, responsibilities or duties. In delegating its authority, the Committee shall consider the extent to which any delegation may cause the Award to fail to meet the requirements of Rule 16(b)-3(d)(1) or Rule 16(b)-3(e) under the Exchange Act </w:t>
      </w:r>
    </w:p>
    <w:p>
      <w:pPr>
        <w:pStyle w:val="TextBody"/>
        <w:bidi w:val="0"/>
        <w:spacing w:lineRule="auto" w:line="240" w:before="0" w:after="240"/>
        <w:jc w:val="both"/>
        <w:rPr/>
      </w:pPr>
      <w:r>
        <w:rPr>
          <w:rFonts w:ascii="Times New Roman;serif" w:hAnsi="Times New Roman;serif"/>
          <w:b w:val="false"/>
          <w:i/>
          <w:color w:val="000000"/>
          <w:sz w:val="24"/>
        </w:rPr>
        <w:t>11.</w:t>
      </w:r>
      <w:r>
        <w:rPr>
          <w:rFonts w:ascii="Times New Roman;serif" w:hAnsi="Times New Roman;serif"/>
          <w:b w:val="false"/>
          <w:i/>
          <w:color w:val="000000"/>
          <w:sz w:val="24"/>
        </w:rPr>
        <w:t>Committee Discretion</w:t>
      </w:r>
      <w:r>
        <w:rPr>
          <w:rFonts w:ascii="Times New Roman;serif" w:hAnsi="Times New Roman;serif"/>
          <w:b w:val="false"/>
          <w:color w:val="000000"/>
          <w:sz w:val="24"/>
        </w:rPr>
        <w:t>. The Committee has full discretion with respect to any actions to be taken or determinations to be made in connection with this Agreement, and its determinations shall be final, binding and conclusive.</w:t>
      </w:r>
    </w:p>
    <w:p>
      <w:pPr>
        <w:pStyle w:val="TextBody"/>
        <w:bidi w:val="0"/>
        <w:spacing w:lineRule="auto" w:line="240" w:before="0" w:after="240"/>
        <w:jc w:val="both"/>
        <w:rPr/>
      </w:pPr>
      <w:r>
        <w:rPr>
          <w:rFonts w:ascii="Times New Roman;serif" w:hAnsi="Times New Roman;serif"/>
          <w:b w:val="false"/>
          <w:i/>
          <w:color w:val="000000"/>
          <w:sz w:val="24"/>
        </w:rPr>
        <w:t>12.</w:t>
      </w:r>
      <w:r>
        <w:rPr>
          <w:rFonts w:ascii="Times New Roman;serif" w:hAnsi="Times New Roman;serif"/>
          <w:b w:val="false"/>
          <w:i/>
          <w:color w:val="000000"/>
          <w:sz w:val="24"/>
        </w:rPr>
        <w:t xml:space="preserve">Amendment. </w:t>
      </w:r>
      <w:r>
        <w:rPr>
          <w:rFonts w:ascii="Times New Roman;serif" w:hAnsi="Times New Roman;serif"/>
          <w:b w:val="false"/>
          <w:color w:val="000000"/>
          <w:sz w:val="24"/>
        </w:rPr>
        <w:t>The Committee reserves the right at any time to amend the terms and conditions set forth in this Agreement, except that the Committee shall not make any amendment or revision in a manner unfavorable to you (other than amendments or revisions that are, individually and in the aggregate, immaterial), without your consent. Any amendment of this Agreement shall be in writing and signed by an authorized member of the Committee or a person or persons designated by the Committee.</w:t>
      </w:r>
    </w:p>
    <w:p>
      <w:pPr>
        <w:pStyle w:val="TextBody"/>
        <w:bidi w:val="0"/>
        <w:spacing w:lineRule="auto" w:line="240" w:before="0" w:after="240"/>
        <w:jc w:val="both"/>
        <w:rPr/>
      </w:pPr>
      <w:r>
        <w:rPr>
          <w:rFonts w:ascii="Times New Roman;serif" w:hAnsi="Times New Roman;serif"/>
          <w:b w:val="false"/>
          <w:i/>
          <w:color w:val="000000"/>
          <w:sz w:val="24"/>
        </w:rPr>
        <w:t>13.</w:t>
      </w:r>
      <w:r>
        <w:rPr>
          <w:rFonts w:ascii="Times New Roman;serif" w:hAnsi="Times New Roman;serif"/>
          <w:b w:val="false"/>
          <w:i/>
          <w:color w:val="000000"/>
          <w:sz w:val="24"/>
        </w:rPr>
        <w:t xml:space="preserve">AMC Subsidiaries. </w:t>
      </w:r>
      <w:r>
        <w:rPr>
          <w:rFonts w:ascii="Times New Roman;serif" w:hAnsi="Times New Roman;serif"/>
          <w:b w:val="false"/>
          <w:color w:val="000000"/>
          <w:sz w:val="24"/>
        </w:rPr>
        <w:t>For purposes of this Agreement, “AMC Subsidiaries” shall mean the direct or indirect subsidiaries of the Company (or, in the case of a going private transaction or Change of Control, the direct or indirect subsidiaries of the Surviving Entity).</w:t>
      </w:r>
    </w:p>
    <w:p>
      <w:pPr>
        <w:pStyle w:val="TextBody"/>
        <w:bidi w:val="0"/>
        <w:spacing w:lineRule="auto" w:line="240" w:before="0" w:after="240"/>
        <w:jc w:val="both"/>
        <w:rPr/>
      </w:pPr>
      <w:r>
        <w:rPr>
          <w:rFonts w:ascii="Times New Roman;serif" w:hAnsi="Times New Roman;serif"/>
          <w:b w:val="false"/>
          <w:i/>
          <w:color w:val="000000"/>
          <w:sz w:val="24"/>
        </w:rPr>
        <w:t>14.</w:t>
      </w:r>
      <w:r>
        <w:rPr>
          <w:rFonts w:ascii="Times New Roman;serif" w:hAnsi="Times New Roman;serif"/>
          <w:b w:val="false"/>
          <w:i/>
          <w:color w:val="000000"/>
          <w:sz w:val="24"/>
        </w:rPr>
        <w:t xml:space="preserve">Entire Agreement. </w:t>
      </w:r>
      <w:r>
        <w:rPr>
          <w:rFonts w:ascii="Times New Roman;serif" w:hAnsi="Times New Roman;serif"/>
          <w:b w:val="false"/>
          <w:color w:val="000000"/>
          <w:sz w:val="24"/>
        </w:rPr>
        <w:t>Except for the Employment Agreement (as may be modified, renewed or replaced), this Agreement constitutes the entire understanding and agreement of you and the Company with respect to the Award and supersedes all prior understandings and agreements. In the event of a conflict among the documents with respect to the terms and conditions of the Award covered hereby, the documents will be accorded the following order of authority: the terms and conditions of the Employment Agreement, if any, will have highest authority, followed by the terms and conditions of this Agreement.</w:t>
      </w:r>
    </w:p>
    <w:p>
      <w:pPr>
        <w:pStyle w:val="TextBody"/>
        <w:bidi w:val="0"/>
        <w:spacing w:lineRule="auto" w:line="240" w:before="0" w:after="240"/>
        <w:jc w:val="both"/>
        <w:rPr/>
      </w:pPr>
      <w:r>
        <w:rPr>
          <w:rFonts w:ascii="Times New Roman;serif" w:hAnsi="Times New Roman;serif"/>
          <w:b w:val="false"/>
          <w:i/>
          <w:color w:val="000000"/>
          <w:sz w:val="24"/>
        </w:rPr>
        <w:t>15.</w:t>
      </w:r>
      <w:r>
        <w:rPr>
          <w:rFonts w:ascii="Times New Roman;serif" w:hAnsi="Times New Roman;serif"/>
          <w:b w:val="false"/>
          <w:i/>
          <w:color w:val="000000"/>
          <w:sz w:val="24"/>
        </w:rPr>
        <w:t xml:space="preserve">Successors and Assigns. </w:t>
      </w:r>
      <w:r>
        <w:rPr>
          <w:rFonts w:ascii="Times New Roman;serif" w:hAnsi="Times New Roman;serif"/>
          <w:b w:val="false"/>
          <w:color w:val="000000"/>
          <w:sz w:val="24"/>
        </w:rPr>
        <w:t>The terms and conditions of this Agreement shall be binding upon, and shall inure to the benefit of, the parties and their respective successors and permitted assigns.</w:t>
      </w:r>
    </w:p>
    <w:p>
      <w:pPr>
        <w:pStyle w:val="TextBody"/>
        <w:bidi w:val="0"/>
        <w:spacing w:lineRule="auto" w:line="240" w:before="0" w:after="240"/>
        <w:jc w:val="both"/>
        <w:rPr/>
      </w:pPr>
      <w:r>
        <w:rPr>
          <w:rFonts w:ascii="Times New Roman;serif" w:hAnsi="Times New Roman;serif"/>
          <w:b w:val="false"/>
          <w:i/>
          <w:color w:val="000000"/>
          <w:sz w:val="24"/>
        </w:rPr>
        <w:t>16.</w:t>
      </w:r>
      <w:r>
        <w:rPr>
          <w:rFonts w:ascii="Times New Roman;serif" w:hAnsi="Times New Roman;serif"/>
          <w:b w:val="false"/>
          <w:i/>
          <w:color w:val="000000"/>
          <w:sz w:val="24"/>
        </w:rPr>
        <w:t xml:space="preserve">Governing Law. </w:t>
      </w:r>
      <w:r>
        <w:rPr>
          <w:rFonts w:ascii="Times New Roman;serif" w:hAnsi="Times New Roman;serif"/>
          <w:b w:val="false"/>
          <w:color w:val="000000"/>
          <w:sz w:val="24"/>
        </w:rPr>
        <w:t>This Agreement shall be deemed to be made under, and in all respects be interpreted, construed and governed by and in accordance with, the laws of the State of New York without regard to conflict of law principles.</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0220"/>
                <wp:effectExtent l="0" t="0" r="0" b="0"/>
                <wp:wrapNone/>
                <wp:docPr id="68" name="Frame66"/>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4"/>
        </w:rPr>
        <w:t>17.</w:t>
      </w:r>
      <w:r>
        <w:rPr>
          <w:rFonts w:ascii="Times New Roman;serif" w:hAnsi="Times New Roman;serif"/>
          <w:b w:val="false"/>
          <w:i/>
          <w:color w:val="000000"/>
          <w:sz w:val="24"/>
        </w:rPr>
        <w:t xml:space="preserve">Jurisdiction and Venue. </w:t>
      </w:r>
      <w:r>
        <w:rPr>
          <w:rFonts w:ascii="Times New Roman;serif" w:hAnsi="Times New Roman;serif"/>
          <w:b w:val="false"/>
          <w:color w:val="000000"/>
          <w:sz w:val="24"/>
        </w:rPr>
        <w:t>You and the Company irrevocably submit to the jurisdiction of the courts of the State of New York and the Federal courts of the United States for the Southern District of New York located, in each case, in New York County New York in respect of the interpretation and enforcement of the provisions of this Agreement, and hereby waive, and agree not to assert, as a defense that you or the Company, as the case may be, are not subject thereto or that the venue thereof may not be appropriate. You and the Company agree that the mailing of process or other papers in connection with any action or proceeding in any manner permitted by law shall be valid and sufficient service.</w:t>
      </w:r>
    </w:p>
    <w:p>
      <w:pPr>
        <w:pStyle w:val="TextBody"/>
        <w:bidi w:val="0"/>
        <w:spacing w:lineRule="auto" w:line="240" w:before="0" w:after="240"/>
        <w:jc w:val="both"/>
        <w:rPr/>
      </w:pPr>
      <w:r>
        <w:rPr>
          <w:rFonts w:ascii="Times New Roman;serif" w:hAnsi="Times New Roman;serif"/>
          <w:b w:val="false"/>
          <w:i/>
          <w:color w:val="000000"/>
          <w:sz w:val="24"/>
        </w:rPr>
        <w:t>18.</w:t>
      </w:r>
      <w:r>
        <w:rPr>
          <w:rFonts w:ascii="Times New Roman;serif" w:hAnsi="Times New Roman;serif"/>
          <w:b w:val="false"/>
          <w:i/>
          <w:color w:val="000000"/>
          <w:sz w:val="24"/>
        </w:rPr>
        <w:t>Waiver</w:t>
      </w:r>
      <w:r>
        <w:rPr>
          <w:rFonts w:ascii="Times New Roman;serif" w:hAnsi="Times New Roman;serif"/>
          <w:b w:val="false"/>
          <w:color w:val="000000"/>
          <w:sz w:val="24"/>
        </w:rPr>
        <w:t>. No waiver by the Company at any time of any breach by you of, or compliance with, any term or condition of this Agreement to be performed by you shall be deemed a waiver of the same, any similar or any dissimilar term or condition at the same or at any prior or subsequent time.</w:t>
      </w:r>
    </w:p>
    <w:p>
      <w:pPr>
        <w:pStyle w:val="TextBody"/>
        <w:bidi w:val="0"/>
        <w:spacing w:lineRule="auto" w:line="240" w:before="0" w:after="240"/>
        <w:jc w:val="both"/>
        <w:rPr/>
      </w:pPr>
      <w:r>
        <w:rPr>
          <w:rFonts w:ascii="Times New Roman;serif" w:hAnsi="Times New Roman;serif"/>
          <w:b w:val="false"/>
          <w:i/>
          <w:color w:val="000000"/>
          <w:sz w:val="24"/>
        </w:rPr>
        <w:t>19.</w:t>
      </w:r>
      <w:r>
        <w:rPr>
          <w:rFonts w:ascii="Times New Roman;serif" w:hAnsi="Times New Roman;serif"/>
          <w:b w:val="false"/>
          <w:i/>
          <w:color w:val="000000"/>
          <w:sz w:val="24"/>
        </w:rPr>
        <w:t>Severability</w:t>
      </w:r>
      <w:r>
        <w:rPr>
          <w:rFonts w:ascii="Times New Roman;serif" w:hAnsi="Times New Roman;serif"/>
          <w:b w:val="false"/>
          <w:color w:val="000000"/>
          <w:sz w:val="24"/>
        </w:rPr>
        <w:t>. The provisions of this Agreement shall be deemed severable and the invalidity or unenforceability of any term or condition hereof shall not affect the validity or enforceability of the other terms and conditions set forth herein.</w:t>
      </w:r>
    </w:p>
    <w:p>
      <w:pPr>
        <w:pStyle w:val="TextBody"/>
        <w:bidi w:val="0"/>
        <w:spacing w:lineRule="auto" w:line="240" w:before="0" w:after="240"/>
        <w:jc w:val="both"/>
        <w:rPr/>
      </w:pPr>
      <w:r>
        <w:rPr>
          <w:rFonts w:ascii="Times New Roman;serif" w:hAnsi="Times New Roman;serif"/>
          <w:b w:val="false"/>
          <w:i/>
          <w:color w:val="000000"/>
          <w:sz w:val="24"/>
        </w:rPr>
        <w:t>20.</w:t>
      </w:r>
      <w:r>
        <w:rPr>
          <w:rFonts w:ascii="Times New Roman;serif" w:hAnsi="Times New Roman;serif"/>
          <w:b w:val="false"/>
          <w:i/>
          <w:color w:val="000000"/>
          <w:sz w:val="24"/>
        </w:rPr>
        <w:t>Exclusion from Compensation Calculation</w:t>
      </w:r>
      <w:r>
        <w:rPr>
          <w:rFonts w:ascii="Times New Roman;serif" w:hAnsi="Times New Roman;serif"/>
          <w:b w:val="false"/>
          <w:color w:val="000000"/>
          <w:sz w:val="24"/>
        </w:rPr>
        <w:t>. By acceptance of this Agreement, you shall be deemed to be in agreement that the Award shall be considered special incentive compensation and will be exempt from inclusion as “wages” or “salary” in pension, retirement, life insurance and other employee benefits arrangements of the Company and its Affiliates, except as determined otherwise by the Company. In addition, each of your beneficiaries shall be deemed to be in agreement that the Award shall be exempt from inclusion in “wages” or “salary” for purposes of calculating benefits of any life insurance coverage sponsored by the Company or any of its Affiliates.</w:t>
      </w:r>
    </w:p>
    <w:p>
      <w:pPr>
        <w:pStyle w:val="TextBody"/>
        <w:bidi w:val="0"/>
        <w:spacing w:lineRule="auto" w:line="240" w:before="0" w:after="240"/>
        <w:jc w:val="both"/>
        <w:rPr/>
      </w:pPr>
      <w:r>
        <w:rPr>
          <w:rFonts w:ascii="Times New Roman;serif" w:hAnsi="Times New Roman;serif"/>
          <w:b w:val="false"/>
          <w:i/>
          <w:color w:val="000000"/>
          <w:sz w:val="24"/>
        </w:rPr>
        <w:t>21.</w:t>
      </w:r>
      <w:r>
        <w:rPr>
          <w:rFonts w:ascii="Times New Roman;serif" w:hAnsi="Times New Roman;serif"/>
          <w:b w:val="false"/>
          <w:i/>
          <w:color w:val="000000"/>
          <w:sz w:val="24"/>
        </w:rPr>
        <w:t>No Right to Continued Employment</w:t>
      </w:r>
      <w:r>
        <w:rPr>
          <w:rFonts w:ascii="Times New Roman;serif" w:hAnsi="Times New Roman;serif"/>
          <w:b w:val="false"/>
          <w:color w:val="000000"/>
          <w:sz w:val="24"/>
        </w:rPr>
        <w:t>. Nothing contained in this Agreement shall be construed to confer on you any right to continue in the employ of the Company or any Affiliate, or derogate from the right of the Company or any Affiliate, as applicable, to retire, request the resignation of, or discharge you, at any time, with or without cause.</w:t>
      </w:r>
    </w:p>
    <w:p>
      <w:pPr>
        <w:pStyle w:val="TextBody"/>
        <w:bidi w:val="0"/>
        <w:spacing w:lineRule="auto" w:line="240" w:before="0" w:after="240"/>
        <w:jc w:val="both"/>
        <w:rPr/>
      </w:pPr>
      <w:r>
        <w:rPr>
          <w:rFonts w:ascii="Times New Roman;serif" w:hAnsi="Times New Roman;serif"/>
          <w:b w:val="false"/>
          <w:i/>
          <w:color w:val="000000"/>
          <w:sz w:val="24"/>
        </w:rPr>
        <w:t>22.</w:t>
      </w:r>
      <w:r>
        <w:rPr>
          <w:rFonts w:ascii="Times New Roman;serif" w:hAnsi="Times New Roman;serif"/>
          <w:b w:val="false"/>
          <w:i/>
          <w:color w:val="000000"/>
          <w:sz w:val="24"/>
        </w:rPr>
        <w:t>Clawback</w:t>
      </w:r>
      <w:r>
        <w:rPr>
          <w:rFonts w:ascii="Times New Roman;serif" w:hAnsi="Times New Roman;serif"/>
          <w:b w:val="false"/>
          <w:color w:val="000000"/>
          <w:sz w:val="24"/>
        </w:rPr>
        <w:t>. To the extent the Award is subject to recovery under any law, government regulation or stock exchange listing requirement, the Award will be subject to such deductions and clawback as may be required to be made pursuant to such law, government regulation or stock exchange listing requirement, or the AMC Networks, Inc. Clawback Policy.</w:t>
      </w:r>
    </w:p>
    <w:p>
      <w:pPr>
        <w:pStyle w:val="TextBody"/>
        <w:bidi w:val="0"/>
        <w:spacing w:lineRule="auto" w:line="240" w:before="0" w:after="240"/>
        <w:jc w:val="both"/>
        <w:rPr/>
      </w:pPr>
      <w:r>
        <w:rPr>
          <w:rFonts w:ascii="Times New Roman;serif" w:hAnsi="Times New Roman;serif"/>
          <w:b w:val="false"/>
          <w:i/>
          <w:color w:val="000000"/>
          <w:sz w:val="24"/>
        </w:rPr>
        <w:t>23.</w:t>
      </w:r>
      <w:r>
        <w:rPr>
          <w:rFonts w:ascii="Times New Roman;serif" w:hAnsi="Times New Roman;serif"/>
          <w:b w:val="false"/>
          <w:i/>
          <w:color w:val="000000"/>
          <w:sz w:val="24"/>
        </w:rPr>
        <w:t>Restrictive Covenants</w:t>
      </w:r>
      <w:r>
        <w:rPr>
          <w:rFonts w:ascii="Times New Roman;serif" w:hAnsi="Times New Roman;serif"/>
          <w:b w:val="false"/>
          <w:color w:val="000000"/>
          <w:sz w:val="24"/>
        </w:rPr>
        <w:t xml:space="preserve">. You agree to be bound by the restrictive covenants set forth in </w:t>
      </w:r>
      <w:r>
        <w:rPr>
          <w:rFonts w:ascii="Times New Roman;serif" w:hAnsi="Times New Roman;serif"/>
          <w:b w:val="false"/>
          <w:color w:val="000000"/>
          <w:sz w:val="24"/>
          <w:u w:val="single"/>
        </w:rPr>
        <w:t>Annex 1</w:t>
      </w:r>
      <w:r>
        <w:rPr>
          <w:color w:val="000000"/>
        </w:rPr>
        <w:t xml:space="preserve"> </w:t>
      </w:r>
      <w:r>
        <w:rPr>
          <w:rFonts w:ascii="Times New Roman;serif" w:hAnsi="Times New Roman;serif"/>
          <w:b w:val="false"/>
          <w:color w:val="000000"/>
          <w:sz w:val="24"/>
        </w:rPr>
        <w:t>of your Employment Agreement in accordance with their terms.</w:t>
      </w:r>
    </w:p>
    <w:p>
      <w:pPr>
        <w:pStyle w:val="TextBody"/>
        <w:bidi w:val="0"/>
        <w:spacing w:lineRule="auto" w:line="240" w:before="0" w:after="240"/>
        <w:jc w:val="both"/>
        <w:rPr/>
      </w:pPr>
      <w:r>
        <w:rPr>
          <w:rFonts w:ascii="Times New Roman;serif" w:hAnsi="Times New Roman;serif"/>
          <w:b w:val="false"/>
          <w:i/>
          <w:color w:val="000000"/>
          <w:sz w:val="24"/>
        </w:rPr>
        <w:t>24.</w:t>
      </w:r>
      <w:r>
        <w:rPr>
          <w:rFonts w:ascii="Times New Roman;serif" w:hAnsi="Times New Roman;serif"/>
          <w:b w:val="false"/>
          <w:i/>
          <w:color w:val="000000"/>
          <w:sz w:val="24"/>
        </w:rPr>
        <w:t xml:space="preserve">Headings. </w:t>
      </w:r>
      <w:r>
        <w:rPr>
          <w:rFonts w:ascii="Times New Roman;serif" w:hAnsi="Times New Roman;serif"/>
          <w:b w:val="false"/>
          <w:color w:val="000000"/>
          <w:sz w:val="24"/>
        </w:rPr>
        <w:t>The headings in this Agreement are for purposes of convenience only and are not intended to define or limit the construction of the terms and conditions of this Agreement.</w:t>
      </w:r>
    </w:p>
    <w:p>
      <w:pPr>
        <w:pStyle w:val="TextBody"/>
        <w:bidi w:val="0"/>
        <w:spacing w:lineRule="auto" w:line="240" w:before="0" w:after="240"/>
        <w:jc w:val="both"/>
        <w:rPr/>
      </w:pPr>
      <w:r>
        <w:rPr>
          <w:rFonts w:ascii="Times New Roman;serif" w:hAnsi="Times New Roman;serif"/>
          <w:b w:val="false"/>
          <w:i/>
          <w:color w:val="000000"/>
          <w:sz w:val="24"/>
        </w:rPr>
        <w:t>25.</w:t>
      </w:r>
      <w:r>
        <w:rPr>
          <w:rFonts w:ascii="Times New Roman;serif" w:hAnsi="Times New Roman;serif"/>
          <w:b w:val="false"/>
          <w:i/>
          <w:color w:val="000000"/>
          <w:sz w:val="24"/>
        </w:rPr>
        <w:t xml:space="preserve">Effective Date. </w:t>
      </w:r>
      <w:r>
        <w:rPr>
          <w:rFonts w:ascii="Times New Roman;serif" w:hAnsi="Times New Roman;serif"/>
          <w:b w:val="false"/>
          <w:color w:val="000000"/>
          <w:sz w:val="24"/>
        </w:rPr>
        <w:t>Upon execution by you, this Agreement shall be effective from and as of the Grant Date.</w:t>
      </w:r>
    </w:p>
    <w:p>
      <w:pPr>
        <w:pStyle w:val="TextBody"/>
        <w:bidi w:val="0"/>
        <w:spacing w:lineRule="auto" w:line="240" w:before="0" w:after="240"/>
        <w:jc w:val="both"/>
        <w:rPr/>
      </w:pPr>
      <w:r>
        <w:rPr>
          <w:rFonts w:ascii="Times New Roman;serif" w:hAnsi="Times New Roman;serif"/>
          <w:b w:val="false"/>
          <w:i/>
          <w:color w:val="000000"/>
          <w:sz w:val="24"/>
        </w:rPr>
        <w:t>26.</w:t>
      </w:r>
      <w:r>
        <w:rPr>
          <w:rFonts w:ascii="Times New Roman;serif" w:hAnsi="Times New Roman;serif"/>
          <w:b w:val="false"/>
          <w:i/>
          <w:color w:val="000000"/>
          <w:sz w:val="24"/>
        </w:rPr>
        <w:t xml:space="preserve">Signatures. </w:t>
      </w:r>
      <w:r>
        <w:rPr>
          <w:rFonts w:ascii="Times New Roman;serif" w:hAnsi="Times New Roman;serif"/>
          <w:b w:val="false"/>
          <w:color w:val="000000"/>
          <w:sz w:val="24"/>
        </w:rPr>
        <w:t>Execution of this Agreement by the Company and/or you may be in the form of an electronic, manual or similar signature, and such signature shall be treated as an original signature for all purposes.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0220"/>
                <wp:effectExtent l="0" t="0" r="0" b="0"/>
                <wp:wrapNone/>
                <wp:docPr id="69" name="Frame67"/>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0" w:after="480"/>
        <w:jc w:val="left"/>
        <w:rPr/>
      </w:pPr>
      <w:r>
        <w:rPr>
          <w:rFonts w:ascii="Times New Roman;serif" w:hAnsi="Times New Roman;serif"/>
          <w:b w:val="false"/>
          <w:color w:val="000000"/>
          <w:sz w:val="24"/>
        </w:rPr>
        <w:t>AMC NETWORKS INC.</w:t>
        <w:br/>
        <w:br/>
        <w:br/>
        <w:t xml:space="preserve">By: </w:t>
      </w:r>
      <w:r>
        <w:rPr>
          <w:rFonts w:ascii="Times New Roman;serif" w:hAnsi="Times New Roman;serif"/>
          <w:b w:val="false"/>
          <w:color w:val="000000"/>
          <w:sz w:val="24"/>
          <w:u w:val="single"/>
        </w:rPr>
        <w:t>/s/ Sal Romanello    </w:t>
      </w:r>
      <w:r>
        <w:rPr>
          <w:rFonts w:ascii="Times New Roman;serif" w:hAnsi="Times New Roman;serif"/>
          <w:b w:val="false"/>
          <w:color w:val="000000"/>
          <w:sz w:val="24"/>
        </w:rPr>
        <w:br/>
        <w:br/>
        <w:t>    Name: Sal Romanello</w:t>
        <w:br/>
        <w:t>    Title: Executive Vice President and General Counsel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your signature below, you (i) acknowledge that a complete copy of this Agreement has been made available to you and (ii) agree to all of the terms and conditions set forth in this Agreement.</w:t>
      </w:r>
    </w:p>
    <w:tbl>
      <w:tblPr>
        <w:tblW w:w="3459" w:type="dxa"/>
        <w:jc w:val="left"/>
        <w:tblInd w:w="0" w:type="dxa"/>
        <w:tblLayout w:type="fixed"/>
        <w:tblCellMar>
          <w:top w:w="28" w:type="dxa"/>
          <w:left w:w="28" w:type="dxa"/>
          <w:bottom w:w="28" w:type="dxa"/>
          <w:right w:w="28" w:type="dxa"/>
        </w:tblCellMar>
      </w:tblPr>
      <w:tblGrid>
        <w:gridCol w:w="375"/>
        <w:gridCol w:w="329"/>
        <w:gridCol w:w="329"/>
        <w:gridCol w:w="329"/>
        <w:gridCol w:w="329"/>
        <w:gridCol w:w="329"/>
        <w:gridCol w:w="415"/>
        <w:gridCol w:w="415"/>
        <w:gridCol w:w="609"/>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45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tc>
      </w:tr>
      <w:tr>
        <w:trPr/>
        <w:tc>
          <w:tcPr>
            <w:tcW w:w="34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42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Kristin Dolan</w:t>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Kristin Dolan</w:t>
            </w:r>
          </w:p>
        </w:tc>
      </w:tr>
    </w:tbl>
    <w:p>
      <w:pPr>
        <w:pStyle w:val="TextBody"/>
        <w:bidi w:val="0"/>
        <w:spacing w:before="0" w:after="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Annex 1</w:t>
        <w:br/>
        <w:t>to</w:t>
        <w:br/>
      </w:r>
      <w:r>
        <w:rPr>
          <w:rFonts w:ascii="Times New Roman;serif" w:hAnsi="Times New Roman;serif"/>
          <w:b/>
          <w:color w:val="000000"/>
          <w:sz w:val="24"/>
          <w:u w:val="single"/>
        </w:rPr>
        <w:t>Renewal Cash Performance Award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1.</w:t>
      </w:r>
      <w:r>
        <w:rPr>
          <w:rFonts w:ascii="Times New Roman;serif" w:hAnsi="Times New Roman;serif"/>
          <w:b w:val="false"/>
          <w:i/>
          <w:color w:val="000000"/>
          <w:sz w:val="24"/>
        </w:rPr>
        <w:t>Going Private Transaction or Change of Control</w:t>
      </w:r>
      <w:r>
        <w:rPr>
          <w:rFonts w:ascii="Times New Roman;serif" w:hAnsi="Times New Roman;serif"/>
          <w:b w:val="false"/>
          <w:color w:val="000000"/>
          <w:sz w:val="24"/>
        </w:rPr>
        <w:t>. In the event of a “going private transaction” or a Change of Control, each as defined below (a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provided that you have (i) remained in the continuous employ of the Company or one of the AMC Subsidiaries from the Grant Date through immediately prior to the Transaction or (ii) experienced a Qualifying Termination prior to the Transaction, then the Committee shall, effective as of immediately prior to the Transaction, deem any applicable Stock Price Hurdles to be achieved based on the “offer price per share,” the “acquisition price per share” or the “merger price per share,” each as defined below, whichever of such amounts is applicable. Any corresponding portion of the Award that is deemed by the Committee to have achieved the applicable Stock Price Hurdles, as well as any portion of the Award for which the applicable Stock Price Hurdle was already achieved prior to the Transaction (together, the “</w:t>
      </w:r>
      <w:r>
        <w:rPr>
          <w:rFonts w:ascii="Times New Roman;serif" w:hAnsi="Times New Roman;serif"/>
          <w:b w:val="false"/>
          <w:color w:val="000000"/>
          <w:sz w:val="24"/>
          <w:u w:val="single"/>
        </w:rPr>
        <w:t>Transaction Award</w:t>
      </w:r>
      <w:r>
        <w:rPr>
          <w:color w:val="000000"/>
        </w:rPr>
        <w:t>”</w:t>
      </w:r>
      <w:r>
        <w:rPr>
          <w:rFonts w:ascii="Times New Roman;serif" w:hAnsi="Times New Roman;serif"/>
          <w:b w:val="false"/>
          <w:color w:val="000000"/>
          <w:sz w:val="24"/>
        </w:rPr>
        <w:t>) shall be vested upon the effective date of the Transaction and payable to you in accordance with Paragraph 2 below. You will automatically forfeit any portion of the Award that remains unvested following the Transaction.</w:t>
      </w:r>
    </w:p>
    <w:p>
      <w:pPr>
        <w:pStyle w:val="TextBody"/>
        <w:bidi w:val="0"/>
        <w:spacing w:lineRule="auto" w:line="240" w:before="0" w:after="240"/>
        <w:ind w:left="0" w:right="0" w:hanging="720"/>
        <w:jc w:val="both"/>
        <w:rPr/>
      </w:pPr>
      <w:r>
        <w:rPr>
          <w:rFonts w:ascii="Times New Roman;serif" w:hAnsi="Times New Roman;serif"/>
          <w:b w:val="false"/>
          <w:color w:val="000000"/>
          <w:sz w:val="22"/>
        </w:rPr>
        <w:t>2.</w:t>
      </w:r>
      <w:r>
        <w:rPr>
          <w:rFonts w:ascii="Times New Roman;serif" w:hAnsi="Times New Roman;serif"/>
          <w:b w:val="false"/>
          <w:color w:val="000000"/>
          <w:sz w:val="24"/>
        </w:rPr>
        <w:t>If the Transaction:</w:t>
      </w:r>
    </w:p>
    <w:p>
      <w:pPr>
        <w:pStyle w:val="TextBody"/>
        <w:bidi w:val="0"/>
        <w:spacing w:lineRule="auto" w:line="240" w:before="0" w:after="240"/>
        <w:ind w:left="0" w:right="0" w:hanging="720"/>
        <w:jc w:val="both"/>
        <w:rPr/>
      </w:pPr>
      <w:r>
        <w:rPr>
          <w:rFonts w:ascii="Times New Roman;serif" w:hAnsi="Times New Roman;serif"/>
          <w:b w:val="false"/>
          <w:color w:val="010000"/>
          <w:sz w:val="22"/>
        </w:rPr>
        <w:t>A.</w:t>
      </w:r>
      <w:r>
        <w:rPr>
          <w:rFonts w:ascii="Times New Roman;serif" w:hAnsi="Times New Roman;serif"/>
          <w:b w:val="false"/>
          <w:color w:val="000000"/>
          <w:sz w:val="24"/>
        </w:rPr>
        <w:t>is a permissible distribution event under Section 409A or payment of the Transaction Award upon such event is otherwise permissible under Section 409A (including, for the avoidance of doubt, by reason of the inapplicability of Section 409A to the Transaction Award), then the Transaction Award shall be paid to you by the Company on the effective date of the Transaction; or</w:t>
      </w:r>
    </w:p>
    <w:p>
      <w:pPr>
        <w:pStyle w:val="TextBody"/>
        <w:bidi w:val="0"/>
        <w:spacing w:lineRule="auto" w:line="240" w:before="0" w:after="240"/>
        <w:ind w:left="0" w:right="0" w:hanging="720"/>
        <w:jc w:val="both"/>
        <w:rPr/>
      </w:pPr>
      <w:r>
        <w:rPr>
          <w:rFonts w:ascii="Times New Roman;serif" w:hAnsi="Times New Roman;serif"/>
          <w:b w:val="false"/>
          <w:color w:val="010000"/>
          <w:sz w:val="22"/>
        </w:rPr>
        <w:t>B.</w:t>
      </w:r>
      <w:r>
        <w:rPr>
          <w:rFonts w:ascii="Times New Roman;serif" w:hAnsi="Times New Roman;serif"/>
          <w:b w:val="false"/>
          <w:color w:val="000000"/>
          <w:sz w:val="24"/>
        </w:rPr>
        <w:t>is not a permissible distribution event under Section 409A and payment of the Transaction Award upon such event is not otherwise permissible under Section 409A, then the Transaction Award shall be paid to you by the Company (together with interest thereon pursuant to Paragraph 3 below) on the earliest to occur of:</w:t>
      </w:r>
    </w:p>
    <w:p>
      <w:pPr>
        <w:pStyle w:val="TextBody"/>
        <w:bidi w:val="0"/>
        <w:spacing w:lineRule="auto" w:line="288" w:before="0" w:after="240"/>
        <w:jc w:val="both"/>
        <w:rPr/>
      </w:pPr>
      <w:r>
        <w:rPr>
          <w:rFonts w:ascii="Times New Roman;serif" w:hAnsi="Times New Roman;serif"/>
          <w:b w:val="false"/>
          <w:color w:val="000000"/>
          <w:sz w:val="22"/>
        </w:rPr>
        <w:t>a.</w:t>
      </w:r>
      <w:r>
        <w:rPr>
          <w:rFonts w:ascii="Times New Roman;serif" w:hAnsi="Times New Roman;serif"/>
          <w:b w:val="false"/>
          <w:color w:val="000000"/>
          <w:sz w:val="24"/>
        </w:rPr>
        <w:t>(1) any subsequent date on which you are no longer employed by the Company or any of the AMC Subsidiaries for any reason other than termination of your employment by one of such entities for Cause (provided that if you are determined by the Company to be a “specified employee” within the meaning of Section 409A, six months from such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 any other date on which such payment or any portion thereof would be a permissible distribution under Section 409A; or</w:t>
      </w:r>
    </w:p>
    <w:p>
      <w:pPr>
        <w:pStyle w:val="TextBody"/>
        <w:bidi w:val="0"/>
        <w:spacing w:lineRule="auto" w:line="288" w:before="0" w:after="24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(3) the end of the Performance Period.</w:t>
      </w:r>
    </w:p>
    <w:p>
      <w:pPr>
        <w:pStyle w:val="TextBody"/>
        <w:bidi w:val="0"/>
        <w:spacing w:lineRule="auto" w:line="240" w:before="0" w:after="240"/>
        <w:ind w:left="0" w:right="0" w:hanging="720"/>
        <w:jc w:val="both"/>
        <w:rPr/>
      </w:pPr>
      <w:r>
        <w:rPr>
          <w:rFonts w:ascii="Times New Roman;serif" w:hAnsi="Times New Roman;serif"/>
          <w:b w:val="false"/>
          <w:color w:val="000000"/>
          <w:sz w:val="22"/>
        </w:rPr>
        <w:t>3.</w:t>
      </w:r>
      <w:r>
        <w:rPr>
          <w:rFonts w:ascii="Times New Roman;serif" w:hAnsi="Times New Roman;serif"/>
          <w:b w:val="false"/>
          <w:i/>
          <w:color w:val="000000"/>
          <w:sz w:val="24"/>
        </w:rPr>
        <w:t>Rabbi Trust</w:t>
      </w:r>
      <w:r>
        <w:rPr>
          <w:rFonts w:ascii="Times New Roman;serif" w:hAnsi="Times New Roman;serif"/>
          <w:b w:val="false"/>
          <w:color w:val="000000"/>
          <w:sz w:val="24"/>
        </w:rPr>
        <w:t xml:space="preserve">. Upon any Transaction, to the extent any amounts are due to be paid to you at a later date pursuant to Paragraph 2(B) above, such amounts will be (i) deposited in a Rabbi Trust, provided, however, that no payment will be made to the Rabbi Trust if it would be contrary to law or cause you to incur additional tax under Section 409A; and (ii) paid to you, together with interest on such delayed amount, at the rate equal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average of the one-year SOFR fixed rate equivalent for the ten business days prior to the date of the Transaction, in a lump sum pursuant to Paragraph 2(B) above. </w:t>
      </w:r>
    </w:p>
    <w:p>
      <w:pPr>
        <w:pStyle w:val="TextBody"/>
        <w:bidi w:val="0"/>
        <w:spacing w:lineRule="auto" w:line="240" w:before="0" w:after="240"/>
        <w:ind w:left="0" w:right="0" w:hanging="720"/>
        <w:jc w:val="both"/>
        <w:rPr/>
      </w:pPr>
      <w:r>
        <w:rPr>
          <w:rFonts w:ascii="Times New Roman;serif" w:hAnsi="Times New Roman;serif"/>
          <w:b w:val="false"/>
          <w:color w:val="000000"/>
          <w:sz w:val="22"/>
        </w:rPr>
        <w:t>4.</w:t>
      </w:r>
      <w:r>
        <w:rPr>
          <w:rFonts w:ascii="Times New Roman;serif" w:hAnsi="Times New Roman;serif"/>
          <w:b w:val="false"/>
          <w:color w:val="000000"/>
          <w:sz w:val="24"/>
        </w:rPr>
        <w:t>As used herein,</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Acquisition price per share</w:t>
      </w:r>
      <w:r>
        <w:rPr>
          <w:color w:val="000000"/>
        </w:rPr>
        <w:t xml:space="preserve">” </w:t>
      </w:r>
      <w:r>
        <w:rPr>
          <w:rFonts w:ascii="Times New Roman;serif" w:hAnsi="Times New Roman;serif"/>
          <w:b w:val="false"/>
          <w:color w:val="000000"/>
          <w:sz w:val="24"/>
        </w:rPr>
        <w:t>shall mean the greater of (i) the highest price per share stated on the Schedule 13D or any amendment thereto filed by the holder of twenty percent (20%) or more of the Company’s voting power which gives rise to the Change of Control or going private transaction, and (ii) the highest fair market value per share of common stock during the ninety-day period ending on the date of such Change of Control or going private transaction.</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shall have the meaning set forth in the Employment Agreement.</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means the acquisition, in a transaction or a series of related transactions, by any person or group, other than members of the immediate family of Charles F. Dolan or trusts for the benefit of Charles F. Dolan’s immediate family (or an entity or entities controlled by any of them) or any employee benefit plan sponsored or maintained by the Company, of the power to direct the management of the Company or substantially all its assets (as constituted immediately prior to such transaction or transactions).</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Going private transaction</w:t>
      </w:r>
      <w:r>
        <w:rPr>
          <w:color w:val="000000"/>
        </w:rPr>
        <w:t xml:space="preserve">” </w:t>
      </w:r>
      <w:r>
        <w:rPr>
          <w:rFonts w:ascii="Times New Roman;serif" w:hAnsi="Times New Roman;serif"/>
          <w:b w:val="false"/>
          <w:color w:val="000000"/>
          <w:sz w:val="24"/>
        </w:rPr>
        <w:t>means a transaction involving the purchase of Company securities described in Rule 13e-3 to the Securities and Exchange Act of 1934.</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Good reason</w:t>
      </w:r>
      <w:r>
        <w:rPr>
          <w:color w:val="000000"/>
        </w:rPr>
        <w:t xml:space="preserve">” </w:t>
      </w:r>
      <w:r>
        <w:rPr>
          <w:rFonts w:ascii="Times New Roman;serif" w:hAnsi="Times New Roman;serif"/>
          <w:b w:val="false"/>
          <w:color w:val="000000"/>
          <w:sz w:val="24"/>
        </w:rPr>
        <w:t>shall have the meaning set forth in the Employment Agreement.</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Merger price per share</w:t>
      </w:r>
      <w:r>
        <w:rPr>
          <w:color w:val="000000"/>
        </w:rPr>
        <w:t xml:space="preserve">” </w:t>
      </w:r>
      <w:r>
        <w:rPr>
          <w:rFonts w:ascii="Times New Roman;serif" w:hAnsi="Times New Roman;serif"/>
          <w:b w:val="false"/>
          <w:color w:val="000000"/>
          <w:sz w:val="24"/>
        </w:rPr>
        <w:t>shall mean, in the case of a merger, consolidation, sale, exchange or other disposition of assets that results in a Change of Control or going private transaction (a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the greater of (i) the fixed or formula price for the acquisition of shares of common stock occurring pursuant to the Merger, and (ii) the highest fair market value per share of common stock during the ninety-day period ending on the date of such Change of Control or going private transaction. Any securities or property which are part or all of the consideration paid for shares of common stock pursuant to the Merger shall be valued in determining the merger price per share at the higher of (A) the valuation placed on such securities or property by the Company, person or other entity which is a party with the Company to the Merger, or (B) the valuation placed on such securities or property by the Committee.</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Offer price per share</w:t>
      </w:r>
      <w:r>
        <w:rPr>
          <w:color w:val="000000"/>
        </w:rPr>
        <w:t xml:space="preserve">” </w:t>
      </w:r>
      <w:r>
        <w:rPr>
          <w:rFonts w:ascii="Times New Roman;serif" w:hAnsi="Times New Roman;serif"/>
          <w:b w:val="false"/>
          <w:color w:val="000000"/>
          <w:sz w:val="24"/>
        </w:rPr>
        <w:t>shall mean, in the case of a tender offer or exchange offer which results in a Change of Control or going private transaction (an “</w:t>
      </w:r>
      <w:r>
        <w:rPr>
          <w:rFonts w:ascii="Times New Roman;serif" w:hAnsi="Times New Roman;serif"/>
          <w:b w:val="false"/>
          <w:color w:val="000000"/>
          <w:sz w:val="24"/>
          <w:u w:val="single"/>
        </w:rPr>
        <w:t>Offer</w:t>
      </w:r>
      <w:r>
        <w:rPr>
          <w:color w:val="000000"/>
        </w:rPr>
        <w:t>”</w:t>
      </w:r>
      <w:r>
        <w:rPr>
          <w:rFonts w:ascii="Times New Roman;serif" w:hAnsi="Times New Roman;serif"/>
          <w:b w:val="false"/>
          <w:color w:val="000000"/>
          <w:sz w:val="24"/>
        </w:rPr>
        <w:t>), the greater of (i) the highest price per share of common stock paid pursuant to the Offer, or (ii) the highest fair market value per share of common stock during the ninety-day period ending on the date of a Change of Control or going private transaction. Any securities or property which are part or all of the consideration paid for shares of common stock in the Offer shall be valued in determining the Offer Price per Share at the higher of (A) the valuation placed on such securities or property by the Company, person or other entity making such offer or (B) the valuation placed on such securities or property by the Committee</w:t>
      </w:r>
      <w:r>
        <w:rPr>
          <w:rFonts w:ascii="Times New Roman;serif" w:hAnsi="Times New Roman;serif"/>
          <w:b w:val="false"/>
          <w:i/>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Surviving Entity</w:t>
      </w:r>
      <w:r>
        <w:rPr>
          <w:color w:val="000000"/>
        </w:rPr>
        <w:t xml:space="preserve">” </w:t>
      </w:r>
      <w:r>
        <w:rPr>
          <w:rFonts w:ascii="Times New Roman;serif" w:hAnsi="Times New Roman;serif"/>
          <w:b w:val="false"/>
          <w:color w:val="000000"/>
          <w:sz w:val="24"/>
        </w:rPr>
        <w:t>means the entity that owns, directly or indirectly, after consummation of any transaction, substantially all the assets of the Company as constituted immediately prior to consummation of such transaction. If any such entity is at least majority-owned, directly or indirectly, by any entity (a “</w:t>
      </w:r>
      <w:r>
        <w:rPr>
          <w:rFonts w:ascii="Times New Roman;serif" w:hAnsi="Times New Roman;serif"/>
          <w:b w:val="false"/>
          <w:color w:val="000000"/>
          <w:sz w:val="24"/>
          <w:u w:val="single"/>
        </w:rPr>
        <w:t>parent entity</w:t>
      </w:r>
      <w:r>
        <w:rPr>
          <w:color w:val="000000"/>
        </w:rPr>
        <w:t>”</w:t>
      </w:r>
      <w:r>
        <w:rPr>
          <w:rFonts w:ascii="Times New Roman;serif" w:hAnsi="Times New Roman;serif"/>
          <w:b w:val="false"/>
          <w:color w:val="000000"/>
          <w:sz w:val="24"/>
        </w:rPr>
        <w:t xml:space="preserve">) which has shares of common stock (or partnership units) traded on a national stock exchange or the over-the-counter market, as reported on NASDAQ or any other stock exchange, then such parent entity shall be deemed to be the Surviving Entity, provided that if there shall be more than one such parent entity, the parent entity closest to ownership of substantially all the assets of the Company shall be deemed to be the Surviving Entity.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center"/>
        <w:rPr/>
      </w:pPr>
      <w:r>
        <w:rPr>
          <w:rFonts w:ascii="Times New Roman;serif" w:hAnsi="Times New Roman;serif"/>
          <w:b/>
          <w:color w:val="000000"/>
          <w:sz w:val="24"/>
        </w:rPr>
        <w:t>Annex 2</w:t>
        <w:br/>
        <w:t>to</w:t>
        <w:br/>
      </w:r>
      <w:r>
        <w:rPr>
          <w:rFonts w:ascii="Times New Roman;serif" w:hAnsi="Times New Roman;serif"/>
          <w:b/>
          <w:color w:val="000000"/>
          <w:sz w:val="24"/>
          <w:u w:val="single"/>
        </w:rPr>
        <w:t>Renewal Cash Performance Award Agreement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incremental percentage of the Award shall satisfy the Stock Price Hurdle based on the achievement of any of the Stock Price Hurdles during the Performance Period as set forth below: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39"/>
        <w:gridCol w:w="473"/>
        <w:gridCol w:w="476"/>
        <w:gridCol w:w="1447"/>
        <w:gridCol w:w="1447"/>
        <w:gridCol w:w="1450"/>
        <w:gridCol w:w="1280"/>
        <w:gridCol w:w="1280"/>
        <w:gridCol w:w="1813"/>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Stock Price Hurdles</w:t>
            </w:r>
          </w:p>
        </w:tc>
        <w:tc>
          <w:tcPr>
            <w:tcW w:w="43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Incremental % of Target Award Upon Achievement of Stock Price Hurdles</w:t>
            </w:r>
          </w:p>
        </w:tc>
        <w:tc>
          <w:tcPr>
            <w:tcW w:w="437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Cumulative % of Target Award Upon Achievement of Stock Price Hurdles</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$9.50</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$10.50</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$11.50</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$12.50</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$13.75</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112.5%</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$15.00</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14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$16.25</w:t>
            </w:r>
          </w:p>
        </w:tc>
        <w:tc>
          <w:tcPr>
            <w:tcW w:w="43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43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137.5%</w:t>
            </w:r>
          </w:p>
        </w:tc>
      </w:tr>
      <w:tr>
        <w:trPr/>
        <w:tc>
          <w:tcPr>
            <w:tcW w:w="14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$17.50</w:t>
            </w:r>
          </w:p>
        </w:tc>
        <w:tc>
          <w:tcPr>
            <w:tcW w:w="43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437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Notwithstanding anything herein to the contrary (other than as provided in </w:t>
      </w:r>
      <w:r>
        <w:rPr>
          <w:rFonts w:ascii="Times New Roman;serif" w:hAnsi="Times New Roman;serif"/>
          <w:b w:val="false"/>
          <w:color w:val="000000"/>
          <w:sz w:val="24"/>
          <w:u w:val="single"/>
        </w:rPr>
        <w:t>Annex 1</w:t>
      </w:r>
      <w:r>
        <w:rPr>
          <w:rFonts w:ascii="Times New Roman;serif" w:hAnsi="Times New Roman;serif"/>
          <w:b w:val="false"/>
          <w:color w:val="000000"/>
          <w:sz w:val="24"/>
        </w:rPr>
        <w:t>), measurement of the achievement of the Stock Price Hurdles shall be based on a rolling thirty (30) consecutive trading day average of the Company’s closing price per Share as reported on the principal exchange on which the Company’s Class A Common Stock is listed for trading during the Performance Period. Upon the achievement of any Stock Price Hurdle during the Performance Period in accordance with the preceding sentence, the applicable incremental percentage of the Target Award shall vest in accordance with, and to the extent provided in, Sections 1 and 2 of the Agreement or Annex I of the Agreement, as the case may be.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the Company experiences an Adjustment Event (as defined below), then the Committee shall, in such manner as it may determine to be equitable in good faith, adjust any or all of the terms of this Agreement (including, without limitation, the Stock Price Hurdles included in this Agreement) in accordance with the terms and conditions of this Agreement. In determining adjustments to be made hereunder, the Committee may take into account such factors as it determines to be appropriate, including without limitation (i) the provisions of applicable law and (ii) the potential tax or accounting consequences of an adjustment (or not making an adjustment). For purposes of this Agreement, an “Adjustment Event” shall mean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that affects Shares such that the failure to make an adjustment to the Award would not fairly protect the rights represented by the Award in accordance with the essential intent and principles thereof.</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there shall be no interpolation for achievement between the Stock Price Hurdles listed above, and no achievement of the Stock Price Hurdles shall be permitted following the completion of the Performance Period.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Exhibit 22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List of Guarantor Subsidiaries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following subsidiaries of AMC Networks Inc. guarantee the notes issued by AMC Networks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Content Distribution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Games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 Entertainment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Networks Broadcasting &amp;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Networks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Networks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New Video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AMC/Sundance Channel Global Networks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AMCN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American Movie Classics IV Holding Corp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Animal Control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Anime Network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Cobalt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Comic Scribe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Crossed Pens Development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Dark Winds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Digital Store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Expedition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Five Moons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Geese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Ground Work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Entertainment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Entertainment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Films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In Theaters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Television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Theatres Concessions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Theatres,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 Creative Contents Alliance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6"/>
        <w:gridCol w:w="948"/>
        <w:gridCol w:w="960"/>
        <w:gridCol w:w="109"/>
        <w:gridCol w:w="109"/>
        <w:gridCol w:w="109"/>
        <w:gridCol w:w="619"/>
        <w:gridCol w:w="619"/>
        <w:gridCol w:w="877"/>
      </w:tblGrid>
      <w:tr>
        <w:trPr/>
        <w:tc>
          <w:tcPr>
            <w:tcW w:w="107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Making Waves Studio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Mechanical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Monument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Moonhaven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Newfound Lake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Video Channel America,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NOS4A2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Rhode Island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Peach Pit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Peachwood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Rainbow Media Enterprises,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Rainbow Media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 Monday Programming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RNC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RNC II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Roughhouse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Selects VOD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Sentai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Sentai Filmworks,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Shudder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Sundance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SundanceTV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Sxion 23,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Tales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IV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IX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XI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Universe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Vampire Chronicles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Louisiana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Voom HD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Woodbury Studios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 Kristin A. Dolan,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AMC Networks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 Patrick O’Connell,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AMC Networks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3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each of the undersigned officers of AMC Networks Inc. (“AMC Networks”) hereby certifies, to such officer’s knowledge, that AMC Networks’ Quarterly Report on Form 10-Q for the quarter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95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73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991/000151499125000024/ex-41amc2025securednotesxi.htm" TargetMode="External"/><Relationship Id="rId3" Type="http://schemas.openxmlformats.org/officeDocument/2006/relationships/hyperlink" Target="https://www.sec.gov/Archives/edgar/data/1514991/000151499125000048/amcx-103025xex101.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36524</Words>
  <Characters>204507</Characters>
  <CharactersWithSpaces>239049</CharactersWithSpaces>
  <Paragraphs>3838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